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34"/>
          <w:szCs w:val="34"/>
        </w:rPr>
        <w:t xml:space="preserve">PESTEL Analysis — Canada's E-Commerce &amp; Retail Sector</w:t>
      </w:r>
    </w:p>
    <w:p>
      <w:pPr>
        <w:spacing w:after="80"/>
        <w:jc w:val="center"/>
      </w:pPr>
      <w:r>
        <w:rPr>
          <w:rFonts w:ascii="Calibri" w:cs="Calibri" w:eastAsia="Calibri" w:hAnsi="Calibri"/>
          <w:color w:val="444444"/>
          <w:sz w:val="26"/>
          <w:szCs w:val="26"/>
        </w:rPr>
        <w:t xml:space="preserve">Part 1: Data Collection &amp; Preparation</w:t>
      </w:r>
    </w:p>
    <w:p>
      <w:pPr>
        <w:spacing w:after="280"/>
        <w:jc w:val="center"/>
      </w:pPr>
      <w:r>
        <w:rPr>
          <w:rFonts w:ascii="Calibri" w:cs="Calibri" w:eastAsia="Calibri" w:hAnsi="Calibri"/>
          <w:i/>
          <w:iCs/>
          <w:color w:val="888888"/>
          <w:sz w:val="22"/>
          <w:szCs w:val="22"/>
        </w:rPr>
        <w:t xml:space="preserve">Case Study  |  August 2026</w:t>
      </w:r>
    </w:p>
    <w:p>
      <w:pPr>
        <w:pBdr>
          <w:bottom w:val="single" w:color="D9D9D9" w:sz="4"/>
        </w:pBdr>
        <w:spacing w:after="160" w:before="160"/>
      </w:pPr>
    </w:p>
    <w:p>
      <w:pPr>
        <w:pStyle w:val="Heading1"/>
      </w:pPr>
      <w:r>
        <w:t xml:space="preserve">1. Selected PESTEL Components</w:t>
      </w:r>
    </w:p>
    <w:p>
      <w:pPr>
        <w:spacing w:after="120"/>
      </w:pPr>
      <w:r>
        <w:rPr>
          <w:rFonts w:ascii="Calibri" w:cs="Calibri" w:eastAsia="Calibri" w:hAnsi="Calibri"/>
          <w:sz w:val="22"/>
          <w:szCs w:val="22"/>
        </w:rPr>
        <w:t xml:space="preserve">Three PESTEL components were selected for this analysis: </w:t>
      </w:r>
      <w:r>
        <w:rPr>
          <w:rFonts w:ascii="Calibri" w:cs="Calibri" w:eastAsia="Calibri" w:hAnsi="Calibri"/>
          <w:b/>
          <w:bCs/>
          <w:sz w:val="22"/>
          <w:szCs w:val="22"/>
        </w:rPr>
        <w:t xml:space="preserve">Economic, Social,</w:t>
      </w:r>
      <w:r>
        <w:rPr>
          <w:rFonts w:ascii="Calibri" w:cs="Calibri" w:eastAsia="Calibri" w:hAnsi="Calibri"/>
          <w:sz w:val="22"/>
          <w:szCs w:val="22"/>
        </w:rPr>
        <w:t xml:space="preserve"> and </w:t>
      </w:r>
      <w:r>
        <w:rPr>
          <w:rFonts w:ascii="Calibri" w:cs="Calibri" w:eastAsia="Calibri" w:hAnsi="Calibri"/>
          <w:b/>
          <w:bCs/>
          <w:sz w:val="22"/>
          <w:szCs w:val="22"/>
        </w:rPr>
        <w:t xml:space="preserve">Technological.</w:t>
      </w:r>
      <w:r>
        <w:rPr>
          <w:rFonts w:ascii="Calibri" w:cs="Calibri" w:eastAsia="Calibri" w:hAnsi="Calibri"/>
          <w:sz w:val="22"/>
          <w:szCs w:val="22"/>
        </w:rPr>
        <w:t xml:space="preserve"> The selection was guided by two criteria: the availability of robust, publicly accessible secondary data for Canada, and the direct relevance of each dimension to the performance and growth trajectory of the e-commerce and retail sector.</w:t>
      </w:r>
    </w:p>
    <w:p>
      <w:pPr>
        <w:spacing w:after="120"/>
      </w:pPr>
      <w:r>
        <w:rPr>
          <w:rFonts w:ascii="Calibri" w:cs="Calibri" w:eastAsia="Calibri" w:hAnsi="Calibri"/>
          <w:b/>
          <w:bCs/>
          <w:sz w:val="22"/>
          <w:szCs w:val="22"/>
        </w:rPr>
        <w:t xml:space="preserve">Economic. </w:t>
      </w:r>
      <w:r>
        <w:rPr>
          <w:rFonts w:ascii="Calibri" w:cs="Calibri" w:eastAsia="Calibri" w:hAnsi="Calibri"/>
          <w:sz w:val="22"/>
          <w:szCs w:val="22"/>
        </w:rPr>
        <w:t xml:space="preserve">The economic environment is the most proximate driver of retail consumer behaviour. Inflation — captured through the Consumer Price Index (CPI) — directly affects purchasing power and discretionary spending. The Consumer Confidence Index (CCI) is a widely used leading indicator of household expenditure intentions. Household Final Consumption Expenditure (HFCE) tracks actual aggregate spending at the macroeconomic level, while monthly retail e-commerce sales data measures sector-specific output. Together, these six variables provide a comprehensive demand-side picture.</w:t>
      </w:r>
    </w:p>
    <w:p>
      <w:pPr>
        <w:spacing w:after="120"/>
      </w:pPr>
      <w:r>
        <w:rPr>
          <w:rFonts w:ascii="Calibri" w:cs="Calibri" w:eastAsia="Calibri" w:hAnsi="Calibri"/>
          <w:b/>
          <w:bCs/>
          <w:sz w:val="22"/>
          <w:szCs w:val="22"/>
        </w:rPr>
        <w:t xml:space="preserve">Social. </w:t>
      </w:r>
      <w:r>
        <w:rPr>
          <w:rFonts w:ascii="Calibri" w:cs="Calibri" w:eastAsia="Calibri" w:hAnsi="Calibri"/>
          <w:sz w:val="22"/>
          <w:szCs w:val="22"/>
        </w:rPr>
        <w:t xml:space="preserve">Population size and urbanisation patterns determine the addressable market for e-commerce. Canada's rapid population growth — driven primarily by immigration — and its consistently high urbanisation rate (above 81%) are critical contextual factors for understanding market expansion. Urban residents have greater access to last-mile delivery networks, higher average internet penetration, and typically higher disposable incomes. A derived variable — Urban Population as a Percentage of Total Population — was computed to track the urbanisation trend over time.</w:t>
      </w:r>
    </w:p>
    <w:p>
      <w:pPr>
        <w:spacing w:after="120"/>
      </w:pPr>
      <w:r>
        <w:rPr>
          <w:rFonts w:ascii="Calibri" w:cs="Calibri" w:eastAsia="Calibri" w:hAnsi="Calibri"/>
          <w:b/>
          <w:bCs/>
          <w:sz w:val="22"/>
          <w:szCs w:val="22"/>
        </w:rPr>
        <w:t xml:space="preserve">Technological. </w:t>
      </w:r>
      <w:r>
        <w:rPr>
          <w:rFonts w:ascii="Calibri" w:cs="Calibri" w:eastAsia="Calibri" w:hAnsi="Calibri"/>
          <w:sz w:val="22"/>
          <w:szCs w:val="22"/>
        </w:rPr>
        <w:t xml:space="preserve">E-commerce is fundamentally a technology-dependent sector: without internet access and mobile connectivity, consumers cannot shop online. Mobile cellular subscriptions per 100 people and the share of the population using the internet are therefore structural enablers of e-commerce growth. These two variables also capture the extent of digital infrastructure across the population, which is especially relevant given the need to serve geographically dispersed communities across Canada.</w:t>
      </w:r>
    </w:p>
    <w:p>
      <w:pPr>
        <w:spacing w:after="80"/>
      </w:pPr>
      <w:r>
        <w:rPr>
          <w:rFonts w:ascii="Calibri" w:cs="Calibri" w:eastAsia="Calibri" w:hAnsi="Calibri"/>
          <w:sz w:val="22"/>
          <w:szCs w:val="22"/>
        </w:rPr>
        <w:t xml:space="preserve">Table 1 summarises the component selection and variable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4700"/>
        <w:gridCol w:w="2200"/>
      </w:tblGrid>
      <w:tr>
        <w:trPr>
          <w:tblHeader/>
        </w:trPr>
        <w:tc>
          <w:tcPr>
            <w:tcW w:type="dxa" w:w="17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PESTEL Component</w:t>
            </w:r>
          </w:p>
        </w:tc>
        <w:tc>
          <w:tcPr>
            <w:tcW w:type="dxa" w:w="14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 Variables</w:t>
            </w:r>
          </w:p>
        </w:tc>
        <w:tc>
          <w:tcPr>
            <w:tcW w:type="dxa" w:w="47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Variables</w:t>
            </w:r>
          </w:p>
        </w:tc>
        <w:tc>
          <w:tcPr>
            <w:tcW w:type="dxa" w:w="22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Rationale</w:t>
            </w:r>
          </w:p>
        </w:tc>
      </w:tr>
      <w:tr>
        <w:tc>
          <w:tcPr>
            <w:tcW w:type="dxa" w:w="1700"/>
            <w:shd w:fill="C6EFC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Economic</w:t>
            </w:r>
          </w:p>
        </w:tc>
        <w:tc>
          <w:tcPr>
            <w:tcW w:type="dxa" w:w="1400"/>
            <w:shd w:fill="EAF6EC"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6</w:t>
            </w:r>
          </w:p>
        </w:tc>
        <w:tc>
          <w:tcPr>
            <w:tcW w:type="dxa" w:w="47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CPI_Index, CPI_YoY_Pct, CPI_MoM_Pct, Consumer_Confidence_Index, HFCE_Millions, Ecommerce_Sales_000s</w:t>
            </w:r>
          </w:p>
        </w:tc>
        <w:tc>
          <w:tcPr>
            <w:tcW w:type="dxa" w:w="2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Most proximate drivers of consumer retail behaviour; captures inflation, sentiment, and actual spending</w:t>
            </w:r>
          </w:p>
        </w:tc>
      </w:tr>
      <w:tr>
        <w:tc>
          <w:tcPr>
            <w:tcW w:type="dxa" w:w="1700"/>
            <w:shd w:fill="BDD7E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Social</w:t>
            </w:r>
          </w:p>
        </w:tc>
        <w:tc>
          <w:tcPr>
            <w:tcW w:type="dxa" w:w="1400"/>
            <w:shd w:fill="DDEEF9"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3</w:t>
            </w:r>
          </w:p>
        </w:tc>
        <w:tc>
          <w:tcPr>
            <w:tcW w:type="dxa" w:w="47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Total_Population, Urban_Population, Urban_Pct_Population (derived)</w:t>
            </w:r>
          </w:p>
        </w:tc>
        <w:tc>
          <w:tcPr>
            <w:tcW w:type="dxa" w:w="22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Population size and urbanisation shape the addressable market and delivery infrastructure for e-commerce</w:t>
            </w:r>
          </w:p>
        </w:tc>
      </w:tr>
      <w:tr>
        <w:tc>
          <w:tcPr>
            <w:tcW w:type="dxa" w:w="1700"/>
            <w:shd w:fill="FCE4D6"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Technological</w:t>
            </w:r>
          </w:p>
        </w:tc>
        <w:tc>
          <w:tcPr>
            <w:tcW w:type="dxa" w:w="1400"/>
            <w:shd w:fill="FDF1EB"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2</w:t>
            </w:r>
          </w:p>
        </w:tc>
        <w:tc>
          <w:tcPr>
            <w:tcW w:type="dxa" w:w="47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Mobile_Subscriptions_Per100, Internet_Users_Pct</w:t>
            </w:r>
          </w:p>
        </w:tc>
        <w:tc>
          <w:tcPr>
            <w:tcW w:type="dxa" w:w="22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Digital infrastructure underpins e-commerce access; mobile penetration drives m-commerce growth</w:t>
            </w:r>
          </w:p>
        </w:tc>
      </w:tr>
    </w:tbl>
    <w:p>
      <w:pPr>
        <w:spacing w:after="280" w:before="80"/>
      </w:pPr>
      <w:r>
        <w:rPr>
          <w:rFonts w:ascii="Calibri" w:cs="Calibri" w:eastAsia="Calibri" w:hAnsi="Calibri"/>
          <w:i/>
          <w:iCs/>
          <w:color w:val="666666"/>
          <w:sz w:val="18"/>
          <w:szCs w:val="18"/>
        </w:rPr>
        <w:t xml:space="preserve">Table 1. PESTEL components selected and variable mapping.</w:t>
      </w:r>
    </w:p>
    <w:p>
      <w:pPr>
        <w:pStyle w:val="Heading1"/>
      </w:pPr>
      <w:r>
        <w:t xml:space="preserve">2. Data Sources</w:t>
      </w:r>
    </w:p>
    <w:p>
      <w:pPr>
        <w:spacing w:after="120"/>
      </w:pPr>
      <w:r>
        <w:rPr>
          <w:rFonts w:ascii="Calibri" w:cs="Calibri" w:eastAsia="Calibri" w:hAnsi="Calibri"/>
          <w:sz w:val="22"/>
          <w:szCs w:val="22"/>
        </w:rPr>
        <w:t xml:space="preserve">Data were sourced from five authoritative secondary sources spanning two national statistical agencies and one international data repository. All data pertain to Canada as the unit of analysis and cover the period January 2017 to December 2025. No single source provided all required variables; data were collected component-by-component and subsequently integrated. Table 2 maps each source to its PESTEL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800"/>
        <w:gridCol w:w="1900"/>
      </w:tblGrid>
      <w:tr>
        <w:trPr>
          <w:tblHeader/>
        </w:trPr>
        <w:tc>
          <w:tcPr>
            <w:tcW w:type="dxa" w:w="15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PESTEL</w:t>
            </w:r>
          </w:p>
        </w:tc>
        <w:tc>
          <w:tcPr>
            <w:tcW w:type="dxa" w:w="38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Source</w:t>
            </w:r>
          </w:p>
        </w:tc>
        <w:tc>
          <w:tcPr>
            <w:tcW w:type="dxa" w:w="28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Variable(s)</w:t>
            </w:r>
          </w:p>
        </w:tc>
        <w:tc>
          <w:tcPr>
            <w:tcW w:type="dxa" w:w="19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Coverage</w:t>
            </w:r>
          </w:p>
        </w:tc>
      </w:tr>
      <w:tr>
        <w:tc>
          <w:tcPr>
            <w:tcW w:type="dxa" w:w="1500"/>
            <w:shd w:fill="C6EFC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Economic</w:t>
            </w:r>
          </w:p>
        </w:tc>
        <w:tc>
          <w:tcPr>
            <w:tcW w:type="dxa" w:w="3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Statistics Canada – Table 18-10-0004-01</w:t>
            </w:r>
          </w:p>
        </w:tc>
        <w:tc>
          <w:tcPr>
            <w:tcW w:type="dxa" w:w="2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CPI_Index, CPI_YoY_Pct, CPI_MoM_Pct</w:t>
            </w:r>
          </w:p>
        </w:tc>
        <w:tc>
          <w:tcPr>
            <w:tcW w:type="dxa" w:w="19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Jan 2017 – Dec 2025</w:t>
            </w:r>
          </w:p>
        </w:tc>
      </w:tr>
      <w:tr>
        <w:tc>
          <w:tcPr>
            <w:tcW w:type="dxa" w:w="1500"/>
            <w:shd w:fill="C6EFC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Economic</w:t>
            </w:r>
          </w:p>
        </w:tc>
        <w:tc>
          <w:tcPr>
            <w:tcW w:type="dxa" w:w="3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The Conference Board of Canada</w:t>
            </w:r>
          </w:p>
        </w:tc>
        <w:tc>
          <w:tcPr>
            <w:tcW w:type="dxa" w:w="2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Consumer_Confidence_Index</w:t>
            </w:r>
          </w:p>
        </w:tc>
        <w:tc>
          <w:tcPr>
            <w:tcW w:type="dxa" w:w="19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Jan 2017 – Dec 2025</w:t>
            </w:r>
          </w:p>
        </w:tc>
      </w:tr>
      <w:tr>
        <w:tc>
          <w:tcPr>
            <w:tcW w:type="dxa" w:w="1500"/>
            <w:shd w:fill="C6EFC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Economic</w:t>
            </w:r>
          </w:p>
        </w:tc>
        <w:tc>
          <w:tcPr>
            <w:tcW w:type="dxa" w:w="3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Statistics Canada – Table 36-10-0107-01</w:t>
            </w:r>
          </w:p>
        </w:tc>
        <w:tc>
          <w:tcPr>
            <w:tcW w:type="dxa" w:w="2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HFCE_Millions</w:t>
            </w:r>
          </w:p>
        </w:tc>
        <w:tc>
          <w:tcPr>
            <w:tcW w:type="dxa" w:w="19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Jan 2017 – Jun 2025 (observed); Jul–Dec 2025 imputed</w:t>
            </w:r>
          </w:p>
        </w:tc>
      </w:tr>
      <w:tr>
        <w:tc>
          <w:tcPr>
            <w:tcW w:type="dxa" w:w="1500"/>
            <w:shd w:fill="C6EFC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Economic</w:t>
            </w:r>
          </w:p>
        </w:tc>
        <w:tc>
          <w:tcPr>
            <w:tcW w:type="dxa" w:w="3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Statistics Canada – Table 20-10-0072-01</w:t>
            </w:r>
          </w:p>
        </w:tc>
        <w:tc>
          <w:tcPr>
            <w:tcW w:type="dxa" w:w="28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Ecommerce_Sales_000s</w:t>
            </w:r>
          </w:p>
        </w:tc>
        <w:tc>
          <w:tcPr>
            <w:tcW w:type="dxa" w:w="19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Jan 2017 – Dec 2025</w:t>
            </w:r>
          </w:p>
        </w:tc>
      </w:tr>
      <w:tr>
        <w:tc>
          <w:tcPr>
            <w:tcW w:type="dxa" w:w="1500"/>
            <w:shd w:fill="BDD7EE"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Social</w:t>
            </w:r>
          </w:p>
        </w:tc>
        <w:tc>
          <w:tcPr>
            <w:tcW w:type="dxa" w:w="38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World Bank – World Development Indicators</w:t>
            </w:r>
          </w:p>
        </w:tc>
        <w:tc>
          <w:tcPr>
            <w:tcW w:type="dxa" w:w="28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Total_Population, Urban_Population</w:t>
            </w:r>
          </w:p>
        </w:tc>
        <w:tc>
          <w:tcPr>
            <w:tcW w:type="dxa" w:w="19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 – 2025 (annual)</w:t>
            </w:r>
          </w:p>
        </w:tc>
      </w:tr>
      <w:tr>
        <w:tc>
          <w:tcPr>
            <w:tcW w:type="dxa" w:w="1500"/>
            <w:shd w:fill="FCE4D6" w:val="clear"/>
            <w:tcMar>
              <w:top w:type="dxa" w:w="80"/>
              <w:left w:type="dxa" w:w="120"/>
              <w:bottom w:type="dxa" w:w="80"/>
              <w:right w:type="dxa" w:w="120"/>
            </w:tcMar>
          </w:tcPr>
          <w:p>
            <w:pPr>
              <w:jc w:val="left"/>
            </w:pPr>
            <w:r>
              <w:rPr>
                <w:rFonts w:ascii="Calibri" w:cs="Calibri" w:eastAsia="Calibri" w:hAnsi="Calibri"/>
                <w:b/>
                <w:bCs/>
                <w:color w:val="000000"/>
                <w:sz w:val="19"/>
                <w:szCs w:val="19"/>
              </w:rPr>
              <w:t xml:space="preserve">Technological</w:t>
            </w:r>
          </w:p>
        </w:tc>
        <w:tc>
          <w:tcPr>
            <w:tcW w:type="dxa" w:w="38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World Bank / ITU – World Development Indicators</w:t>
            </w:r>
          </w:p>
        </w:tc>
        <w:tc>
          <w:tcPr>
            <w:tcW w:type="dxa" w:w="28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Mobile_Subscriptions_Per100, Internet_Users_Pct</w:t>
            </w:r>
          </w:p>
        </w:tc>
        <w:tc>
          <w:tcPr>
            <w:tcW w:type="dxa" w:w="19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 – 2024 (observed); 2025 imputed</w:t>
            </w:r>
          </w:p>
        </w:tc>
      </w:tr>
    </w:tbl>
    <w:p>
      <w:pPr>
        <w:spacing w:after="120" w:before="80"/>
      </w:pPr>
      <w:r>
        <w:rPr>
          <w:rFonts w:ascii="Calibri" w:cs="Calibri" w:eastAsia="Calibri" w:hAnsi="Calibri"/>
          <w:i/>
          <w:iCs/>
          <w:color w:val="666666"/>
          <w:sz w:val="18"/>
          <w:szCs w:val="18"/>
        </w:rPr>
        <w:t xml:space="preserve">Table 2. Data sources mapped to PESTEL components.</w:t>
      </w:r>
    </w:p>
    <w:p>
      <w:pPr>
        <w:spacing w:after="280"/>
      </w:pPr>
      <w:r>
        <w:rPr>
          <w:rFonts w:ascii="Calibri" w:cs="Calibri" w:eastAsia="Calibri" w:hAnsi="Calibri"/>
          <w:b/>
          <w:bCs/>
          <w:sz w:val="22"/>
          <w:szCs w:val="22"/>
        </w:rPr>
        <w:t xml:space="preserve">Unit consistency: </w:t>
      </w:r>
      <w:r>
        <w:rPr>
          <w:rFonts w:ascii="Calibri" w:cs="Calibri" w:eastAsia="Calibri" w:hAnsi="Calibri"/>
          <w:sz w:val="22"/>
          <w:szCs w:val="22"/>
        </w:rPr>
        <w:t xml:space="preserve">All sources report data for Canada at the national level. Monetary values are in Canadian dollars (CAD). Population figures are in absolute persons. Rates and indices are either dimensionless or expressed as percentages.</w:t>
      </w:r>
    </w:p>
    <w:p>
      <w:pPr>
        <w:pStyle w:val="Heading1"/>
      </w:pPr>
      <w:r>
        <w:t xml:space="preserve">3. Data Cleaning &amp; Preparation</w:t>
      </w:r>
    </w:p>
    <w:p>
      <w:pPr>
        <w:pStyle w:val="Heading2"/>
      </w:pPr>
      <w:r>
        <w:t xml:space="preserve">3.1  Frequency Alignment — Preserving Monthly Granularity</w:t>
      </w:r>
    </w:p>
    <w:p>
      <w:pPr>
        <w:spacing w:after="120"/>
      </w:pPr>
      <w:r>
        <w:rPr>
          <w:rFonts w:ascii="Calibri" w:cs="Calibri" w:eastAsia="Calibri" w:hAnsi="Calibri"/>
          <w:sz w:val="22"/>
          <w:szCs w:val="22"/>
        </w:rPr>
        <w:t xml:space="preserve">Four source files contain monthly observations (CPI, CCI, HFCE, and e-commerce sales); the remaining four contain annual observations. Rather than aggregating monthly data to annual — which would lose seasonal and cyclical information — the approach taken was to </w:t>
      </w:r>
    </w:p>
    <w:p>
      <w:pPr>
        <w:spacing w:after="120"/>
      </w:pPr>
      <w:r>
        <w:rPr>
          <w:rFonts w:ascii="Calibri" w:cs="Calibri" w:eastAsia="Calibri" w:hAnsi="Calibri"/>
          <w:b/>
          <w:bCs/>
          <w:sz w:val="22"/>
          <w:szCs w:val="22"/>
        </w:rPr>
        <w:t xml:space="preserve">merge all monthly series on Date</w:t>
      </w:r>
      <w:r>
        <w:rPr>
          <w:rFonts w:ascii="Calibri" w:cs="Calibri" w:eastAsia="Calibri" w:hAnsi="Calibri"/>
          <w:sz w:val="22"/>
          <w:szCs w:val="22"/>
        </w:rPr>
        <w:t xml:space="preserve"> (the first day of each month) using an outer join, which retains every month present in any file. The resulting monthly frame was then supplemented with annual data by extracting the calendar </w:t>
      </w:r>
      <w:r>
        <w:rPr>
          <w:rFonts w:ascii="Calibri" w:cs="Calibri" w:eastAsia="Calibri" w:hAnsi="Calibri"/>
          <w:b/>
          <w:bCs/>
          <w:sz w:val="22"/>
          <w:szCs w:val="22"/>
        </w:rPr>
        <w:t xml:space="preserve">Year</w:t>
      </w:r>
      <w:r>
        <w:rPr>
          <w:rFonts w:ascii="Calibri" w:cs="Calibri" w:eastAsia="Calibri" w:hAnsi="Calibri"/>
          <w:sz w:val="22"/>
          <w:szCs w:val="22"/>
        </w:rPr>
        <w:t xml:space="preserve"> from each row's Date and using it as a join key. Every monthly row inherits the annual value for its calendar year. Annual variables therefore </w:t>
      </w:r>
      <w:r>
        <w:rPr>
          <w:rFonts w:ascii="Calibri" w:cs="Calibri" w:eastAsia="Calibri" w:hAnsi="Calibri"/>
          <w:sz w:val="22"/>
          <w:szCs w:val="22"/>
        </w:rPr>
        <w:t xml:space="preserve">step once per year</w:t>
      </w:r>
      <w:r>
        <w:rPr>
          <w:rFonts w:ascii="Calibri" w:cs="Calibri" w:eastAsia="Calibri" w:hAnsi="Calibri"/>
          <w:sz w:val="22"/>
          <w:szCs w:val="22"/>
        </w:rPr>
        <w:t xml:space="preserve"> — the same value appears in all 12 months of a given year — which correctly reflects that population, mobile subscriptions, and internet usage are published as annual snapshots.</w:t>
      </w:r>
    </w:p>
    <w:p>
      <w:pPr>
        <w:pStyle w:val="Heading2"/>
      </w:pPr>
      <w:r>
        <w:t xml:space="preserve">3.2  2026 Cutoff</w:t>
      </w:r>
    </w:p>
    <w:p>
      <w:pPr>
        <w:spacing w:after="120"/>
      </w:pPr>
      <w:r>
        <w:rPr>
          <w:rFonts w:ascii="Calibri" w:cs="Calibri" w:eastAsia="Calibri" w:hAnsi="Calibri"/>
          <w:sz w:val="22"/>
          <w:szCs w:val="22"/>
        </w:rPr>
        <w:t xml:space="preserve">The raw data extends into 2026 for some series (CPI and CCI through June 2026, e-commerce through May 2026). However, multiple other series — Household Final Consumption Expenditure, and all four annual variables — have no 2026 data. Retaining 2026 would create a frame where approximately half of all columns are missing for those months. The decision was made to </w:t>
      </w:r>
    </w:p>
    <w:p>
      <w:pPr>
        <w:spacing w:after="120"/>
      </w:pPr>
      <w:r>
        <w:rPr>
          <w:rFonts w:ascii="Calibri" w:cs="Calibri" w:eastAsia="Calibri" w:hAnsi="Calibri"/>
          <w:b/>
          <w:bCs/>
          <w:sz w:val="22"/>
          <w:szCs w:val="22"/>
        </w:rPr>
        <w:t xml:space="preserve">cut the dataset at December 2025</w:t>
      </w:r>
      <w:r>
        <w:rPr>
          <w:rFonts w:ascii="Calibri" w:cs="Calibri" w:eastAsia="Calibri" w:hAnsi="Calibri"/>
          <w:sz w:val="22"/>
          <w:szCs w:val="22"/>
        </w:rPr>
        <w:t xml:space="preserve">, yielding nine complete calendar years (2017–2025) and eliminating the partial-year problem entirely.</w:t>
      </w:r>
    </w:p>
    <w:p>
      <w:pPr>
        <w:pStyle w:val="Heading2"/>
      </w:pPr>
      <w:r>
        <w:t xml:space="preserve">3.3  Missing Values &amp; Imputation</w:t>
      </w:r>
    </w:p>
    <w:p>
      <w:pPr>
        <w:spacing w:after="120"/>
      </w:pPr>
      <w:r>
        <w:rPr>
          <w:rFonts w:ascii="Calibri" w:cs="Calibri" w:eastAsia="Calibri" w:hAnsi="Calibri"/>
          <w:sz w:val="22"/>
          <w:szCs w:val="22"/>
        </w:rPr>
        <w:t xml:space="preserve">After the 2026 cutoff, three variables still contained missing values. Table 3 documents the imputation method applied to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2000"/>
        <w:gridCol w:w="3000"/>
      </w:tblGrid>
      <w:tr>
        <w:trPr>
          <w:tblHeader/>
        </w:trPr>
        <w:tc>
          <w:tcPr>
            <w:tcW w:type="dxa" w:w="22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w:t>
            </w:r>
          </w:p>
        </w:tc>
        <w:tc>
          <w:tcPr>
            <w:tcW w:type="dxa" w:w="15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Missing Period</w:t>
            </w:r>
          </w:p>
        </w:tc>
        <w:tc>
          <w:tcPr>
            <w:tcW w:type="dxa" w:w="13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Method</w:t>
            </w:r>
          </w:p>
        </w:tc>
        <w:tc>
          <w:tcPr>
            <w:tcW w:type="dxa" w:w="20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Model / Rule</w:t>
            </w:r>
          </w:p>
        </w:tc>
        <w:tc>
          <w:tcPr>
            <w:tcW w:type="dxa" w:w="30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Justification</w:t>
            </w:r>
          </w:p>
        </w:tc>
      </w:tr>
      <w:tr>
        <w:tc>
          <w:tcPr>
            <w:tcW w:type="dxa" w:w="2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HFCE_Millions</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Jul–Dec 2025 (6 months)</w:t>
            </w:r>
          </w:p>
        </w:tc>
        <w:tc>
          <w:tcPr>
            <w:tcW w:type="dxa" w:w="1300"/>
            <w:shd w:fill="EAF6EC"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OLS Regression</w:t>
            </w:r>
          </w:p>
        </w:tc>
        <w:tc>
          <w:tcPr>
            <w:tcW w:type="dxa" w:w="20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HFCE ~ time index + month dummies (Feb–Dec)</w:t>
            </w:r>
          </w:p>
        </w:tc>
        <w:tc>
          <w:tcPr>
            <w:tcW w:type="dxa" w:w="30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Consistent upward trend with seasonal pattern; R² = 0.85 on 102 months of training data</w:t>
            </w:r>
          </w:p>
        </w:tc>
      </w:tr>
      <w:tr>
        <w:tc>
          <w:tcPr>
            <w:tcW w:type="dxa" w:w="22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Mobile_Subscriptions_Per100</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All of 2025 (annual)</w:t>
            </w:r>
          </w:p>
        </w:tc>
        <w:tc>
          <w:tcPr>
            <w:tcW w:type="dxa" w:w="1300"/>
            <w:shd w:fill="FDF1EB"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Forward Fill</w:t>
            </w:r>
          </w:p>
        </w:tc>
        <w:tc>
          <w:tcPr>
            <w:tcW w:type="dxa" w:w="20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2025 ← 2024 value (94.11)</w:t>
            </w:r>
          </w:p>
        </w:tc>
        <w:tc>
          <w:tcPr>
            <w:tcW w:type="dxa" w:w="30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Near saturation since 2021; linear trend regression gave R² = 0.50, indicating a poor fit for a plateau series</w:t>
            </w:r>
          </w:p>
        </w:tc>
      </w:tr>
      <w:tr>
        <w:tc>
          <w:tcPr>
            <w:tcW w:type="dxa" w:w="22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Internet_Users_Pct</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All of 2025 (annual)</w:t>
            </w:r>
          </w:p>
        </w:tc>
        <w:tc>
          <w:tcPr>
            <w:tcW w:type="dxa" w:w="1300"/>
            <w:shd w:fill="FDF1EB" w:val="clear"/>
            <w:tcMar>
              <w:top w:type="dxa" w:w="80"/>
              <w:left w:type="dxa" w:w="120"/>
              <w:bottom w:type="dxa" w:w="80"/>
              <w:right w:type="dxa" w:w="120"/>
            </w:tcMar>
          </w:tcPr>
          <w:p>
            <w:pPr>
              <w:jc w:val="center"/>
            </w:pPr>
            <w:r>
              <w:rPr>
                <w:rFonts w:ascii="Calibri" w:cs="Calibri" w:eastAsia="Calibri" w:hAnsi="Calibri"/>
                <w:b w:val="false"/>
                <w:bCs w:val="false"/>
                <w:color w:val="000000"/>
                <w:sz w:val="19"/>
                <w:szCs w:val="19"/>
              </w:rPr>
              <w:t xml:space="preserve">Forward Fill</w:t>
            </w:r>
          </w:p>
        </w:tc>
        <w:tc>
          <w:tcPr>
            <w:tcW w:type="dxa" w:w="20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2025 ← 2024 value (94.35)</w:t>
            </w:r>
          </w:p>
        </w:tc>
        <w:tc>
          <w:tcPr>
            <w:tcW w:type="dxa" w:w="30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&gt;93% penetration since 2021; year-on-year change &lt;0.5pp — flat carry-forward is the most defensible assumption</w:t>
            </w:r>
          </w:p>
        </w:tc>
      </w:tr>
    </w:tbl>
    <w:p>
      <w:pPr>
        <w:spacing w:after="120" w:before="80"/>
      </w:pPr>
      <w:r>
        <w:rPr>
          <w:rFonts w:ascii="Calibri" w:cs="Calibri" w:eastAsia="Calibri" w:hAnsi="Calibri"/>
          <w:i/>
          <w:iCs/>
          <w:color w:val="666666"/>
          <w:sz w:val="18"/>
          <w:szCs w:val="18"/>
        </w:rPr>
        <w:t xml:space="preserve">Table 3. Imputation methods applied to variables with missing values.</w:t>
      </w:r>
    </w:p>
    <w:p>
      <w:pPr>
        <w:spacing w:after="120"/>
      </w:pPr>
      <w:r>
        <w:rPr>
          <w:rFonts w:ascii="Calibri" w:cs="Calibri" w:eastAsia="Calibri" w:hAnsi="Calibri"/>
          <w:b/>
          <w:bCs/>
          <w:sz w:val="22"/>
          <w:szCs w:val="22"/>
        </w:rPr>
        <w:t xml:space="preserve">HFCE — OLS Regression. </w:t>
      </w:r>
      <w:r>
        <w:rPr>
          <w:rFonts w:ascii="Calibri" w:cs="Calibri" w:eastAsia="Calibri" w:hAnsi="Calibri"/>
          <w:sz w:val="22"/>
          <w:szCs w:val="22"/>
        </w:rPr>
        <w:t xml:space="preserve">The regression model uses a monotonic time index (t = 0 for January 2017, t = 101 for June 2025) and eleven month dummy variables (February through December, with January as the reference category). The time index captures the long-run upward trend in household spending; the month dummies capture the recurring seasonal pattern (spending tends to dip in mid-year and recover in Q4). The model was estimated on 102 observed monthly data points and achieved an R² of 0.85, indicating a strong fit. Regression imputation was chosen over simple forward fill because the six-month gap is too long to be credibly approximated by a flat-line carry-forward given the clear upward trend.</w:t>
      </w:r>
    </w:p>
    <w:p>
      <w:pPr>
        <w:spacing w:after="120"/>
      </w:pPr>
      <w:r>
        <w:rPr>
          <w:rFonts w:ascii="Calibri" w:cs="Calibri" w:eastAsia="Calibri" w:hAnsi="Calibri"/>
          <w:b/>
          <w:bCs/>
          <w:sz w:val="22"/>
          <w:szCs w:val="22"/>
        </w:rPr>
        <w:t xml:space="preserve">Mobile Subscriptions &amp; Internet Users — Forward Fill. </w:t>
      </w:r>
      <w:r>
        <w:rPr>
          <w:rFonts w:ascii="Calibri" w:cs="Calibri" w:eastAsia="Calibri" w:hAnsi="Calibri"/>
          <w:sz w:val="22"/>
          <w:szCs w:val="22"/>
        </w:rPr>
        <w:t xml:space="preserve">Both ITU indicators plateaued around 2021–2022: mobile subscriptions have oscillated between 84 and 94 per 100 people since 2019 (with a COVID-related dip in 2020), and internet penetration has remained above 93% since 2021 with year-on-year changes below 0.5 percentage points. A linear regression on Year was tested but produced low R² values (0.50 for mobile, 0.23 for internet), confirming that a linear trend model is a poor fit for saturated, near-flat series. Carrying the most recent observed value (2024) forward to 2025 — </w:t>
      </w:r>
      <w:r>
        <w:rPr>
          <w:rFonts w:ascii="Calibri" w:cs="Calibri" w:eastAsia="Calibri" w:hAnsi="Calibri"/>
          <w:b/>
          <w:bCs/>
          <w:sz w:val="22"/>
          <w:szCs w:val="22"/>
        </w:rPr>
        <w:t xml:space="preserve">forward fill</w:t>
      </w:r>
      <w:r>
        <w:rPr>
          <w:rFonts w:ascii="Calibri" w:cs="Calibri" w:eastAsia="Calibri" w:hAnsi="Calibri"/>
          <w:sz w:val="22"/>
          <w:szCs w:val="22"/>
        </w:rPr>
        <w:t xml:space="preserve"> — is therefore the most defensible imputation for both indicators.</w:t>
      </w:r>
    </w:p>
    <w:p>
      <w:pPr>
        <w:pStyle w:val="Heading2"/>
      </w:pPr>
      <w:r>
        <w:t xml:space="preserve">3.4  Additional Cleaning Steps</w:t>
      </w:r>
    </w:p>
    <w:p>
      <w:pPr>
        <w:pStyle w:val="ListParagraph"/>
        <w:numPr>
          <w:ilvl w:val="0"/>
          <w:numId w:val="1"/>
        </w:numPr>
        <w:spacing w:after="80"/>
      </w:pPr>
      <w:r>
        <w:rPr>
          <w:rFonts w:ascii="Calibri" w:cs="Calibri" w:eastAsia="Calibri" w:hAnsi="Calibri"/>
          <w:b/>
          <w:bCs/>
          <w:sz w:val="22"/>
          <w:szCs w:val="22"/>
        </w:rPr>
        <w:t xml:space="preserve">String-formatted number: </w:t>
      </w:r>
      <w:r>
        <w:rPr>
          <w:rFonts w:ascii="Calibri" w:cs="Calibri" w:eastAsia="Calibri" w:hAnsi="Calibri"/>
          <w:sz w:val="22"/>
          <w:szCs w:val="22"/>
        </w:rPr>
        <w:t xml:space="preserve">One cell in the retail e-commerce source file contained the value "5,024,757" stored as a text string rather than a number. This was detected at load time and converted to a float by stripping commas.</w:t>
      </w:r>
    </w:p>
    <w:p>
      <w:pPr>
        <w:pStyle w:val="ListParagraph"/>
        <w:numPr>
          <w:ilvl w:val="0"/>
          <w:numId w:val="1"/>
        </w:numPr>
        <w:spacing w:after="80"/>
      </w:pPr>
      <w:r>
        <w:rPr>
          <w:rFonts w:ascii="Calibri" w:cs="Calibri" w:eastAsia="Calibri" w:hAnsi="Calibri"/>
          <w:b/>
          <w:bCs/>
          <w:sz w:val="22"/>
          <w:szCs w:val="22"/>
        </w:rPr>
        <w:t xml:space="preserve">Extra columns: </w:t>
      </w:r>
      <w:r>
        <w:rPr>
          <w:rFonts w:ascii="Calibri" w:cs="Calibri" w:eastAsia="Calibri" w:hAnsi="Calibri"/>
          <w:sz w:val="22"/>
          <w:szCs w:val="22"/>
        </w:rPr>
        <w:t xml:space="preserve">The Internet Users file contained 15 columns, but only the first two (Year and value) held data; the remaining 13 were empty export artifacts. These were dropped at load time by filtering on non-null header names.</w:t>
      </w:r>
    </w:p>
    <w:p>
      <w:pPr>
        <w:pStyle w:val="ListParagraph"/>
        <w:numPr>
          <w:ilvl w:val="0"/>
          <w:numId w:val="1"/>
        </w:numPr>
        <w:spacing w:after="80"/>
      </w:pPr>
      <w:r>
        <w:rPr>
          <w:rFonts w:ascii="Calibri" w:cs="Calibri" w:eastAsia="Calibri" w:hAnsi="Calibri"/>
          <w:b/>
          <w:bCs/>
          <w:sz w:val="22"/>
          <w:szCs w:val="22"/>
        </w:rPr>
        <w:t xml:space="preserve">Year as string: </w:t>
      </w:r>
      <w:r>
        <w:rPr>
          <w:rFonts w:ascii="Calibri" w:cs="Calibri" w:eastAsia="Calibri" w:hAnsi="Calibri"/>
          <w:sz w:val="22"/>
          <w:szCs w:val="22"/>
        </w:rPr>
        <w:t xml:space="preserve">The Internet Users file stored the Year column as text (e.g. "2017"). This was coerced to an integer to ensure correct join behaviour.</w:t>
      </w:r>
    </w:p>
    <w:p>
      <w:pPr>
        <w:pStyle w:val="ListParagraph"/>
        <w:numPr>
          <w:ilvl w:val="0"/>
          <w:numId w:val="1"/>
        </w:numPr>
        <w:spacing w:after="80"/>
      </w:pPr>
      <w:r>
        <w:rPr>
          <w:rFonts w:ascii="Calibri" w:cs="Calibri" w:eastAsia="Calibri" w:hAnsi="Calibri"/>
          <w:b/>
          <w:bCs/>
          <w:sz w:val="22"/>
          <w:szCs w:val="22"/>
        </w:rPr>
        <w:t xml:space="preserve">Derived variable: </w:t>
      </w:r>
      <w:r>
        <w:rPr>
          <w:rFonts w:ascii="Calibri" w:cs="Calibri" w:eastAsia="Calibri" w:hAnsi="Calibri"/>
          <w:sz w:val="22"/>
          <w:szCs w:val="22"/>
        </w:rPr>
        <w:t xml:space="preserve">Urban Population as a Percentage of Total Population was computed as (Urban Population ÷ Total Population) × 100. This variable was not available in any source directly and is derived to allow direct trend comparison across years.</w:t>
      </w:r>
    </w:p>
    <w:p>
      <w:pPr>
        <w:spacing w:after="60"/>
      </w:pPr>
      <w:r>
        <w:rPr>
          <w:rFonts w:ascii="Calibri" w:cs="Calibri" w:eastAsia="Calibri" w:hAnsi="Calibri"/>
          <w:sz w:val="22"/>
          <w:szCs w:val="22"/>
        </w:rPr>
        <w:t xml:space="preserve"/>
      </w:r>
    </w:p>
    <w:p>
      <w:pPr>
        <w:pStyle w:val="Heading1"/>
      </w:pPr>
      <w:r>
        <w:t xml:space="preserve">4. Final Dataset Overview</w:t>
      </w:r>
    </w:p>
    <w:p>
      <w:pPr>
        <w:spacing w:after="120"/>
      </w:pPr>
      <w:r>
        <w:rPr>
          <w:rFonts w:ascii="Calibri" w:cs="Calibri" w:eastAsia="Calibri" w:hAnsi="Calibri"/>
          <w:b/>
          <w:bCs/>
          <w:sz w:val="22"/>
          <w:szCs w:val="22"/>
        </w:rPr>
        <w:t xml:space="preserve">Unit of analysis: </w:t>
      </w:r>
      <w:r>
        <w:rPr>
          <w:rFonts w:ascii="Calibri" w:cs="Calibri" w:eastAsia="Calibri" w:hAnsi="Calibri"/>
          <w:sz w:val="22"/>
          <w:szCs w:val="22"/>
        </w:rPr>
        <w:t xml:space="preserve">Canada (national level)</w:t>
      </w:r>
    </w:p>
    <w:p>
      <w:pPr>
        <w:spacing w:after="120"/>
      </w:pPr>
      <w:r>
        <w:rPr>
          <w:rFonts w:ascii="Calibri" w:cs="Calibri" w:eastAsia="Calibri" w:hAnsi="Calibri"/>
          <w:b/>
          <w:bCs/>
          <w:sz w:val="22"/>
          <w:szCs w:val="22"/>
        </w:rPr>
        <w:t xml:space="preserve">Time range: </w:t>
      </w:r>
      <w:r>
        <w:rPr>
          <w:rFonts w:ascii="Calibri" w:cs="Calibri" w:eastAsia="Calibri" w:hAnsi="Calibri"/>
          <w:sz w:val="22"/>
          <w:szCs w:val="22"/>
        </w:rPr>
        <w:t xml:space="preserve">January 2017 – December 2025 (108 monthly observations; 9 complete calendar years)</w:t>
      </w:r>
    </w:p>
    <w:p>
      <w:pPr>
        <w:spacing w:after="120"/>
      </w:pPr>
      <w:r>
        <w:rPr>
          <w:rFonts w:ascii="Calibri" w:cs="Calibri" w:eastAsia="Calibri" w:hAnsi="Calibri"/>
          <w:b/>
          <w:bCs/>
          <w:sz w:val="22"/>
          <w:szCs w:val="22"/>
        </w:rPr>
        <w:t xml:space="preserve">Number of variables: </w:t>
      </w:r>
      <w:r>
        <w:rPr>
          <w:rFonts w:ascii="Calibri" w:cs="Calibri" w:eastAsia="Calibri" w:hAnsi="Calibri"/>
          <w:sz w:val="22"/>
          <w:szCs w:val="22"/>
        </w:rPr>
        <w:t xml:space="preserve">14 analytical variables + 1 imputation flag column (15 columns total, excluding the row-number index)</w:t>
      </w:r>
    </w:p>
    <w:p>
      <w:pPr>
        <w:spacing w:after="120"/>
      </w:pPr>
      <w:r>
        <w:rPr>
          <w:rFonts w:ascii="Calibri" w:cs="Calibri" w:eastAsia="Calibri" w:hAnsi="Calibri"/>
          <w:b/>
          <w:bCs/>
          <w:sz w:val="22"/>
          <w:szCs w:val="22"/>
        </w:rPr>
        <w:t xml:space="preserve">PESTEL coverage: </w:t>
      </w:r>
      <w:r>
        <w:rPr>
          <w:rFonts w:ascii="Calibri" w:cs="Calibri" w:eastAsia="Calibri" w:hAnsi="Calibri"/>
          <w:sz w:val="22"/>
          <w:szCs w:val="22"/>
        </w:rPr>
        <w:t xml:space="preserve">3 components — Economic (6 variables), Social (3 variables), Technological (2 variables)</w:t>
      </w:r>
    </w:p>
    <w:p>
      <w:pPr>
        <w:spacing w:after="120"/>
      </w:pPr>
      <w:r>
        <w:rPr>
          <w:rFonts w:ascii="Calibri" w:cs="Calibri" w:eastAsia="Calibri" w:hAnsi="Calibri"/>
          <w:b/>
          <w:bCs/>
          <w:sz w:val="22"/>
          <w:szCs w:val="22"/>
        </w:rPr>
        <w:t xml:space="preserve">Missing values after cleaning: </w:t>
      </w:r>
      <w:r>
        <w:rPr>
          <w:rFonts w:ascii="Calibri" w:cs="Calibri" w:eastAsia="Calibri" w:hAnsi="Calibri"/>
          <w:sz w:val="22"/>
          <w:szCs w:val="22"/>
        </w:rPr>
        <w:t xml:space="preserve">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500"/>
        <w:gridCol w:w="1200"/>
        <w:gridCol w:w="1500"/>
      </w:tblGrid>
      <w:tr>
        <w:trPr>
          <w:tblHeader/>
        </w:trPr>
        <w:tc>
          <w:tcPr>
            <w:tcW w:type="dxa" w:w="23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w:t>
            </w:r>
          </w:p>
        </w:tc>
        <w:tc>
          <w:tcPr>
            <w:tcW w:type="dxa" w:w="15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PESTEL</w:t>
            </w:r>
          </w:p>
        </w:tc>
        <w:tc>
          <w:tcPr>
            <w:tcW w:type="dxa" w:w="35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w:t>
            </w:r>
          </w:p>
        </w:tc>
        <w:tc>
          <w:tcPr>
            <w:tcW w:type="dxa" w:w="12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Unit</w:t>
            </w:r>
          </w:p>
        </w:tc>
        <w:tc>
          <w:tcPr>
            <w:tcW w:type="dxa" w:w="1500"/>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Coverage</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CPI_Index</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Monthly CPI, seasonally adjusted (base 2002=100)</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Index</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CPI_YoY_Pct</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 % change vs same month prior year (unadjusted)</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CPI_MoM_Pct</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CPI % change vs prior month</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Consumer_Confidence_Index</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Monthly Consumer Confidence Index (100 = neutral)</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Index</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HFCE_Millions</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Monthly household consumption expenditure; Jul–Dec 2025 OLS-imputed</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CAD Millions</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 *</w:t>
            </w:r>
          </w:p>
        </w:tc>
      </w:tr>
      <w:tr>
        <w:tc>
          <w:tcPr>
            <w:tcW w:type="dxa" w:w="23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Ecommerce_Sales_000s</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Economic</w:t>
            </w:r>
          </w:p>
        </w:tc>
        <w:tc>
          <w:tcPr>
            <w:tcW w:type="dxa" w:w="3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Monthly retail e-commerce sales</w:t>
            </w:r>
          </w:p>
        </w:tc>
        <w:tc>
          <w:tcPr>
            <w:tcW w:type="dxa" w:w="12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CAD ×1,000</w:t>
            </w:r>
          </w:p>
        </w:tc>
        <w:tc>
          <w:tcPr>
            <w:tcW w:type="dxa" w:w="1500"/>
            <w:shd w:fill="EAF6EC"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2017-01–2025-12</w:t>
            </w:r>
          </w:p>
        </w:tc>
      </w:tr>
      <w:tr>
        <w:tc>
          <w:tcPr>
            <w:tcW w:type="dxa" w:w="23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Total_Population</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Social</w:t>
            </w:r>
          </w:p>
        </w:tc>
        <w:tc>
          <w:tcPr>
            <w:tcW w:type="dxa" w:w="3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Annual total population — repeated each month via Year key</w:t>
            </w:r>
          </w:p>
        </w:tc>
        <w:tc>
          <w:tcPr>
            <w:tcW w:type="dxa" w:w="12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Persons</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2017–2025</w:t>
            </w:r>
          </w:p>
        </w:tc>
      </w:tr>
      <w:tr>
        <w:tc>
          <w:tcPr>
            <w:tcW w:type="dxa" w:w="23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Urban_Population</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Social</w:t>
            </w:r>
          </w:p>
        </w:tc>
        <w:tc>
          <w:tcPr>
            <w:tcW w:type="dxa" w:w="3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Annual urban population — repeated each month via Year key</w:t>
            </w:r>
          </w:p>
        </w:tc>
        <w:tc>
          <w:tcPr>
            <w:tcW w:type="dxa" w:w="12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Persons</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2017–2025</w:t>
            </w:r>
          </w:p>
        </w:tc>
      </w:tr>
      <w:tr>
        <w:tc>
          <w:tcPr>
            <w:tcW w:type="dxa" w:w="23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Urban_Pct_Population</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Social</w:t>
            </w:r>
          </w:p>
        </w:tc>
        <w:tc>
          <w:tcPr>
            <w:tcW w:type="dxa" w:w="3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Urban % of total population (derived: Urban÷Total×100)</w:t>
            </w:r>
          </w:p>
        </w:tc>
        <w:tc>
          <w:tcPr>
            <w:tcW w:type="dxa" w:w="12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w:t>
            </w:r>
          </w:p>
        </w:tc>
        <w:tc>
          <w:tcPr>
            <w:tcW w:type="dxa" w:w="1500"/>
            <w:shd w:fill="DDEEF9"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2017–2025</w:t>
            </w:r>
          </w:p>
        </w:tc>
      </w:tr>
      <w:tr>
        <w:tc>
          <w:tcPr>
            <w:tcW w:type="dxa" w:w="23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Mobile_Subscriptions_Per100</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Technological</w:t>
            </w:r>
          </w:p>
        </w:tc>
        <w:tc>
          <w:tcPr>
            <w:tcW w:type="dxa" w:w="3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Mobile cellular subscriptions per 100; 2025 forward-filled from 2024</w:t>
            </w:r>
          </w:p>
        </w:tc>
        <w:tc>
          <w:tcPr>
            <w:tcW w:type="dxa" w:w="12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Per 100 people</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2017–2025 *</w:t>
            </w:r>
          </w:p>
        </w:tc>
      </w:tr>
      <w:tr>
        <w:tc>
          <w:tcPr>
            <w:tcW w:type="dxa" w:w="23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Internet_Users_Pct</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Technological</w:t>
            </w:r>
          </w:p>
        </w:tc>
        <w:tc>
          <w:tcPr>
            <w:tcW w:type="dxa" w:w="3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 of population using the internet; 2025 forward-filled from 2024</w:t>
            </w:r>
          </w:p>
        </w:tc>
        <w:tc>
          <w:tcPr>
            <w:tcW w:type="dxa" w:w="12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 of population</w:t>
            </w:r>
          </w:p>
        </w:tc>
        <w:tc>
          <w:tcPr>
            <w:tcW w:type="dxa" w:w="1500"/>
            <w:shd w:fill="FDF1EB"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2017–2025 *</w:t>
            </w:r>
          </w:p>
        </w:tc>
      </w:tr>
    </w:tbl>
    <w:p>
      <w:pPr>
        <w:spacing w:after="120" w:before="80"/>
      </w:pPr>
      <w:r>
        <w:rPr>
          <w:rFonts w:ascii="Calibri" w:cs="Calibri" w:eastAsia="Calibri" w:hAnsi="Calibri"/>
          <w:i/>
          <w:iCs/>
          <w:color w:val="666666"/>
          <w:sz w:val="18"/>
          <w:szCs w:val="18"/>
        </w:rPr>
        <w:t xml:space="preserve">Table 4. Final dataset — variable dictionary and PESTEL mapping. (*) = contains regression or forward-fill imputed values.</w:t>
      </w:r>
    </w:p>
    <w:p>
      <w:pPr>
        <w:pBdr>
          <w:bottom w:val="single" w:color="D9D9D9" w:sz="4"/>
        </w:pBdr>
        <w:spacing w:after="160" w:before="160"/>
      </w:pPr>
    </w:p>
    <w:p>
      <w:pPr>
        <w:spacing w:after="120"/>
      </w:pPr>
      <w:r>
        <w:rPr>
          <w:rFonts w:ascii="Calibri" w:cs="Calibri" w:eastAsia="Calibri" w:hAnsi="Calibri"/>
          <w:i/>
          <w:iCs/>
          <w:color w:val="555555"/>
          <w:sz w:val="20"/>
          <w:szCs w:val="20"/>
        </w:rPr>
        <w:t xml:space="preserve">The consolidated dataset is provided as a separate Excel file: PESTEL_Monthly_Dataset_v2.xlsx, which contains four sheets: (1) Consolidated Dataset — the full merged and cleaned monthly table; (2) Imputation Log — method, justification, model details, and imputed values for each affected variable; (3) Variable Dictionary — descriptions, units, sources, and PESTEL mapping; (4) Data Sources — full citations mapped to PESTEL components. The full data preparation pipeline, including all imputation code, is documented in PESTEL_Data_Pipeline.ipynb.</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 w:type="paragraph" w:styleId="Heading1">
    <w:name w:val="Heading 1"/>
    <w:basedOn w:val="Normal"/>
    <w:next w:val="Normal"/>
    <w:pPr>
      <w:spacing w:after="120" w:before="280"/>
    </w:pPr>
    <w:rPr>
      <w:rFonts w:ascii="Calibri" w:cs="Calibri" w:eastAsia="Calibri" w:hAnsi="Calibri"/>
      <w:b/>
      <w:bCs/>
      <w:color w:val="1F3864"/>
      <w:sz w:val="28"/>
      <w:szCs w:val="28"/>
    </w:rPr>
  </w:style>
  <w:style w:type="paragraph" w:styleId="Heading2">
    <w:name w:val="Heading 2"/>
    <w:basedOn w:val="Normal"/>
    <w:next w:val="Normal"/>
    <w:pPr>
      <w:spacing w:after="80" w:before="200"/>
    </w:pPr>
    <w:rPr>
      <w:rFonts w:ascii="Calibri" w:cs="Calibri" w:eastAsia="Calibri" w:hAnsi="Calibri"/>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2026-08-03T02:04:55.107Z</dcterms:created>
  <dcterms:modified xsi:type="dcterms:W3CDTF">2026-08-03T02:04:55.113Z</dcterms:modified>
</cp:coreProperties>
</file>

<file path=docProps/custom.xml><?xml version="1.0" encoding="utf-8"?>
<Properties xmlns="http://schemas.openxmlformats.org/officeDocument/2006/custom-properties" xmlns:vt="http://schemas.openxmlformats.org/officeDocument/2006/docPropsVTypes"/>
</file>