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Predicting Credit Default Risk</w:t>
      </w:r>
    </w:p>
    <w:p>
      <w:pPr>
        <w:jc w:val="center"/>
      </w:pPr>
      <w:r>
        <w:rPr>
          <w:b/>
          <w:sz w:val="28"/>
        </w:rPr>
        <w:t>Group 6 Written Report</w:t>
      </w:r>
    </w:p>
    <w:p>
      <w:pPr>
        <w:jc w:val="center"/>
      </w:pPr>
      <w:r>
        <w:rPr>
          <w:sz w:val="22"/>
        </w:rPr>
        <w:t>Python Assignment - Data Analytics Workflow, Visualization, and Machine Learning</w:t>
      </w:r>
    </w:p>
    <w:p>
      <w:pPr>
        <w:jc w:val="center"/>
      </w:pPr>
      <w:r>
        <w:rPr>
          <w:sz w:val="20"/>
        </w:rPr>
        <w:t>Date: June 13, 2026</w:t>
      </w:r>
    </w:p>
    <w:p/>
    <w:p>
      <w:pPr>
        <w:pStyle w:val="Heading1"/>
      </w:pPr>
      <w:r>
        <w:t>Executive Summary</w:t>
      </w:r>
    </w:p>
    <w:p>
      <w:r>
        <w:t>This project analyzed historical loan application data to predict credit default risk. The main applications dataset contains 85,000 records and 22 columns, while the supplementary inquiries dataset contains 45,000 records and 8 columns. The prediction target was created as target_default = 1 when the final loan outcome was Charged Off and 0 otherwise. The data was balanced, with a default rate of 50.00%.</w:t>
      </w:r>
    </w:p>
    <w:p>
      <w:r>
        <w:t>After cleaning mixed text/numeric fields, handling missing values, and engineering features such as repayment term, interest rate, revolving utilization, and employment tenure, two classification models were trained: Logistic Regression and Random Forest. The models produced similar performance, with Random Forest slightly stronger by ROC-AUC in this run. The model should be viewed as a decision-support tool rather than a replacement for human credit review.</w:t>
      </w:r>
    </w:p>
    <w:p>
      <w:pPr>
        <w:pStyle w:val="Heading1"/>
      </w:pPr>
      <w:r>
        <w:t>1. Dataset and Target Variable</w:t>
      </w:r>
    </w:p>
    <w:p>
      <w:r>
        <w:t>The main dataset, creditrisk_applications_final.csv, contains borrower, loan, credit profile, and final loan outcome information. Each row represents a completed credit application. The supplementary dataset, creditrisk_inquiries_final.csv, contains inquiry-level information such as application date, screening score, debt-to-income text, region, and employment tenure. The inquiries dataset did not include a final default outcome or a common application identifier, so it was used for supplementary data understanding rather than model training.</w:t>
      </w:r>
    </w:p>
    <w:p>
      <w:r>
        <w:t>The binary target variable was defined as follows: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rFonts w:ascii="Aptos" w:hAnsi="Aptos"/>
                <w:sz w:val="19"/>
              </w:rPr>
            </w:r>
            <w:r>
              <w:rPr>
                <w:rFonts w:ascii="Aptos" w:hAnsi="Aptos"/>
                <w:b/>
                <w:sz w:val="19"/>
              </w:rPr>
              <w:t>Outcome condition</w:t>
            </w:r>
          </w:p>
        </w:tc>
        <w:tc>
          <w:tcPr>
            <w:tcW w:type="dxa" w:w="4896"/>
            <w:shd w:fill="D9EAF7"/>
            <w:vAlign w:val="center"/>
          </w:tcPr>
          <w:p>
            <w:r>
              <w:rPr>
                <w:rFonts w:ascii="Aptos" w:hAnsi="Aptos"/>
                <w:sz w:val="19"/>
              </w:rPr>
            </w:r>
            <w:r>
              <w:rPr>
                <w:rFonts w:ascii="Aptos" w:hAnsi="Aptos"/>
                <w:b/>
                <w:sz w:val="19"/>
              </w:rPr>
              <w:t>Target value</w:t>
            </w:r>
          </w:p>
        </w:tc>
      </w:tr>
      <w:tr>
        <w:tc>
          <w:tcPr>
            <w:tcW w:type="dxa" w:w="4896"/>
            <w:vAlign w:val="center"/>
          </w:tcPr>
          <w:p>
            <w:r>
              <w:rPr>
                <w:rFonts w:ascii="Aptos" w:hAnsi="Aptos"/>
                <w:sz w:val="19"/>
              </w:rPr>
            </w:r>
            <w:r>
              <w:rPr>
                <w:rFonts w:ascii="Aptos" w:hAnsi="Aptos"/>
                <w:b w:val="0"/>
                <w:sz w:val="19"/>
              </w:rPr>
              <w:t>outcome_status = Charged Off</w:t>
            </w:r>
          </w:p>
        </w:tc>
        <w:tc>
          <w:tcPr>
            <w:tcW w:type="dxa" w:w="4896"/>
            <w:vAlign w:val="center"/>
          </w:tcPr>
          <w:p>
            <w:r>
              <w:rPr>
                <w:rFonts w:ascii="Aptos" w:hAnsi="Aptos"/>
                <w:sz w:val="19"/>
              </w:rPr>
            </w:r>
            <w:r>
              <w:rPr>
                <w:rFonts w:ascii="Aptos" w:hAnsi="Aptos"/>
                <w:b w:val="0"/>
                <w:sz w:val="19"/>
              </w:rPr>
              <w:t>target_default = 1</w:t>
            </w:r>
          </w:p>
        </w:tc>
      </w:tr>
      <w:tr>
        <w:tc>
          <w:tcPr>
            <w:tcW w:type="dxa" w:w="4896"/>
            <w:vAlign w:val="center"/>
          </w:tcPr>
          <w:p>
            <w:r>
              <w:rPr>
                <w:rFonts w:ascii="Aptos" w:hAnsi="Aptos"/>
                <w:sz w:val="19"/>
              </w:rPr>
            </w:r>
            <w:r>
              <w:rPr>
                <w:rFonts w:ascii="Aptos" w:hAnsi="Aptos"/>
                <w:b w:val="0"/>
                <w:sz w:val="19"/>
              </w:rPr>
              <w:t>All other outcomes</w:t>
            </w:r>
          </w:p>
        </w:tc>
        <w:tc>
          <w:tcPr>
            <w:tcW w:type="dxa" w:w="4896"/>
            <w:vAlign w:val="center"/>
          </w:tcPr>
          <w:p>
            <w:r>
              <w:rPr>
                <w:rFonts w:ascii="Aptos" w:hAnsi="Aptos"/>
                <w:sz w:val="19"/>
              </w:rPr>
            </w:r>
            <w:r>
              <w:rPr>
                <w:rFonts w:ascii="Aptos" w:hAnsi="Aptos"/>
                <w:b w:val="0"/>
                <w:sz w:val="19"/>
              </w:rPr>
              <w:t>target_default = 0</w:t>
            </w:r>
          </w:p>
        </w:tc>
      </w:tr>
    </w:tbl>
    <w:p>
      <w:pPr>
        <w:pStyle w:val="Heading1"/>
      </w:pPr>
      <w:r>
        <w:t>2. Data Cleaning and Preparation</w:t>
      </w:r>
    </w:p>
    <w:p>
      <w:r>
        <w:t>The cleaning process focused on preparing the data for meaningful analysis and reproducible modeling. The key cleaning actions were:</w:t>
      </w:r>
    </w:p>
    <w:p>
      <w:pPr>
        <w:pStyle w:val="ListBullet"/>
      </w:pPr>
      <w:r>
        <w:t>Created target_default from outcome_status.</w:t>
      </w:r>
    </w:p>
    <w:p>
      <w:pPr>
        <w:pStyle w:val="ListBullet"/>
      </w:pPr>
      <w:r>
        <w:t>Converted interest rate, repayment term, debt-to-income ratio, revolving utilization, and employment tenure into usable numeric features.</w:t>
      </w:r>
    </w:p>
    <w:p>
      <w:pPr>
        <w:pStyle w:val="ListBullet"/>
      </w:pPr>
      <w:r>
        <w:t>Converted inquiry application_date into a date field.</w:t>
      </w:r>
    </w:p>
    <w:p>
      <w:pPr>
        <w:pStyle w:val="ListBullet"/>
      </w:pPr>
      <w:r>
        <w:t>Checked missing values and duplicates in both datasets.</w:t>
      </w:r>
    </w:p>
    <w:p>
      <w:pPr>
        <w:pStyle w:val="ListBullet"/>
      </w:pPr>
      <w:r>
        <w:t>Dropped duplicate rows where present.</w:t>
      </w:r>
    </w:p>
    <w:p>
      <w:pPr>
        <w:pStyle w:val="ListBullet"/>
      </w:pPr>
      <w:r>
        <w:t>Kept rows with missing predictor values and handled them inside the modeling pipeline using median imputation for numeric fields and most-frequent imputation for categorical fields.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rPr>
                <w:rFonts w:ascii="Aptos" w:hAnsi="Aptos"/>
                <w:sz w:val="19"/>
              </w:rPr>
            </w:r>
            <w:r>
              <w:rPr>
                <w:rFonts w:ascii="Aptos" w:hAnsi="Aptos"/>
                <w:b/>
                <w:sz w:val="19"/>
              </w:rPr>
              <w:t>Dataset</w:t>
            </w:r>
          </w:p>
        </w:tc>
        <w:tc>
          <w:tcPr>
            <w:tcW w:type="dxa" w:w="3264"/>
            <w:shd w:fill="D9EAF7"/>
            <w:vAlign w:val="center"/>
          </w:tcPr>
          <w:p>
            <w:r>
              <w:rPr>
                <w:rFonts w:ascii="Aptos" w:hAnsi="Aptos"/>
                <w:sz w:val="19"/>
              </w:rPr>
            </w:r>
            <w:r>
              <w:rPr>
                <w:rFonts w:ascii="Aptos" w:hAnsi="Aptos"/>
                <w:b/>
                <w:sz w:val="19"/>
              </w:rPr>
              <w:t>Field with missing values</w:t>
            </w:r>
          </w:p>
        </w:tc>
        <w:tc>
          <w:tcPr>
            <w:tcW w:type="dxa" w:w="3264"/>
            <w:shd w:fill="D9EAF7"/>
            <w:vAlign w:val="center"/>
          </w:tcPr>
          <w:p>
            <w:r>
              <w:rPr>
                <w:rFonts w:ascii="Aptos" w:hAnsi="Aptos"/>
                <w:sz w:val="19"/>
              </w:rPr>
            </w:r>
            <w:r>
              <w:rPr>
                <w:rFonts w:ascii="Aptos" w:hAnsi="Aptos"/>
                <w:b/>
                <w:sz w:val="19"/>
              </w:rPr>
              <w:t>Missing count</w:t>
            </w:r>
          </w:p>
        </w:tc>
      </w:tr>
      <w:tr>
        <w:tc>
          <w:tcPr>
            <w:tcW w:type="dxa" w:w="3264"/>
            <w:vAlign w:val="center"/>
          </w:tcPr>
          <w:p>
            <w:r>
              <w:rPr>
                <w:rFonts w:ascii="Aptos" w:hAnsi="Aptos"/>
                <w:sz w:val="19"/>
              </w:rPr>
            </w:r>
            <w:r>
              <w:rPr>
                <w:rFonts w:ascii="Aptos" w:hAnsi="Aptos"/>
                <w:b w:val="0"/>
                <w:sz w:val="19"/>
              </w:rPr>
              <w:t>Applications</w:t>
            </w:r>
          </w:p>
        </w:tc>
        <w:tc>
          <w:tcPr>
            <w:tcW w:type="dxa" w:w="3264"/>
            <w:vAlign w:val="center"/>
          </w:tcPr>
          <w:p>
            <w:r>
              <w:rPr>
                <w:rFonts w:ascii="Aptos" w:hAnsi="Aptos"/>
                <w:sz w:val="19"/>
              </w:rPr>
            </w:r>
            <w:r>
              <w:rPr>
                <w:rFonts w:ascii="Aptos" w:hAnsi="Aptos"/>
                <w:b w:val="0"/>
                <w:sz w:val="19"/>
              </w:rPr>
              <w:t>employment_tenure_text</w:t>
            </w:r>
          </w:p>
        </w:tc>
        <w:tc>
          <w:tcPr>
            <w:tcW w:type="dxa" w:w="3264"/>
            <w:vAlign w:val="center"/>
          </w:tcPr>
          <w:p>
            <w:r>
              <w:rPr>
                <w:rFonts w:ascii="Aptos" w:hAnsi="Aptos"/>
                <w:sz w:val="19"/>
              </w:rPr>
            </w:r>
            <w:r>
              <w:rPr>
                <w:rFonts w:ascii="Aptos" w:hAnsi="Aptos"/>
                <w:b w:val="0"/>
                <w:sz w:val="19"/>
              </w:rPr>
              <w:t>8,676</w:t>
            </w:r>
          </w:p>
        </w:tc>
      </w:tr>
      <w:tr>
        <w:tc>
          <w:tcPr>
            <w:tcW w:type="dxa" w:w="3264"/>
            <w:vAlign w:val="center"/>
          </w:tcPr>
          <w:p>
            <w:r>
              <w:rPr>
                <w:rFonts w:ascii="Aptos" w:hAnsi="Aptos"/>
                <w:sz w:val="19"/>
              </w:rPr>
            </w:r>
            <w:r>
              <w:rPr>
                <w:rFonts w:ascii="Aptos" w:hAnsi="Aptos"/>
                <w:b w:val="0"/>
                <w:sz w:val="19"/>
              </w:rPr>
              <w:t>Applications</w:t>
            </w:r>
          </w:p>
        </w:tc>
        <w:tc>
          <w:tcPr>
            <w:tcW w:type="dxa" w:w="3264"/>
            <w:vAlign w:val="center"/>
          </w:tcPr>
          <w:p>
            <w:r>
              <w:rPr>
                <w:rFonts w:ascii="Aptos" w:hAnsi="Aptos"/>
                <w:sz w:val="19"/>
              </w:rPr>
            </w:r>
            <w:r>
              <w:rPr>
                <w:rFonts w:ascii="Aptos" w:hAnsi="Aptos"/>
                <w:b w:val="0"/>
                <w:sz w:val="19"/>
              </w:rPr>
              <w:t>annual_income_usd</w:t>
            </w:r>
          </w:p>
        </w:tc>
        <w:tc>
          <w:tcPr>
            <w:tcW w:type="dxa" w:w="3264"/>
            <w:vAlign w:val="center"/>
          </w:tcPr>
          <w:p>
            <w:r>
              <w:rPr>
                <w:rFonts w:ascii="Aptos" w:hAnsi="Aptos"/>
                <w:sz w:val="19"/>
              </w:rPr>
            </w:r>
            <w:r>
              <w:rPr>
                <w:rFonts w:ascii="Aptos" w:hAnsi="Aptos"/>
                <w:b w:val="0"/>
                <w:sz w:val="19"/>
              </w:rPr>
              <w:t>680</w:t>
            </w:r>
          </w:p>
        </w:tc>
      </w:tr>
      <w:tr>
        <w:tc>
          <w:tcPr>
            <w:tcW w:type="dxa" w:w="3264"/>
            <w:vAlign w:val="center"/>
          </w:tcPr>
          <w:p>
            <w:r>
              <w:rPr>
                <w:rFonts w:ascii="Aptos" w:hAnsi="Aptos"/>
                <w:sz w:val="19"/>
              </w:rPr>
            </w:r>
            <w:r>
              <w:rPr>
                <w:rFonts w:ascii="Aptos" w:hAnsi="Aptos"/>
                <w:b w:val="0"/>
                <w:sz w:val="19"/>
              </w:rPr>
              <w:t>Applications</w:t>
            </w:r>
          </w:p>
        </w:tc>
        <w:tc>
          <w:tcPr>
            <w:tcW w:type="dxa" w:w="3264"/>
            <w:vAlign w:val="center"/>
          </w:tcPr>
          <w:p>
            <w:r>
              <w:rPr>
                <w:rFonts w:ascii="Aptos" w:hAnsi="Aptos"/>
                <w:sz w:val="19"/>
              </w:rPr>
            </w:r>
            <w:r>
              <w:rPr>
                <w:rFonts w:ascii="Aptos" w:hAnsi="Aptos"/>
                <w:b w:val="0"/>
                <w:sz w:val="19"/>
              </w:rPr>
              <w:t>debt_to_income_ratio</w:t>
            </w:r>
          </w:p>
        </w:tc>
        <w:tc>
          <w:tcPr>
            <w:tcW w:type="dxa" w:w="3264"/>
            <w:vAlign w:val="center"/>
          </w:tcPr>
          <w:p>
            <w:r>
              <w:rPr>
                <w:rFonts w:ascii="Aptos" w:hAnsi="Aptos"/>
                <w:sz w:val="19"/>
              </w:rPr>
            </w:r>
            <w:r>
              <w:rPr>
                <w:rFonts w:ascii="Aptos" w:hAnsi="Aptos"/>
                <w:b w:val="0"/>
                <w:sz w:val="19"/>
              </w:rPr>
              <w:t>709</w:t>
            </w:r>
          </w:p>
        </w:tc>
      </w:tr>
      <w:tr>
        <w:tc>
          <w:tcPr>
            <w:tcW w:type="dxa" w:w="3264"/>
            <w:vAlign w:val="center"/>
          </w:tcPr>
          <w:p>
            <w:r>
              <w:rPr>
                <w:rFonts w:ascii="Aptos" w:hAnsi="Aptos"/>
                <w:sz w:val="19"/>
              </w:rPr>
            </w:r>
            <w:r>
              <w:rPr>
                <w:rFonts w:ascii="Aptos" w:hAnsi="Aptos"/>
                <w:b w:val="0"/>
                <w:sz w:val="19"/>
              </w:rPr>
              <w:t>Applications</w:t>
            </w:r>
          </w:p>
        </w:tc>
        <w:tc>
          <w:tcPr>
            <w:tcW w:type="dxa" w:w="3264"/>
            <w:vAlign w:val="center"/>
          </w:tcPr>
          <w:p>
            <w:r>
              <w:rPr>
                <w:rFonts w:ascii="Aptos" w:hAnsi="Aptos"/>
                <w:sz w:val="19"/>
              </w:rPr>
            </w:r>
            <w:r>
              <w:rPr>
                <w:rFonts w:ascii="Aptos" w:hAnsi="Aptos"/>
                <w:b w:val="0"/>
                <w:sz w:val="19"/>
              </w:rPr>
              <w:t>revolving_utilization_text</w:t>
            </w:r>
          </w:p>
        </w:tc>
        <w:tc>
          <w:tcPr>
            <w:tcW w:type="dxa" w:w="3264"/>
            <w:vAlign w:val="center"/>
          </w:tcPr>
          <w:p>
            <w:r>
              <w:rPr>
                <w:rFonts w:ascii="Aptos" w:hAnsi="Aptos"/>
                <w:sz w:val="19"/>
              </w:rPr>
            </w:r>
            <w:r>
              <w:rPr>
                <w:rFonts w:ascii="Aptos" w:hAnsi="Aptos"/>
                <w:b w:val="0"/>
                <w:sz w:val="19"/>
              </w:rPr>
              <w:t>892</w:t>
            </w:r>
          </w:p>
        </w:tc>
      </w:tr>
      <w:tr>
        <w:tc>
          <w:tcPr>
            <w:tcW w:type="dxa" w:w="3264"/>
            <w:vAlign w:val="center"/>
          </w:tcPr>
          <w:p>
            <w:r>
              <w:rPr>
                <w:rFonts w:ascii="Aptos" w:hAnsi="Aptos"/>
                <w:sz w:val="19"/>
              </w:rPr>
            </w:r>
            <w:r>
              <w:rPr>
                <w:rFonts w:ascii="Aptos" w:hAnsi="Aptos"/>
                <w:b w:val="0"/>
                <w:sz w:val="19"/>
              </w:rPr>
              <w:t>Inquiries</w:t>
            </w:r>
          </w:p>
        </w:tc>
        <w:tc>
          <w:tcPr>
            <w:tcW w:type="dxa" w:w="3264"/>
            <w:vAlign w:val="center"/>
          </w:tcPr>
          <w:p>
            <w:r>
              <w:rPr>
                <w:rFonts w:ascii="Aptos" w:hAnsi="Aptos"/>
                <w:sz w:val="19"/>
              </w:rPr>
            </w:r>
            <w:r>
              <w:rPr>
                <w:rFonts w:ascii="Aptos" w:hAnsi="Aptos"/>
                <w:b w:val="0"/>
                <w:sz w:val="19"/>
              </w:rPr>
              <w:t>request_title</w:t>
            </w:r>
          </w:p>
        </w:tc>
        <w:tc>
          <w:tcPr>
            <w:tcW w:type="dxa" w:w="3264"/>
            <w:vAlign w:val="center"/>
          </w:tcPr>
          <w:p>
            <w:r>
              <w:rPr>
                <w:rFonts w:ascii="Aptos" w:hAnsi="Aptos"/>
                <w:sz w:val="19"/>
              </w:rPr>
            </w:r>
            <w:r>
              <w:rPr>
                <w:rFonts w:ascii="Aptos" w:hAnsi="Aptos"/>
                <w:b w:val="0"/>
                <w:sz w:val="19"/>
              </w:rPr>
              <w:t>9</w:t>
            </w:r>
          </w:p>
        </w:tc>
      </w:tr>
      <w:tr>
        <w:tc>
          <w:tcPr>
            <w:tcW w:type="dxa" w:w="3264"/>
            <w:vAlign w:val="center"/>
          </w:tcPr>
          <w:p>
            <w:r>
              <w:rPr>
                <w:rFonts w:ascii="Aptos" w:hAnsi="Aptos"/>
                <w:sz w:val="19"/>
              </w:rPr>
            </w:r>
            <w:r>
              <w:rPr>
                <w:rFonts w:ascii="Aptos" w:hAnsi="Aptos"/>
                <w:b w:val="0"/>
                <w:sz w:val="19"/>
              </w:rPr>
              <w:t>Inquiries</w:t>
            </w:r>
          </w:p>
        </w:tc>
        <w:tc>
          <w:tcPr>
            <w:tcW w:type="dxa" w:w="3264"/>
            <w:vAlign w:val="center"/>
          </w:tcPr>
          <w:p>
            <w:r>
              <w:rPr>
                <w:rFonts w:ascii="Aptos" w:hAnsi="Aptos"/>
                <w:sz w:val="19"/>
              </w:rPr>
            </w:r>
            <w:r>
              <w:rPr>
                <w:rFonts w:ascii="Aptos" w:hAnsi="Aptos"/>
                <w:b w:val="0"/>
                <w:sz w:val="19"/>
              </w:rPr>
              <w:t>screening_score</w:t>
            </w:r>
          </w:p>
        </w:tc>
        <w:tc>
          <w:tcPr>
            <w:tcW w:type="dxa" w:w="3264"/>
            <w:vAlign w:val="center"/>
          </w:tcPr>
          <w:p>
            <w:r>
              <w:rPr>
                <w:rFonts w:ascii="Aptos" w:hAnsi="Aptos"/>
                <w:sz w:val="19"/>
              </w:rPr>
            </w:r>
            <w:r>
              <w:rPr>
                <w:rFonts w:ascii="Aptos" w:hAnsi="Aptos"/>
                <w:b w:val="0"/>
                <w:sz w:val="19"/>
              </w:rPr>
              <w:t>4,524</w:t>
            </w:r>
          </w:p>
        </w:tc>
      </w:tr>
      <w:tr>
        <w:tc>
          <w:tcPr>
            <w:tcW w:type="dxa" w:w="3264"/>
            <w:vAlign w:val="center"/>
          </w:tcPr>
          <w:p>
            <w:r>
              <w:rPr>
                <w:rFonts w:ascii="Aptos" w:hAnsi="Aptos"/>
                <w:sz w:val="19"/>
              </w:rPr>
            </w:r>
            <w:r>
              <w:rPr>
                <w:rFonts w:ascii="Aptos" w:hAnsi="Aptos"/>
                <w:b w:val="0"/>
                <w:sz w:val="19"/>
              </w:rPr>
              <w:t>Inquiries</w:t>
            </w:r>
          </w:p>
        </w:tc>
        <w:tc>
          <w:tcPr>
            <w:tcW w:type="dxa" w:w="3264"/>
            <w:vAlign w:val="center"/>
          </w:tcPr>
          <w:p>
            <w:r>
              <w:rPr>
                <w:rFonts w:ascii="Aptos" w:hAnsi="Aptos"/>
                <w:sz w:val="19"/>
              </w:rPr>
            </w:r>
            <w:r>
              <w:rPr>
                <w:rFonts w:ascii="Aptos" w:hAnsi="Aptos"/>
                <w:b w:val="0"/>
                <w:sz w:val="19"/>
              </w:rPr>
              <w:t>region_code</w:t>
            </w:r>
          </w:p>
        </w:tc>
        <w:tc>
          <w:tcPr>
            <w:tcW w:type="dxa" w:w="3264"/>
            <w:vAlign w:val="center"/>
          </w:tcPr>
          <w:p>
            <w:r>
              <w:rPr>
                <w:rFonts w:ascii="Aptos" w:hAnsi="Aptos"/>
                <w:sz w:val="19"/>
              </w:rPr>
            </w:r>
            <w:r>
              <w:rPr>
                <w:rFonts w:ascii="Aptos" w:hAnsi="Aptos"/>
                <w:b w:val="0"/>
                <w:sz w:val="19"/>
              </w:rPr>
              <w:t>21</w:t>
            </w:r>
          </w:p>
        </w:tc>
      </w:tr>
      <w:tr>
        <w:tc>
          <w:tcPr>
            <w:tcW w:type="dxa" w:w="3264"/>
            <w:vAlign w:val="center"/>
          </w:tcPr>
          <w:p>
            <w:r>
              <w:rPr>
                <w:rFonts w:ascii="Aptos" w:hAnsi="Aptos"/>
                <w:sz w:val="19"/>
              </w:rPr>
            </w:r>
            <w:r>
              <w:rPr>
                <w:rFonts w:ascii="Aptos" w:hAnsi="Aptos"/>
                <w:b w:val="0"/>
                <w:sz w:val="19"/>
              </w:rPr>
              <w:t>Inquiries</w:t>
            </w:r>
          </w:p>
        </w:tc>
        <w:tc>
          <w:tcPr>
            <w:tcW w:type="dxa" w:w="3264"/>
            <w:vAlign w:val="center"/>
          </w:tcPr>
          <w:p>
            <w:r>
              <w:rPr>
                <w:rFonts w:ascii="Aptos" w:hAnsi="Aptos"/>
                <w:sz w:val="19"/>
              </w:rPr>
            </w:r>
            <w:r>
              <w:rPr>
                <w:rFonts w:ascii="Aptos" w:hAnsi="Aptos"/>
                <w:b w:val="0"/>
                <w:sz w:val="19"/>
              </w:rPr>
              <w:t>employment_tenure_text</w:t>
            </w:r>
          </w:p>
        </w:tc>
        <w:tc>
          <w:tcPr>
            <w:tcW w:type="dxa" w:w="3264"/>
            <w:vAlign w:val="center"/>
          </w:tcPr>
          <w:p>
            <w:r>
              <w:rPr>
                <w:rFonts w:ascii="Aptos" w:hAnsi="Aptos"/>
                <w:sz w:val="19"/>
              </w:rPr>
            </w:r>
            <w:r>
              <w:rPr>
                <w:rFonts w:ascii="Aptos" w:hAnsi="Aptos"/>
                <w:b w:val="0"/>
                <w:sz w:val="19"/>
              </w:rPr>
              <w:t>2</w:t>
            </w:r>
          </w:p>
        </w:tc>
      </w:tr>
    </w:tbl>
    <w:p>
      <w:r>
        <w:t>A major modeling assumption was to exclude last_payment_amount_usd because it is a repayment/outcome-related field that would not normally be known at the time of application. Including it could create target leakage and make the model appear more accurate than it would be in real lending use.</w:t>
      </w:r>
    </w:p>
    <w:p>
      <w:pPr>
        <w:pStyle w:val="Heading1"/>
      </w:pPr>
      <w:r>
        <w:t>3. Exploratory Data Analysis Findings</w:t>
      </w:r>
    </w:p>
    <w:p>
      <w:r>
        <w:t>The EDA focused on default distribution and how default risk varied across borrower, loan, and credit characteristics. Since the target was evenly split between charged-off and fully paid loans, the classification task did not suffer from severe class imbalance.</w:t>
      </w:r>
    </w:p>
    <w:p>
      <w:pPr>
        <w:jc w:val="center"/>
      </w:pPr>
      <w:r>
        <w:drawing>
          <wp:inline xmlns:a="http://schemas.openxmlformats.org/drawingml/2006/main" xmlns:pic="http://schemas.openxmlformats.org/drawingml/2006/picture">
            <wp:extent cx="4754880" cy="3169920"/>
            <wp:docPr id="1" name="Picture 1"/>
            <wp:cNvGraphicFramePr>
              <a:graphicFrameLocks noChangeAspect="1"/>
            </wp:cNvGraphicFramePr>
            <a:graphic>
              <a:graphicData uri="http://schemas.openxmlformats.org/drawingml/2006/picture">
                <pic:pic>
                  <pic:nvPicPr>
                    <pic:cNvPr id="0" name="fig1_target_distribution.png"/>
                    <pic:cNvPicPr/>
                  </pic:nvPicPr>
                  <pic:blipFill>
                    <a:blip r:embed="rId9"/>
                    <a:stretch>
                      <a:fillRect/>
                    </a:stretch>
                  </pic:blipFill>
                  <pic:spPr>
                    <a:xfrm>
                      <a:off x="0" y="0"/>
                      <a:ext cx="4754880" cy="3169920"/>
                    </a:xfrm>
                    <a:prstGeom prst="rect"/>
                  </pic:spPr>
                </pic:pic>
              </a:graphicData>
            </a:graphic>
          </wp:inline>
        </w:drawing>
      </w:r>
    </w:p>
    <w:p>
      <w:pPr>
        <w:jc w:val="center"/>
      </w:pPr>
      <w:r>
        <w:rPr>
          <w:i/>
          <w:sz w:val="18"/>
        </w:rPr>
        <w:t>Figure 1. Distribution of default and non-default applications.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D9EAF7"/>
            <w:vAlign w:val="center"/>
          </w:tcPr>
          <w:p>
            <w:r>
              <w:rPr>
                <w:rFonts w:ascii="Aptos" w:hAnsi="Aptos"/>
                <w:sz w:val="19"/>
              </w:rPr>
            </w:r>
            <w:r>
              <w:rPr>
                <w:rFonts w:ascii="Aptos" w:hAnsi="Aptos"/>
                <w:b/>
                <w:sz w:val="19"/>
              </w:rPr>
              <w:t>Group</w:t>
            </w:r>
          </w:p>
        </w:tc>
        <w:tc>
          <w:tcPr>
            <w:tcW w:type="dxa" w:w="1399"/>
            <w:shd w:fill="D9EAF7"/>
            <w:vAlign w:val="center"/>
          </w:tcPr>
          <w:p>
            <w:r>
              <w:rPr>
                <w:rFonts w:ascii="Aptos" w:hAnsi="Aptos"/>
                <w:sz w:val="19"/>
              </w:rPr>
            </w:r>
            <w:r>
              <w:rPr>
                <w:rFonts w:ascii="Aptos" w:hAnsi="Aptos"/>
                <w:b/>
                <w:sz w:val="19"/>
              </w:rPr>
              <w:t>Requested amount</w:t>
            </w:r>
          </w:p>
        </w:tc>
        <w:tc>
          <w:tcPr>
            <w:tcW w:type="dxa" w:w="1399"/>
            <w:shd w:fill="D9EAF7"/>
            <w:vAlign w:val="center"/>
          </w:tcPr>
          <w:p>
            <w:r>
              <w:rPr>
                <w:rFonts w:ascii="Aptos" w:hAnsi="Aptos"/>
                <w:sz w:val="19"/>
              </w:rPr>
            </w:r>
            <w:r>
              <w:rPr>
                <w:rFonts w:ascii="Aptos" w:hAnsi="Aptos"/>
                <w:b/>
                <w:sz w:val="19"/>
              </w:rPr>
              <w:t>Interest rate</w:t>
            </w:r>
          </w:p>
        </w:tc>
        <w:tc>
          <w:tcPr>
            <w:tcW w:type="dxa" w:w="1399"/>
            <w:shd w:fill="D9EAF7"/>
            <w:vAlign w:val="center"/>
          </w:tcPr>
          <w:p>
            <w:r>
              <w:rPr>
                <w:rFonts w:ascii="Aptos" w:hAnsi="Aptos"/>
                <w:sz w:val="19"/>
              </w:rPr>
            </w:r>
            <w:r>
              <w:rPr>
                <w:rFonts w:ascii="Aptos" w:hAnsi="Aptos"/>
                <w:b/>
                <w:sz w:val="19"/>
              </w:rPr>
              <w:t>Annual income</w:t>
            </w:r>
          </w:p>
        </w:tc>
        <w:tc>
          <w:tcPr>
            <w:tcW w:type="dxa" w:w="1399"/>
            <w:shd w:fill="D9EAF7"/>
            <w:vAlign w:val="center"/>
          </w:tcPr>
          <w:p>
            <w:r>
              <w:rPr>
                <w:rFonts w:ascii="Aptos" w:hAnsi="Aptos"/>
                <w:sz w:val="19"/>
              </w:rPr>
            </w:r>
            <w:r>
              <w:rPr>
                <w:rFonts w:ascii="Aptos" w:hAnsi="Aptos"/>
                <w:b/>
                <w:sz w:val="19"/>
              </w:rPr>
              <w:t>DTI</w:t>
            </w:r>
          </w:p>
        </w:tc>
        <w:tc>
          <w:tcPr>
            <w:tcW w:type="dxa" w:w="1399"/>
            <w:shd w:fill="D9EAF7"/>
            <w:vAlign w:val="center"/>
          </w:tcPr>
          <w:p>
            <w:r>
              <w:rPr>
                <w:rFonts w:ascii="Aptos" w:hAnsi="Aptos"/>
                <w:sz w:val="19"/>
              </w:rPr>
            </w:r>
            <w:r>
              <w:rPr>
                <w:rFonts w:ascii="Aptos" w:hAnsi="Aptos"/>
                <w:b/>
                <w:sz w:val="19"/>
              </w:rPr>
              <w:t>Credit score low</w:t>
            </w:r>
          </w:p>
        </w:tc>
        <w:tc>
          <w:tcPr>
            <w:tcW w:type="dxa" w:w="1399"/>
            <w:shd w:fill="D9EAF7"/>
            <w:vAlign w:val="center"/>
          </w:tcPr>
          <w:p>
            <w:r>
              <w:rPr>
                <w:rFonts w:ascii="Aptos" w:hAnsi="Aptos"/>
                <w:sz w:val="19"/>
              </w:rPr>
            </w:r>
            <w:r>
              <w:rPr>
                <w:rFonts w:ascii="Aptos" w:hAnsi="Aptos"/>
                <w:b/>
                <w:sz w:val="19"/>
              </w:rPr>
              <w:t>Revolving util.</w:t>
            </w:r>
          </w:p>
        </w:tc>
      </w:tr>
      <w:tr>
        <w:tc>
          <w:tcPr>
            <w:tcW w:type="dxa" w:w="1399"/>
            <w:vAlign w:val="center"/>
          </w:tcPr>
          <w:p>
            <w:r>
              <w:rPr>
                <w:rFonts w:ascii="Aptos" w:hAnsi="Aptos"/>
                <w:sz w:val="19"/>
              </w:rPr>
            </w:r>
            <w:r>
              <w:rPr>
                <w:rFonts w:ascii="Aptos" w:hAnsi="Aptos"/>
                <w:b w:val="0"/>
                <w:sz w:val="19"/>
              </w:rPr>
              <w:t>Non-default</w:t>
            </w:r>
          </w:p>
        </w:tc>
        <w:tc>
          <w:tcPr>
            <w:tcW w:type="dxa" w:w="1399"/>
            <w:vAlign w:val="center"/>
          </w:tcPr>
          <w:p>
            <w:r>
              <w:rPr>
                <w:rFonts w:ascii="Aptos" w:hAnsi="Aptos"/>
                <w:sz w:val="19"/>
              </w:rPr>
            </w:r>
            <w:r>
              <w:rPr>
                <w:rFonts w:ascii="Aptos" w:hAnsi="Aptos"/>
                <w:b w:val="0"/>
                <w:sz w:val="19"/>
              </w:rPr>
              <w:t>$12,000</w:t>
            </w:r>
          </w:p>
        </w:tc>
        <w:tc>
          <w:tcPr>
            <w:tcW w:type="dxa" w:w="1399"/>
            <w:vAlign w:val="center"/>
          </w:tcPr>
          <w:p>
            <w:r>
              <w:rPr>
                <w:rFonts w:ascii="Aptos" w:hAnsi="Aptos"/>
                <w:sz w:val="19"/>
              </w:rPr>
            </w:r>
            <w:r>
              <w:rPr>
                <w:rFonts w:ascii="Aptos" w:hAnsi="Aptos"/>
                <w:b w:val="0"/>
                <w:sz w:val="19"/>
              </w:rPr>
              <w:t>11.53</w:t>
            </w:r>
          </w:p>
        </w:tc>
        <w:tc>
          <w:tcPr>
            <w:tcW w:type="dxa" w:w="1399"/>
            <w:vAlign w:val="center"/>
          </w:tcPr>
          <w:p>
            <w:r>
              <w:rPr>
                <w:rFonts w:ascii="Aptos" w:hAnsi="Aptos"/>
                <w:sz w:val="19"/>
              </w:rPr>
            </w:r>
            <w:r>
              <w:rPr>
                <w:rFonts w:ascii="Aptos" w:hAnsi="Aptos"/>
                <w:b w:val="0"/>
                <w:sz w:val="19"/>
              </w:rPr>
              <w:t>$65,000</w:t>
            </w:r>
          </w:p>
        </w:tc>
        <w:tc>
          <w:tcPr>
            <w:tcW w:type="dxa" w:w="1399"/>
            <w:vAlign w:val="center"/>
          </w:tcPr>
          <w:p>
            <w:r>
              <w:rPr>
                <w:rFonts w:ascii="Aptos" w:hAnsi="Aptos"/>
                <w:sz w:val="19"/>
              </w:rPr>
            </w:r>
            <w:r>
              <w:rPr>
                <w:rFonts w:ascii="Aptos" w:hAnsi="Aptos"/>
                <w:b w:val="0"/>
                <w:sz w:val="19"/>
              </w:rPr>
              <w:t>17.54</w:t>
            </w:r>
          </w:p>
        </w:tc>
        <w:tc>
          <w:tcPr>
            <w:tcW w:type="dxa" w:w="1399"/>
            <w:vAlign w:val="center"/>
          </w:tcPr>
          <w:p>
            <w:r>
              <w:rPr>
                <w:rFonts w:ascii="Aptos" w:hAnsi="Aptos"/>
                <w:sz w:val="19"/>
              </w:rPr>
            </w:r>
            <w:r>
              <w:rPr>
                <w:rFonts w:ascii="Aptos" w:hAnsi="Aptos"/>
                <w:b w:val="0"/>
                <w:sz w:val="19"/>
              </w:rPr>
              <w:t>690</w:t>
            </w:r>
          </w:p>
        </w:tc>
        <w:tc>
          <w:tcPr>
            <w:tcW w:type="dxa" w:w="1399"/>
            <w:vAlign w:val="center"/>
          </w:tcPr>
          <w:p>
            <w:r>
              <w:rPr>
                <w:rFonts w:ascii="Aptos" w:hAnsi="Aptos"/>
                <w:sz w:val="19"/>
              </w:rPr>
            </w:r>
            <w:r>
              <w:rPr>
                <w:rFonts w:ascii="Aptos" w:hAnsi="Aptos"/>
                <w:b w:val="0"/>
                <w:sz w:val="19"/>
              </w:rPr>
              <w:t>50.6</w:t>
            </w:r>
          </w:p>
        </w:tc>
      </w:tr>
      <w:tr>
        <w:tc>
          <w:tcPr>
            <w:tcW w:type="dxa" w:w="1399"/>
            <w:vAlign w:val="center"/>
          </w:tcPr>
          <w:p>
            <w:r>
              <w:rPr>
                <w:rFonts w:ascii="Aptos" w:hAnsi="Aptos"/>
                <w:sz w:val="19"/>
              </w:rPr>
            </w:r>
            <w:r>
              <w:rPr>
                <w:rFonts w:ascii="Aptos" w:hAnsi="Aptos"/>
                <w:b w:val="0"/>
                <w:sz w:val="19"/>
              </w:rPr>
              <w:t>Default</w:t>
            </w:r>
          </w:p>
        </w:tc>
        <w:tc>
          <w:tcPr>
            <w:tcW w:type="dxa" w:w="1399"/>
            <w:vAlign w:val="center"/>
          </w:tcPr>
          <w:p>
            <w:r>
              <w:rPr>
                <w:rFonts w:ascii="Aptos" w:hAnsi="Aptos"/>
                <w:sz w:val="19"/>
              </w:rPr>
            </w:r>
            <w:r>
              <w:rPr>
                <w:rFonts w:ascii="Aptos" w:hAnsi="Aptos"/>
                <w:b w:val="0"/>
                <w:sz w:val="19"/>
              </w:rPr>
              <w:t>$14,400</w:t>
            </w:r>
          </w:p>
        </w:tc>
        <w:tc>
          <w:tcPr>
            <w:tcW w:type="dxa" w:w="1399"/>
            <w:vAlign w:val="center"/>
          </w:tcPr>
          <w:p>
            <w:r>
              <w:rPr>
                <w:rFonts w:ascii="Aptos" w:hAnsi="Aptos"/>
                <w:sz w:val="19"/>
              </w:rPr>
            </w:r>
            <w:r>
              <w:rPr>
                <w:rFonts w:ascii="Aptos" w:hAnsi="Aptos"/>
                <w:b w:val="0"/>
                <w:sz w:val="19"/>
              </w:rPr>
              <w:t>14.65</w:t>
            </w:r>
          </w:p>
        </w:tc>
        <w:tc>
          <w:tcPr>
            <w:tcW w:type="dxa" w:w="1399"/>
            <w:vAlign w:val="center"/>
          </w:tcPr>
          <w:p>
            <w:r>
              <w:rPr>
                <w:rFonts w:ascii="Aptos" w:hAnsi="Aptos"/>
                <w:sz w:val="19"/>
              </w:rPr>
            </w:r>
            <w:r>
              <w:rPr>
                <w:rFonts w:ascii="Aptos" w:hAnsi="Aptos"/>
                <w:b w:val="0"/>
                <w:sz w:val="19"/>
              </w:rPr>
              <w:t>$60,000</w:t>
            </w:r>
          </w:p>
        </w:tc>
        <w:tc>
          <w:tcPr>
            <w:tcW w:type="dxa" w:w="1399"/>
            <w:vAlign w:val="center"/>
          </w:tcPr>
          <w:p>
            <w:r>
              <w:rPr>
                <w:rFonts w:ascii="Aptos" w:hAnsi="Aptos"/>
                <w:sz w:val="19"/>
              </w:rPr>
            </w:r>
            <w:r>
              <w:rPr>
                <w:rFonts w:ascii="Aptos" w:hAnsi="Aptos"/>
                <w:b w:val="0"/>
                <w:sz w:val="19"/>
              </w:rPr>
              <w:t>20.50</w:t>
            </w:r>
          </w:p>
        </w:tc>
        <w:tc>
          <w:tcPr>
            <w:tcW w:type="dxa" w:w="1399"/>
            <w:vAlign w:val="center"/>
          </w:tcPr>
          <w:p>
            <w:r>
              <w:rPr>
                <w:rFonts w:ascii="Aptos" w:hAnsi="Aptos"/>
                <w:sz w:val="19"/>
              </w:rPr>
            </w:r>
            <w:r>
              <w:rPr>
                <w:rFonts w:ascii="Aptos" w:hAnsi="Aptos"/>
                <w:b w:val="0"/>
                <w:sz w:val="19"/>
              </w:rPr>
              <w:t>680</w:t>
            </w:r>
          </w:p>
        </w:tc>
        <w:tc>
          <w:tcPr>
            <w:tcW w:type="dxa" w:w="1399"/>
            <w:vAlign w:val="center"/>
          </w:tcPr>
          <w:p>
            <w:r>
              <w:rPr>
                <w:rFonts w:ascii="Aptos" w:hAnsi="Aptos"/>
                <w:sz w:val="19"/>
              </w:rPr>
            </w:r>
            <w:r>
              <w:rPr>
                <w:rFonts w:ascii="Aptos" w:hAnsi="Aptos"/>
                <w:b w:val="0"/>
                <w:sz w:val="19"/>
              </w:rPr>
              <w:t>54.7</w:t>
            </w:r>
          </w:p>
        </w:tc>
      </w:tr>
    </w:tbl>
    <w:p>
      <w:r>
        <w:t>Median comparisons showed that defaulted applications tended to have higher requested amounts, higher interest rates, higher debt-to-income ratios, lower credit scores, and higher revolving utilization. These patterns are consistent with credit-risk intuition because borrowers facing higher credit costs and higher existing debt burdens are generally more likely to default.</w:t>
      </w:r>
    </w:p>
    <w:p>
      <w:pPr>
        <w:jc w:val="center"/>
      </w:pPr>
      <w:r>
        <w:drawing>
          <wp:inline xmlns:a="http://schemas.openxmlformats.org/drawingml/2006/main" xmlns:pic="http://schemas.openxmlformats.org/drawingml/2006/picture">
            <wp:extent cx="5212080" cy="2978331"/>
            <wp:docPr id="2" name="Picture 2"/>
            <wp:cNvGraphicFramePr>
              <a:graphicFrameLocks noChangeAspect="1"/>
            </wp:cNvGraphicFramePr>
            <a:graphic>
              <a:graphicData uri="http://schemas.openxmlformats.org/drawingml/2006/picture">
                <pic:pic>
                  <pic:nvPicPr>
                    <pic:cNvPr id="0" name="fig2_risk_grade_default.png"/>
                    <pic:cNvPicPr/>
                  </pic:nvPicPr>
                  <pic:blipFill>
                    <a:blip r:embed="rId10"/>
                    <a:stretch>
                      <a:fillRect/>
                    </a:stretch>
                  </pic:blipFill>
                  <pic:spPr>
                    <a:xfrm>
                      <a:off x="0" y="0"/>
                      <a:ext cx="5212080" cy="2978331"/>
                    </a:xfrm>
                    <a:prstGeom prst="rect"/>
                  </pic:spPr>
                </pic:pic>
              </a:graphicData>
            </a:graphic>
          </wp:inline>
        </w:drawing>
      </w:r>
    </w:p>
    <w:p>
      <w:pPr>
        <w:jc w:val="center"/>
      </w:pPr>
      <w:r>
        <w:rPr>
          <w:i/>
          <w:sz w:val="18"/>
        </w:rPr>
        <w:t>Figure 2. Default rate by risk grade band.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rPr>
                <w:rFonts w:ascii="Aptos" w:hAnsi="Aptos"/>
                <w:sz w:val="19"/>
              </w:rPr>
            </w:r>
            <w:r>
              <w:rPr>
                <w:rFonts w:ascii="Aptos" w:hAnsi="Aptos"/>
                <w:b/>
                <w:sz w:val="19"/>
              </w:rPr>
              <w:t>Risk grade band</w:t>
            </w:r>
          </w:p>
        </w:tc>
        <w:tc>
          <w:tcPr>
            <w:tcW w:type="dxa" w:w="3264"/>
            <w:shd w:fill="D9EAF7"/>
            <w:vAlign w:val="center"/>
          </w:tcPr>
          <w:p>
            <w:r>
              <w:rPr>
                <w:rFonts w:ascii="Aptos" w:hAnsi="Aptos"/>
                <w:sz w:val="19"/>
              </w:rPr>
            </w:r>
            <w:r>
              <w:rPr>
                <w:rFonts w:ascii="Aptos" w:hAnsi="Aptos"/>
                <w:b/>
                <w:sz w:val="19"/>
              </w:rPr>
              <w:t>Default rate</w:t>
            </w:r>
          </w:p>
        </w:tc>
        <w:tc>
          <w:tcPr>
            <w:tcW w:type="dxa" w:w="3264"/>
            <w:shd w:fill="D9EAF7"/>
            <w:vAlign w:val="center"/>
          </w:tcPr>
          <w:p>
            <w:r>
              <w:rPr>
                <w:rFonts w:ascii="Aptos" w:hAnsi="Aptos"/>
                <w:sz w:val="19"/>
              </w:rPr>
            </w:r>
            <w:r>
              <w:rPr>
                <w:rFonts w:ascii="Aptos" w:hAnsi="Aptos"/>
                <w:b/>
                <w:sz w:val="19"/>
              </w:rPr>
              <w:t>Applications</w:t>
            </w:r>
          </w:p>
        </w:tc>
      </w:tr>
      <w:tr>
        <w:tc>
          <w:tcPr>
            <w:tcW w:type="dxa" w:w="3264"/>
            <w:vAlign w:val="center"/>
          </w:tcPr>
          <w:p>
            <w:r>
              <w:rPr>
                <w:rFonts w:ascii="Aptos" w:hAnsi="Aptos"/>
                <w:sz w:val="19"/>
              </w:rPr>
            </w:r>
            <w:r>
              <w:rPr>
                <w:rFonts w:ascii="Aptos" w:hAnsi="Aptos"/>
                <w:b w:val="0"/>
                <w:sz w:val="19"/>
              </w:rPr>
              <w:t>G</w:t>
            </w:r>
          </w:p>
        </w:tc>
        <w:tc>
          <w:tcPr>
            <w:tcW w:type="dxa" w:w="3264"/>
            <w:vAlign w:val="center"/>
          </w:tcPr>
          <w:p>
            <w:r>
              <w:rPr>
                <w:rFonts w:ascii="Aptos" w:hAnsi="Aptos"/>
                <w:sz w:val="19"/>
              </w:rPr>
            </w:r>
            <w:r>
              <w:rPr>
                <w:rFonts w:ascii="Aptos" w:hAnsi="Aptos"/>
                <w:b w:val="0"/>
                <w:sz w:val="19"/>
              </w:rPr>
              <w:t>79.94%</w:t>
            </w:r>
          </w:p>
        </w:tc>
        <w:tc>
          <w:tcPr>
            <w:tcW w:type="dxa" w:w="3264"/>
            <w:vAlign w:val="center"/>
          </w:tcPr>
          <w:p>
            <w:r>
              <w:rPr>
                <w:rFonts w:ascii="Aptos" w:hAnsi="Aptos"/>
                <w:sz w:val="19"/>
              </w:rPr>
            </w:r>
            <w:r>
              <w:rPr>
                <w:rFonts w:ascii="Aptos" w:hAnsi="Aptos"/>
                <w:b w:val="0"/>
                <w:sz w:val="19"/>
              </w:rPr>
              <w:t>947</w:t>
            </w:r>
          </w:p>
        </w:tc>
      </w:tr>
      <w:tr>
        <w:tc>
          <w:tcPr>
            <w:tcW w:type="dxa" w:w="3264"/>
            <w:vAlign w:val="center"/>
          </w:tcPr>
          <w:p>
            <w:r>
              <w:rPr>
                <w:rFonts w:ascii="Aptos" w:hAnsi="Aptos"/>
                <w:sz w:val="19"/>
              </w:rPr>
            </w:r>
            <w:r>
              <w:rPr>
                <w:rFonts w:ascii="Aptos" w:hAnsi="Aptos"/>
                <w:b w:val="0"/>
                <w:sz w:val="19"/>
              </w:rPr>
              <w:t>F</w:t>
            </w:r>
          </w:p>
        </w:tc>
        <w:tc>
          <w:tcPr>
            <w:tcW w:type="dxa" w:w="3264"/>
            <w:vAlign w:val="center"/>
          </w:tcPr>
          <w:p>
            <w:r>
              <w:rPr>
                <w:rFonts w:ascii="Aptos" w:hAnsi="Aptos"/>
                <w:sz w:val="19"/>
              </w:rPr>
            </w:r>
            <w:r>
              <w:rPr>
                <w:rFonts w:ascii="Aptos" w:hAnsi="Aptos"/>
                <w:b w:val="0"/>
                <w:sz w:val="19"/>
              </w:rPr>
              <w:t>79.13%</w:t>
            </w:r>
          </w:p>
        </w:tc>
        <w:tc>
          <w:tcPr>
            <w:tcW w:type="dxa" w:w="3264"/>
            <w:vAlign w:val="center"/>
          </w:tcPr>
          <w:p>
            <w:r>
              <w:rPr>
                <w:rFonts w:ascii="Aptos" w:hAnsi="Aptos"/>
                <w:sz w:val="19"/>
              </w:rPr>
            </w:r>
            <w:r>
              <w:rPr>
                <w:rFonts w:ascii="Aptos" w:hAnsi="Aptos"/>
                <w:b w:val="0"/>
                <w:sz w:val="19"/>
              </w:rPr>
              <w:t>2,741</w:t>
            </w:r>
          </w:p>
        </w:tc>
      </w:tr>
      <w:tr>
        <w:tc>
          <w:tcPr>
            <w:tcW w:type="dxa" w:w="3264"/>
            <w:vAlign w:val="center"/>
          </w:tcPr>
          <w:p>
            <w:r>
              <w:rPr>
                <w:rFonts w:ascii="Aptos" w:hAnsi="Aptos"/>
                <w:sz w:val="19"/>
              </w:rPr>
            </w:r>
            <w:r>
              <w:rPr>
                <w:rFonts w:ascii="Aptos" w:hAnsi="Aptos"/>
                <w:b w:val="0"/>
                <w:sz w:val="19"/>
              </w:rPr>
              <w:t>E</w:t>
            </w:r>
          </w:p>
        </w:tc>
        <w:tc>
          <w:tcPr>
            <w:tcW w:type="dxa" w:w="3264"/>
            <w:vAlign w:val="center"/>
          </w:tcPr>
          <w:p>
            <w:r>
              <w:rPr>
                <w:rFonts w:ascii="Aptos" w:hAnsi="Aptos"/>
                <w:sz w:val="19"/>
              </w:rPr>
            </w:r>
            <w:r>
              <w:rPr>
                <w:rFonts w:ascii="Aptos" w:hAnsi="Aptos"/>
                <w:b w:val="0"/>
                <w:sz w:val="19"/>
              </w:rPr>
              <w:t>73.63%</w:t>
            </w:r>
          </w:p>
        </w:tc>
        <w:tc>
          <w:tcPr>
            <w:tcW w:type="dxa" w:w="3264"/>
            <w:vAlign w:val="center"/>
          </w:tcPr>
          <w:p>
            <w:r>
              <w:rPr>
                <w:rFonts w:ascii="Aptos" w:hAnsi="Aptos"/>
                <w:sz w:val="19"/>
              </w:rPr>
            </w:r>
            <w:r>
              <w:rPr>
                <w:rFonts w:ascii="Aptos" w:hAnsi="Aptos"/>
                <w:b w:val="0"/>
                <w:sz w:val="19"/>
              </w:rPr>
              <w:t>8,311</w:t>
            </w:r>
          </w:p>
        </w:tc>
      </w:tr>
      <w:tr>
        <w:tc>
          <w:tcPr>
            <w:tcW w:type="dxa" w:w="3264"/>
            <w:vAlign w:val="center"/>
          </w:tcPr>
          <w:p>
            <w:r>
              <w:rPr>
                <w:rFonts w:ascii="Aptos" w:hAnsi="Aptos"/>
                <w:sz w:val="19"/>
              </w:rPr>
            </w:r>
            <w:r>
              <w:rPr>
                <w:rFonts w:ascii="Aptos" w:hAnsi="Aptos"/>
                <w:b w:val="0"/>
                <w:sz w:val="19"/>
              </w:rPr>
              <w:t>D</w:t>
            </w:r>
          </w:p>
        </w:tc>
        <w:tc>
          <w:tcPr>
            <w:tcW w:type="dxa" w:w="3264"/>
            <w:vAlign w:val="center"/>
          </w:tcPr>
          <w:p>
            <w:r>
              <w:rPr>
                <w:rFonts w:ascii="Aptos" w:hAnsi="Aptos"/>
                <w:sz w:val="19"/>
              </w:rPr>
            </w:r>
            <w:r>
              <w:rPr>
                <w:rFonts w:ascii="Aptos" w:hAnsi="Aptos"/>
                <w:b w:val="0"/>
                <w:sz w:val="19"/>
              </w:rPr>
              <w:t>64.97%</w:t>
            </w:r>
          </w:p>
        </w:tc>
        <w:tc>
          <w:tcPr>
            <w:tcW w:type="dxa" w:w="3264"/>
            <w:vAlign w:val="center"/>
          </w:tcPr>
          <w:p>
            <w:r>
              <w:rPr>
                <w:rFonts w:ascii="Aptos" w:hAnsi="Aptos"/>
                <w:sz w:val="19"/>
              </w:rPr>
            </w:r>
            <w:r>
              <w:rPr>
                <w:rFonts w:ascii="Aptos" w:hAnsi="Aptos"/>
                <w:b w:val="0"/>
                <w:sz w:val="19"/>
              </w:rPr>
              <w:t>14,775</w:t>
            </w:r>
          </w:p>
        </w:tc>
      </w:tr>
      <w:tr>
        <w:tc>
          <w:tcPr>
            <w:tcW w:type="dxa" w:w="3264"/>
            <w:vAlign w:val="center"/>
          </w:tcPr>
          <w:p>
            <w:r>
              <w:rPr>
                <w:rFonts w:ascii="Aptos" w:hAnsi="Aptos"/>
                <w:sz w:val="19"/>
              </w:rPr>
            </w:r>
            <w:r>
              <w:rPr>
                <w:rFonts w:ascii="Aptos" w:hAnsi="Aptos"/>
                <w:b w:val="0"/>
                <w:sz w:val="19"/>
              </w:rPr>
              <w:t>C</w:t>
            </w:r>
          </w:p>
        </w:tc>
        <w:tc>
          <w:tcPr>
            <w:tcW w:type="dxa" w:w="3264"/>
            <w:vAlign w:val="center"/>
          </w:tcPr>
          <w:p>
            <w:r>
              <w:rPr>
                <w:rFonts w:ascii="Aptos" w:hAnsi="Aptos"/>
                <w:sz w:val="19"/>
              </w:rPr>
            </w:r>
            <w:r>
              <w:rPr>
                <w:rFonts w:ascii="Aptos" w:hAnsi="Aptos"/>
                <w:b w:val="0"/>
                <w:sz w:val="19"/>
              </w:rPr>
              <w:t>53.51%</w:t>
            </w:r>
          </w:p>
        </w:tc>
        <w:tc>
          <w:tcPr>
            <w:tcW w:type="dxa" w:w="3264"/>
            <w:vAlign w:val="center"/>
          </w:tcPr>
          <w:p>
            <w:r>
              <w:rPr>
                <w:rFonts w:ascii="Aptos" w:hAnsi="Aptos"/>
                <w:sz w:val="19"/>
              </w:rPr>
            </w:r>
            <w:r>
              <w:rPr>
                <w:rFonts w:ascii="Aptos" w:hAnsi="Aptos"/>
                <w:b w:val="0"/>
                <w:sz w:val="19"/>
              </w:rPr>
              <w:t>25,111</w:t>
            </w:r>
          </w:p>
        </w:tc>
      </w:tr>
      <w:tr>
        <w:tc>
          <w:tcPr>
            <w:tcW w:type="dxa" w:w="3264"/>
            <w:vAlign w:val="center"/>
          </w:tcPr>
          <w:p>
            <w:r>
              <w:rPr>
                <w:rFonts w:ascii="Aptos" w:hAnsi="Aptos"/>
                <w:sz w:val="19"/>
              </w:rPr>
            </w:r>
            <w:r>
              <w:rPr>
                <w:rFonts w:ascii="Aptos" w:hAnsi="Aptos"/>
                <w:b w:val="0"/>
                <w:sz w:val="19"/>
              </w:rPr>
              <w:t>B</w:t>
            </w:r>
          </w:p>
        </w:tc>
        <w:tc>
          <w:tcPr>
            <w:tcW w:type="dxa" w:w="3264"/>
            <w:vAlign w:val="center"/>
          </w:tcPr>
          <w:p>
            <w:r>
              <w:rPr>
                <w:rFonts w:ascii="Aptos" w:hAnsi="Aptos"/>
                <w:sz w:val="19"/>
              </w:rPr>
            </w:r>
            <w:r>
              <w:rPr>
                <w:rFonts w:ascii="Aptos" w:hAnsi="Aptos"/>
                <w:b w:val="0"/>
                <w:sz w:val="19"/>
              </w:rPr>
              <w:t>38.05%</w:t>
            </w:r>
          </w:p>
        </w:tc>
        <w:tc>
          <w:tcPr>
            <w:tcW w:type="dxa" w:w="3264"/>
            <w:vAlign w:val="center"/>
          </w:tcPr>
          <w:p>
            <w:r>
              <w:rPr>
                <w:rFonts w:ascii="Aptos" w:hAnsi="Aptos"/>
                <w:sz w:val="19"/>
              </w:rPr>
            </w:r>
            <w:r>
              <w:rPr>
                <w:rFonts w:ascii="Aptos" w:hAnsi="Aptos"/>
                <w:b w:val="0"/>
                <w:sz w:val="19"/>
              </w:rPr>
              <w:t>21,169</w:t>
            </w:r>
          </w:p>
        </w:tc>
      </w:tr>
      <w:tr>
        <w:tc>
          <w:tcPr>
            <w:tcW w:type="dxa" w:w="3264"/>
            <w:vAlign w:val="center"/>
          </w:tcPr>
          <w:p>
            <w:r>
              <w:rPr>
                <w:rFonts w:ascii="Aptos" w:hAnsi="Aptos"/>
                <w:sz w:val="19"/>
              </w:rPr>
            </w:r>
            <w:r>
              <w:rPr>
                <w:rFonts w:ascii="Aptos" w:hAnsi="Aptos"/>
                <w:b w:val="0"/>
                <w:sz w:val="19"/>
              </w:rPr>
              <w:t>A</w:t>
            </w:r>
          </w:p>
        </w:tc>
        <w:tc>
          <w:tcPr>
            <w:tcW w:type="dxa" w:w="3264"/>
            <w:vAlign w:val="center"/>
          </w:tcPr>
          <w:p>
            <w:r>
              <w:rPr>
                <w:rFonts w:ascii="Aptos" w:hAnsi="Aptos"/>
                <w:sz w:val="19"/>
              </w:rPr>
            </w:r>
            <w:r>
              <w:rPr>
                <w:rFonts w:ascii="Aptos" w:hAnsi="Aptos"/>
                <w:b w:val="0"/>
                <w:sz w:val="19"/>
              </w:rPr>
              <w:t>19.80%</w:t>
            </w:r>
          </w:p>
        </w:tc>
        <w:tc>
          <w:tcPr>
            <w:tcW w:type="dxa" w:w="3264"/>
            <w:vAlign w:val="center"/>
          </w:tcPr>
          <w:p>
            <w:r>
              <w:rPr>
                <w:rFonts w:ascii="Aptos" w:hAnsi="Aptos"/>
                <w:sz w:val="19"/>
              </w:rPr>
            </w:r>
            <w:r>
              <w:rPr>
                <w:rFonts w:ascii="Aptos" w:hAnsi="Aptos"/>
                <w:b w:val="0"/>
                <w:sz w:val="19"/>
              </w:rPr>
              <w:t>11,946</w:t>
            </w:r>
          </w:p>
        </w:tc>
      </w:tr>
    </w:tbl>
    <w:p>
      <w:r>
        <w:t>Default risk also varied by loan purpose, housing status, and region. These variables were therefore retained as categorical predictors in the final model. The report presents the most meaningful default-rate patterns rather than every intermediate calculation.</w:t>
      </w:r>
    </w:p>
    <w:p>
      <w:pPr>
        <w:jc w:val="center"/>
      </w:pPr>
      <w:r>
        <w:drawing>
          <wp:inline xmlns:a="http://schemas.openxmlformats.org/drawingml/2006/main" xmlns:pic="http://schemas.openxmlformats.org/drawingml/2006/picture">
            <wp:extent cx="5669280" cy="2519680"/>
            <wp:docPr id="3" name="Picture 3"/>
            <wp:cNvGraphicFramePr>
              <a:graphicFrameLocks noChangeAspect="1"/>
            </wp:cNvGraphicFramePr>
            <a:graphic>
              <a:graphicData uri="http://schemas.openxmlformats.org/drawingml/2006/picture">
                <pic:pic>
                  <pic:nvPicPr>
                    <pic:cNvPr id="0" name="fig3_purpose_default.png"/>
                    <pic:cNvPicPr/>
                  </pic:nvPicPr>
                  <pic:blipFill>
                    <a:blip r:embed="rId11"/>
                    <a:stretch>
                      <a:fillRect/>
                    </a:stretch>
                  </pic:blipFill>
                  <pic:spPr>
                    <a:xfrm>
                      <a:off x="0" y="0"/>
                      <a:ext cx="5669280" cy="2519680"/>
                    </a:xfrm>
                    <a:prstGeom prst="rect"/>
                  </pic:spPr>
                </pic:pic>
              </a:graphicData>
            </a:graphic>
          </wp:inline>
        </w:drawing>
      </w:r>
    </w:p>
    <w:p>
      <w:pPr>
        <w:jc w:val="center"/>
      </w:pPr>
      <w:r>
        <w:rPr>
          <w:i/>
          <w:sz w:val="18"/>
        </w:rPr>
        <w:t>Figure 3. Loan purposes with the highest observed default rates.</w:t>
      </w:r>
    </w:p>
    <w:p>
      <w:pPr>
        <w:pStyle w:val="Heading1"/>
      </w:pPr>
      <w:r>
        <w:t>4. Supplementary Inquiry Dataset Review</w:t>
      </w:r>
    </w:p>
    <w:p>
      <w:r>
        <w:t>The inquiries dataset covered inquiry records dated from 2007-05-26 to 2009-04-23. Because it did not include the final default outcome and had no common application ID to link it to the applications dataset, it was not used in the predictive model. It was still reviewed to satisfy the requirement that both datasets play a role in the analysis.</w:t>
      </w:r>
    </w:p>
    <w:p>
      <w:r>
        <w:t>The inquiry data was used to inspect missing values, convert application dates, clean debt-to-income values, and summarize screening score patterns by region. This helped provide supplementary context about pre-application credit inquiry characteristics.</w:t>
      </w:r>
    </w:p>
    <w:p>
      <w:pPr>
        <w:pStyle w:val="Heading1"/>
      </w:pPr>
      <w:r>
        <w:t>5. Feature Engineering and Selection</w:t>
      </w:r>
    </w:p>
    <w:p>
      <w:r>
        <w:t>Feature engineering transformed mixed or text fields into model-ready variables. The main engineered variables were repayment_term, interest_rate, revolving_utilization, debt_to_income_ratio, and employment_tenure_years.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rFonts w:ascii="Aptos" w:hAnsi="Aptos"/>
                <w:sz w:val="19"/>
              </w:rPr>
            </w:r>
            <w:r>
              <w:rPr>
                <w:rFonts w:ascii="Aptos" w:hAnsi="Aptos"/>
                <w:b/>
                <w:sz w:val="19"/>
              </w:rPr>
              <w:t>Feature group</w:t>
            </w:r>
          </w:p>
        </w:tc>
        <w:tc>
          <w:tcPr>
            <w:tcW w:type="dxa" w:w="4896"/>
            <w:shd w:fill="D9EAF7"/>
            <w:vAlign w:val="center"/>
          </w:tcPr>
          <w:p>
            <w:r>
              <w:rPr>
                <w:rFonts w:ascii="Aptos" w:hAnsi="Aptos"/>
                <w:sz w:val="19"/>
              </w:rPr>
            </w:r>
            <w:r>
              <w:rPr>
                <w:rFonts w:ascii="Aptos" w:hAnsi="Aptos"/>
                <w:b/>
                <w:sz w:val="19"/>
              </w:rPr>
              <w:t>Variables used</w:t>
            </w:r>
          </w:p>
        </w:tc>
      </w:tr>
      <w:tr>
        <w:tc>
          <w:tcPr>
            <w:tcW w:type="dxa" w:w="4896"/>
            <w:vAlign w:val="center"/>
          </w:tcPr>
          <w:p>
            <w:r>
              <w:rPr>
                <w:rFonts w:ascii="Aptos" w:hAnsi="Aptos"/>
                <w:sz w:val="19"/>
              </w:rPr>
            </w:r>
            <w:r>
              <w:rPr>
                <w:rFonts w:ascii="Aptos" w:hAnsi="Aptos"/>
                <w:b w:val="0"/>
                <w:sz w:val="19"/>
              </w:rPr>
              <w:t>Numeric predictors</w:t>
            </w:r>
          </w:p>
        </w:tc>
        <w:tc>
          <w:tcPr>
            <w:tcW w:type="dxa" w:w="4896"/>
            <w:vAlign w:val="center"/>
          </w:tcPr>
          <w:p>
            <w:r>
              <w:rPr>
                <w:rFonts w:ascii="Aptos" w:hAnsi="Aptos"/>
                <w:sz w:val="19"/>
              </w:rPr>
            </w:r>
            <w:r>
              <w:rPr>
                <w:rFonts w:ascii="Aptos" w:hAnsi="Aptos"/>
                <w:b w:val="0"/>
                <w:sz w:val="19"/>
              </w:rPr>
              <w:t>requested_amount_usd, monthly_installment_usd, interest_rate, repayment_term, annual_income_usd, debt_to_income_ratio, credit_score_low, credit_score_high, open_credit_lines, public_records_count, revolving_utilization, employment_tenure_years</w:t>
            </w:r>
          </w:p>
        </w:tc>
      </w:tr>
      <w:tr>
        <w:tc>
          <w:tcPr>
            <w:tcW w:type="dxa" w:w="4896"/>
            <w:vAlign w:val="center"/>
          </w:tcPr>
          <w:p>
            <w:r>
              <w:rPr>
                <w:rFonts w:ascii="Aptos" w:hAnsi="Aptos"/>
                <w:sz w:val="19"/>
              </w:rPr>
            </w:r>
            <w:r>
              <w:rPr>
                <w:rFonts w:ascii="Aptos" w:hAnsi="Aptos"/>
                <w:b w:val="0"/>
                <w:sz w:val="19"/>
              </w:rPr>
              <w:t>Categorical predictors</w:t>
            </w:r>
          </w:p>
        </w:tc>
        <w:tc>
          <w:tcPr>
            <w:tcW w:type="dxa" w:w="4896"/>
            <w:vAlign w:val="center"/>
          </w:tcPr>
          <w:p>
            <w:r>
              <w:rPr>
                <w:rFonts w:ascii="Aptos" w:hAnsi="Aptos"/>
                <w:sz w:val="19"/>
              </w:rPr>
            </w:r>
            <w:r>
              <w:rPr>
                <w:rFonts w:ascii="Aptos" w:hAnsi="Aptos"/>
                <w:b w:val="0"/>
                <w:sz w:val="19"/>
              </w:rPr>
              <w:t>risk_grade_band, housing_status, income_verification_status, loan_purpose, region_code</w:t>
            </w:r>
          </w:p>
        </w:tc>
      </w:tr>
      <w:tr>
        <w:tc>
          <w:tcPr>
            <w:tcW w:type="dxa" w:w="4896"/>
            <w:vAlign w:val="center"/>
          </w:tcPr>
          <w:p>
            <w:r>
              <w:rPr>
                <w:rFonts w:ascii="Aptos" w:hAnsi="Aptos"/>
                <w:sz w:val="19"/>
              </w:rPr>
            </w:r>
            <w:r>
              <w:rPr>
                <w:rFonts w:ascii="Aptos" w:hAnsi="Aptos"/>
                <w:b w:val="0"/>
                <w:sz w:val="19"/>
              </w:rPr>
              <w:t>Excluded variables</w:t>
            </w:r>
          </w:p>
        </w:tc>
        <w:tc>
          <w:tcPr>
            <w:tcW w:type="dxa" w:w="4896"/>
            <w:vAlign w:val="center"/>
          </w:tcPr>
          <w:p>
            <w:r>
              <w:rPr>
                <w:rFonts w:ascii="Aptos" w:hAnsi="Aptos"/>
                <w:sz w:val="19"/>
              </w:rPr>
            </w:r>
            <w:r>
              <w:rPr>
                <w:rFonts w:ascii="Aptos" w:hAnsi="Aptos"/>
                <w:b w:val="0"/>
                <w:sz w:val="19"/>
              </w:rPr>
              <w:t>outcome_status, target_default, last_payment_amount_usd, original text columns replaced by cleaned numeric fields</w:t>
            </w:r>
          </w:p>
        </w:tc>
      </w:tr>
    </w:tbl>
    <w:p>
      <w:r>
        <w:t>Categorical features were one-hot encoded. Numeric values were imputed using the median and scaled using StandardScaler. Categorical missing values were imputed using the most frequent value. These steps were placed inside a scikit-learn pipeline to make the analysis reproducible.</w:t>
      </w:r>
    </w:p>
    <w:p>
      <w:pPr>
        <w:pStyle w:val="Heading1"/>
      </w:pPr>
      <w:r>
        <w:t>6. Model Building</w:t>
      </w:r>
    </w:p>
    <w:p>
      <w:r>
        <w:t>The cleaned applications dataset was split into training and testing sets using an 80/20 split. The split was stratified by target_default so that both training and testing sets preserved the same proportion of default and non-default cases.</w:t>
      </w:r>
    </w:p>
    <w:p>
      <w:r>
        <w:t>Two models were built:</w:t>
      </w:r>
    </w:p>
    <w:p>
      <w:pPr>
        <w:pStyle w:val="ListBullet"/>
      </w:pPr>
      <w:r>
        <w:t>Logistic Regression: used as an interpretable baseline model for binary classification.</w:t>
      </w:r>
    </w:p>
    <w:p>
      <w:pPr>
        <w:pStyle w:val="ListBullet"/>
      </w:pPr>
      <w:r>
        <w:t>Random Forest Classifier: used to capture non-linear relationships and interactions among predictors.</w:t>
      </w:r>
    </w:p>
    <w:p>
      <w:pPr>
        <w:pStyle w:val="Heading1"/>
      </w:pPr>
      <w:r>
        <w:t>7. Model Evaluation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9EAF7"/>
            <w:vAlign w:val="center"/>
          </w:tcPr>
          <w:p>
            <w:r>
              <w:rPr>
                <w:rFonts w:ascii="Aptos" w:hAnsi="Aptos"/>
                <w:sz w:val="19"/>
              </w:rPr>
            </w:r>
            <w:r>
              <w:rPr>
                <w:rFonts w:ascii="Aptos" w:hAnsi="Aptos"/>
                <w:b/>
                <w:sz w:val="19"/>
              </w:rPr>
              <w:t>Model</w:t>
            </w:r>
          </w:p>
        </w:tc>
        <w:tc>
          <w:tcPr>
            <w:tcW w:type="dxa" w:w="1632"/>
            <w:shd w:fill="D9EAF7"/>
            <w:vAlign w:val="center"/>
          </w:tcPr>
          <w:p>
            <w:r>
              <w:rPr>
                <w:rFonts w:ascii="Aptos" w:hAnsi="Aptos"/>
                <w:sz w:val="19"/>
              </w:rPr>
            </w:r>
            <w:r>
              <w:rPr>
                <w:rFonts w:ascii="Aptos" w:hAnsi="Aptos"/>
                <w:b/>
                <w:sz w:val="19"/>
              </w:rPr>
              <w:t>Accuracy</w:t>
            </w:r>
          </w:p>
        </w:tc>
        <w:tc>
          <w:tcPr>
            <w:tcW w:type="dxa" w:w="1632"/>
            <w:shd w:fill="D9EAF7"/>
            <w:vAlign w:val="center"/>
          </w:tcPr>
          <w:p>
            <w:r>
              <w:rPr>
                <w:rFonts w:ascii="Aptos" w:hAnsi="Aptos"/>
                <w:sz w:val="19"/>
              </w:rPr>
            </w:r>
            <w:r>
              <w:rPr>
                <w:rFonts w:ascii="Aptos" w:hAnsi="Aptos"/>
                <w:b/>
                <w:sz w:val="19"/>
              </w:rPr>
              <w:t>Precision</w:t>
            </w:r>
          </w:p>
        </w:tc>
        <w:tc>
          <w:tcPr>
            <w:tcW w:type="dxa" w:w="1632"/>
            <w:shd w:fill="D9EAF7"/>
            <w:vAlign w:val="center"/>
          </w:tcPr>
          <w:p>
            <w:r>
              <w:rPr>
                <w:rFonts w:ascii="Aptos" w:hAnsi="Aptos"/>
                <w:sz w:val="19"/>
              </w:rPr>
            </w:r>
            <w:r>
              <w:rPr>
                <w:rFonts w:ascii="Aptos" w:hAnsi="Aptos"/>
                <w:b/>
                <w:sz w:val="19"/>
              </w:rPr>
              <w:t>Recall</w:t>
            </w:r>
          </w:p>
        </w:tc>
        <w:tc>
          <w:tcPr>
            <w:tcW w:type="dxa" w:w="1632"/>
            <w:shd w:fill="D9EAF7"/>
            <w:vAlign w:val="center"/>
          </w:tcPr>
          <w:p>
            <w:r>
              <w:rPr>
                <w:rFonts w:ascii="Aptos" w:hAnsi="Aptos"/>
                <w:sz w:val="19"/>
              </w:rPr>
            </w:r>
            <w:r>
              <w:rPr>
                <w:rFonts w:ascii="Aptos" w:hAnsi="Aptos"/>
                <w:b/>
                <w:sz w:val="19"/>
              </w:rPr>
              <w:t>F1-score</w:t>
            </w:r>
          </w:p>
        </w:tc>
        <w:tc>
          <w:tcPr>
            <w:tcW w:type="dxa" w:w="1632"/>
            <w:shd w:fill="D9EAF7"/>
            <w:vAlign w:val="center"/>
          </w:tcPr>
          <w:p>
            <w:r>
              <w:rPr>
                <w:rFonts w:ascii="Aptos" w:hAnsi="Aptos"/>
                <w:sz w:val="19"/>
              </w:rPr>
            </w:r>
            <w:r>
              <w:rPr>
                <w:rFonts w:ascii="Aptos" w:hAnsi="Aptos"/>
                <w:b/>
                <w:sz w:val="19"/>
              </w:rPr>
              <w:t>ROC-AUC</w:t>
            </w:r>
          </w:p>
        </w:tc>
      </w:tr>
      <w:tr>
        <w:tc>
          <w:tcPr>
            <w:tcW w:type="dxa" w:w="1632"/>
            <w:vAlign w:val="center"/>
          </w:tcPr>
          <w:p>
            <w:r>
              <w:rPr>
                <w:rFonts w:ascii="Aptos" w:hAnsi="Aptos"/>
                <w:sz w:val="19"/>
              </w:rPr>
            </w:r>
            <w:r>
              <w:rPr>
                <w:rFonts w:ascii="Aptos" w:hAnsi="Aptos"/>
                <w:b w:val="0"/>
                <w:sz w:val="19"/>
              </w:rPr>
              <w:t>Logistic Regression</w:t>
            </w:r>
          </w:p>
        </w:tc>
        <w:tc>
          <w:tcPr>
            <w:tcW w:type="dxa" w:w="1632"/>
            <w:vAlign w:val="center"/>
          </w:tcPr>
          <w:p>
            <w:r>
              <w:rPr>
                <w:rFonts w:ascii="Aptos" w:hAnsi="Aptos"/>
                <w:sz w:val="19"/>
              </w:rPr>
            </w:r>
            <w:r>
              <w:rPr>
                <w:rFonts w:ascii="Aptos" w:hAnsi="Aptos"/>
                <w:b w:val="0"/>
                <w:sz w:val="19"/>
              </w:rPr>
              <w:t>0.6623</w:t>
            </w:r>
          </w:p>
        </w:tc>
        <w:tc>
          <w:tcPr>
            <w:tcW w:type="dxa" w:w="1632"/>
            <w:vAlign w:val="center"/>
          </w:tcPr>
          <w:p>
            <w:r>
              <w:rPr>
                <w:rFonts w:ascii="Aptos" w:hAnsi="Aptos"/>
                <w:sz w:val="19"/>
              </w:rPr>
            </w:r>
            <w:r>
              <w:rPr>
                <w:rFonts w:ascii="Aptos" w:hAnsi="Aptos"/>
                <w:b w:val="0"/>
                <w:sz w:val="19"/>
              </w:rPr>
              <w:t>0.6588</w:t>
            </w:r>
          </w:p>
        </w:tc>
        <w:tc>
          <w:tcPr>
            <w:tcW w:type="dxa" w:w="1632"/>
            <w:vAlign w:val="center"/>
          </w:tcPr>
          <w:p>
            <w:r>
              <w:rPr>
                <w:rFonts w:ascii="Aptos" w:hAnsi="Aptos"/>
                <w:sz w:val="19"/>
              </w:rPr>
            </w:r>
            <w:r>
              <w:rPr>
                <w:rFonts w:ascii="Aptos" w:hAnsi="Aptos"/>
                <w:b w:val="0"/>
                <w:sz w:val="19"/>
              </w:rPr>
              <w:t>0.6734</w:t>
            </w:r>
          </w:p>
        </w:tc>
        <w:tc>
          <w:tcPr>
            <w:tcW w:type="dxa" w:w="1632"/>
            <w:vAlign w:val="center"/>
          </w:tcPr>
          <w:p>
            <w:r>
              <w:rPr>
                <w:rFonts w:ascii="Aptos" w:hAnsi="Aptos"/>
                <w:sz w:val="19"/>
              </w:rPr>
            </w:r>
            <w:r>
              <w:rPr>
                <w:rFonts w:ascii="Aptos" w:hAnsi="Aptos"/>
                <w:b w:val="0"/>
                <w:sz w:val="19"/>
              </w:rPr>
              <w:t>0.6660</w:t>
            </w:r>
          </w:p>
        </w:tc>
        <w:tc>
          <w:tcPr>
            <w:tcW w:type="dxa" w:w="1632"/>
            <w:vAlign w:val="center"/>
          </w:tcPr>
          <w:p>
            <w:r>
              <w:rPr>
                <w:rFonts w:ascii="Aptos" w:hAnsi="Aptos"/>
                <w:sz w:val="19"/>
              </w:rPr>
            </w:r>
            <w:r>
              <w:rPr>
                <w:rFonts w:ascii="Aptos" w:hAnsi="Aptos"/>
                <w:b w:val="0"/>
                <w:sz w:val="19"/>
              </w:rPr>
              <w:t>0.7230</w:t>
            </w:r>
          </w:p>
        </w:tc>
      </w:tr>
      <w:tr>
        <w:tc>
          <w:tcPr>
            <w:tcW w:type="dxa" w:w="1632"/>
            <w:vAlign w:val="center"/>
          </w:tcPr>
          <w:p>
            <w:r>
              <w:rPr>
                <w:rFonts w:ascii="Aptos" w:hAnsi="Aptos"/>
                <w:sz w:val="19"/>
              </w:rPr>
            </w:r>
            <w:r>
              <w:rPr>
                <w:rFonts w:ascii="Aptos" w:hAnsi="Aptos"/>
                <w:b w:val="0"/>
                <w:sz w:val="19"/>
              </w:rPr>
              <w:t>Random Forest</w:t>
            </w:r>
          </w:p>
        </w:tc>
        <w:tc>
          <w:tcPr>
            <w:tcW w:type="dxa" w:w="1632"/>
            <w:vAlign w:val="center"/>
          </w:tcPr>
          <w:p>
            <w:r>
              <w:rPr>
                <w:rFonts w:ascii="Aptos" w:hAnsi="Aptos"/>
                <w:sz w:val="19"/>
              </w:rPr>
            </w:r>
            <w:r>
              <w:rPr>
                <w:rFonts w:ascii="Aptos" w:hAnsi="Aptos"/>
                <w:b w:val="0"/>
                <w:sz w:val="19"/>
              </w:rPr>
              <w:t>0.6621</w:t>
            </w:r>
          </w:p>
        </w:tc>
        <w:tc>
          <w:tcPr>
            <w:tcW w:type="dxa" w:w="1632"/>
            <w:vAlign w:val="center"/>
          </w:tcPr>
          <w:p>
            <w:r>
              <w:rPr>
                <w:rFonts w:ascii="Aptos" w:hAnsi="Aptos"/>
                <w:sz w:val="19"/>
              </w:rPr>
            </w:r>
            <w:r>
              <w:rPr>
                <w:rFonts w:ascii="Aptos" w:hAnsi="Aptos"/>
                <w:b w:val="0"/>
                <w:sz w:val="19"/>
              </w:rPr>
              <w:t>0.6588</w:t>
            </w:r>
          </w:p>
        </w:tc>
        <w:tc>
          <w:tcPr>
            <w:tcW w:type="dxa" w:w="1632"/>
            <w:vAlign w:val="center"/>
          </w:tcPr>
          <w:p>
            <w:r>
              <w:rPr>
                <w:rFonts w:ascii="Aptos" w:hAnsi="Aptos"/>
                <w:sz w:val="19"/>
              </w:rPr>
            </w:r>
            <w:r>
              <w:rPr>
                <w:rFonts w:ascii="Aptos" w:hAnsi="Aptos"/>
                <w:b w:val="0"/>
                <w:sz w:val="19"/>
              </w:rPr>
              <w:t>0.6725</w:t>
            </w:r>
          </w:p>
        </w:tc>
        <w:tc>
          <w:tcPr>
            <w:tcW w:type="dxa" w:w="1632"/>
            <w:vAlign w:val="center"/>
          </w:tcPr>
          <w:p>
            <w:r>
              <w:rPr>
                <w:rFonts w:ascii="Aptos" w:hAnsi="Aptos"/>
                <w:sz w:val="19"/>
              </w:rPr>
            </w:r>
            <w:r>
              <w:rPr>
                <w:rFonts w:ascii="Aptos" w:hAnsi="Aptos"/>
                <w:b w:val="0"/>
                <w:sz w:val="19"/>
              </w:rPr>
              <w:t>0.6655</w:t>
            </w:r>
          </w:p>
        </w:tc>
        <w:tc>
          <w:tcPr>
            <w:tcW w:type="dxa" w:w="1632"/>
            <w:vAlign w:val="center"/>
          </w:tcPr>
          <w:p>
            <w:r>
              <w:rPr>
                <w:rFonts w:ascii="Aptos" w:hAnsi="Aptos"/>
                <w:sz w:val="19"/>
              </w:rPr>
            </w:r>
            <w:r>
              <w:rPr>
                <w:rFonts w:ascii="Aptos" w:hAnsi="Aptos"/>
                <w:b w:val="0"/>
                <w:sz w:val="19"/>
              </w:rPr>
              <w:t>0.7237</w:t>
            </w:r>
          </w:p>
        </w:tc>
      </w:tr>
    </w:tbl>
    <w:p>
      <w:r>
        <w:t>Both models performed similarly. Logistic Regression achieved a ROC-AUC of 0.7230, while Random Forest achieved a ROC-AUC of 0.7237. Because Random Forest was slightly stronger by ROC-AUC, it is recommended as the stronger predictive model in this run. Logistic Regression remains useful as a simpler benchmark that is easier to explain to non-technical stakeholders.</w:t>
      </w:r>
    </w:p>
    <w:p>
      <w:pPr>
        <w:jc w:val="center"/>
      </w:pPr>
      <w:r>
        <w:drawing>
          <wp:inline xmlns:a="http://schemas.openxmlformats.org/drawingml/2006/main" xmlns:pic="http://schemas.openxmlformats.org/drawingml/2006/picture">
            <wp:extent cx="4389120" cy="3511296"/>
            <wp:docPr id="4" name="Picture 4"/>
            <wp:cNvGraphicFramePr>
              <a:graphicFrameLocks noChangeAspect="1"/>
            </wp:cNvGraphicFramePr>
            <a:graphic>
              <a:graphicData uri="http://schemas.openxmlformats.org/drawingml/2006/picture">
                <pic:pic>
                  <pic:nvPicPr>
                    <pic:cNvPr id="0" name="fig6_rf_confusion_matrix.png"/>
                    <pic:cNvPicPr/>
                  </pic:nvPicPr>
                  <pic:blipFill>
                    <a:blip r:embed="rId12"/>
                    <a:stretch>
                      <a:fillRect/>
                    </a:stretch>
                  </pic:blipFill>
                  <pic:spPr>
                    <a:xfrm>
                      <a:off x="0" y="0"/>
                      <a:ext cx="4389120" cy="3511296"/>
                    </a:xfrm>
                    <a:prstGeom prst="rect"/>
                  </pic:spPr>
                </pic:pic>
              </a:graphicData>
            </a:graphic>
          </wp:inline>
        </w:drawing>
      </w:r>
    </w:p>
    <w:p>
      <w:pPr>
        <w:jc w:val="center"/>
      </w:pPr>
      <w:r>
        <w:rPr>
          <w:i/>
          <w:sz w:val="18"/>
        </w:rPr>
        <w:t>Figure 4. Random Forest confusion matrix on the test set.</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7_feature_importance.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Figure 5. Most important Random Forest predictors.</w:t>
      </w:r>
    </w:p>
    <w:p>
      <w:pPr>
        <w:pStyle w:val="Heading1"/>
      </w:pPr>
      <w:r>
        <w:t>8. Business Insights and Recommendations</w:t>
      </w:r>
    </w:p>
    <w:p>
      <w:r>
        <w:t>The analysis supports the following business insights:</w:t>
      </w:r>
    </w:p>
    <w:p>
      <w:pPr>
        <w:pStyle w:val="ListBullet"/>
      </w:pPr>
      <w:r>
        <w:t>Applicants with higher interest rates, higher debt-to-income ratios, lower credit scores, and higher revolving utilization showed greater observed default risk.</w:t>
      </w:r>
    </w:p>
    <w:p>
      <w:pPr>
        <w:pStyle w:val="ListBullet"/>
      </w:pPr>
      <w:r>
        <w:t>Risk grade, loan purpose, housing status, and region were meaningful categories for segmenting default risk.</w:t>
      </w:r>
    </w:p>
    <w:p>
      <w:pPr>
        <w:pStyle w:val="ListBullet"/>
      </w:pPr>
      <w:r>
        <w:t>The model can help lenders prioritize applications for additional review, identify higher-risk borrower profiles, and support more consistent credit-risk screening.</w:t>
      </w:r>
    </w:p>
    <w:p>
      <w:pPr>
        <w:pStyle w:val="ListBullet"/>
      </w:pPr>
      <w:r>
        <w:t>The model should not automatically approve or reject applicants. It should support decision-making alongside policy rules, affordability checks, and human review.</w:t>
      </w:r>
    </w:p>
    <w:p>
      <w:pPr>
        <w:pStyle w:val="Heading1"/>
      </w:pPr>
      <w:r>
        <w:t>9. Limitations and Future Work</w:t>
      </w:r>
    </w:p>
    <w:p>
      <w:pPr>
        <w:pStyle w:val="ListBullet"/>
      </w:pPr>
      <w:r>
        <w:t>The model was trained on historical data and may reflect past lending decisions or borrower conditions.</w:t>
      </w:r>
    </w:p>
    <w:p>
      <w:pPr>
        <w:pStyle w:val="ListBullet"/>
      </w:pPr>
      <w:r>
        <w:t>The inquiry dataset could not be joined to the main applications dataset due to the absence of a common identifier.</w:t>
      </w:r>
    </w:p>
    <w:p>
      <w:pPr>
        <w:pStyle w:val="ListBullet"/>
      </w:pPr>
      <w:r>
        <w:t>Some variables, such as risk grade and interest rate, may partly reflect lender assessment rather than only borrower characteristics.</w:t>
      </w:r>
    </w:p>
    <w:p>
      <w:pPr>
        <w:pStyle w:val="ListBullet"/>
      </w:pPr>
      <w:r>
        <w:t>The current analysis used a single train/test split. Future work should include cross-validation and threshold tuning.</w:t>
      </w:r>
    </w:p>
    <w:p>
      <w:pPr>
        <w:pStyle w:val="ListBullet"/>
      </w:pPr>
      <w:r>
        <w:t>Future improvements could include additional models such as gradient boosting, fairness checks across borrower groups, and more detailed error analysis of false positives and false negatives.</w:t>
      </w:r>
    </w:p>
    <w:p>
      <w:pPr>
        <w:pStyle w:val="Heading1"/>
      </w:pPr>
      <w:r>
        <w:t>10. Conclusion</w:t>
      </w:r>
    </w:p>
    <w:p>
      <w:r>
        <w:t>This project completed the required data analytics workflow for predicting credit default risk. The work included data cleaning, EDA, visualization, feature engineering, classification modeling, model comparison, and business interpretation. Random Forest was the recommended model by ROC-AUC, although Logistic Regression performed similarly and remains useful for explainability. The final model can support credit-risk decision-making by highlighting applications with higher predicted default risk, while its limitations should be considered before operational use.</w:t>
      </w:r>
    </w:p>
    <w:sectPr w:rsidR="00FC693F" w:rsidRPr="0006063C" w:rsidSect="00034616">
      <w:footerReference w:type="default" r:id="rId14"/>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Group 6 - Predicting Credit Default Risk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