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4E8FC" w14:textId="77777777" w:rsidR="00BF312D" w:rsidRDefault="00BF312D"/>
    <w:p w14:paraId="145AB55C" w14:textId="77777777" w:rsidR="00BF312D" w:rsidRDefault="00BF312D"/>
    <w:p w14:paraId="76EC4B89" w14:textId="77777777" w:rsidR="00BF312D" w:rsidRDefault="00000000">
      <w:pPr>
        <w:spacing w:line="480" w:lineRule="auto"/>
        <w:jc w:val="center"/>
      </w:pPr>
      <w:r>
        <w:rPr>
          <w:b/>
          <w:bCs/>
        </w:rPr>
        <w:t>UNIVERSITY OF NIAGARA FALLS CANADA</w:t>
      </w:r>
    </w:p>
    <w:p w14:paraId="621AB1B1" w14:textId="77777777" w:rsidR="00BF312D" w:rsidRDefault="00000000">
      <w:pPr>
        <w:spacing w:line="480" w:lineRule="auto"/>
        <w:jc w:val="center"/>
      </w:pPr>
      <w:r>
        <w:t>Master of Data Analytics</w:t>
      </w:r>
    </w:p>
    <w:p w14:paraId="351FB4EF" w14:textId="77777777" w:rsidR="00BF312D" w:rsidRDefault="00000000">
      <w:pPr>
        <w:spacing w:line="480" w:lineRule="auto"/>
        <w:jc w:val="center"/>
      </w:pPr>
      <w:r>
        <w:t>DAMO-520-21 — Marketing Analytics</w:t>
      </w:r>
    </w:p>
    <w:p w14:paraId="1C6D024D" w14:textId="77777777" w:rsidR="00BF312D" w:rsidRDefault="00BF312D"/>
    <w:p w14:paraId="1CFE16C5" w14:textId="77777777" w:rsidR="00BF312D" w:rsidRDefault="00BF312D"/>
    <w:p w14:paraId="5ABC5264" w14:textId="77777777" w:rsidR="00BF312D" w:rsidRDefault="00000000">
      <w:pPr>
        <w:spacing w:line="480" w:lineRule="auto"/>
        <w:jc w:val="center"/>
      </w:pPr>
      <w:r>
        <w:rPr>
          <w:b/>
          <w:bCs/>
          <w:sz w:val="28"/>
          <w:szCs w:val="28"/>
        </w:rPr>
        <w:t>Marketing Analytics Problem Assignment: Part 1</w:t>
      </w:r>
    </w:p>
    <w:p w14:paraId="05B1A378" w14:textId="77777777" w:rsidR="00BF312D" w:rsidRDefault="00000000">
      <w:pPr>
        <w:spacing w:line="480" w:lineRule="auto"/>
        <w:jc w:val="center"/>
      </w:pPr>
      <w:r>
        <w:rPr>
          <w:i/>
          <w:iCs/>
        </w:rPr>
        <w:t>Customer Segmentation of Credit Card Holders:</w:t>
      </w:r>
    </w:p>
    <w:p w14:paraId="0AD8DD9B" w14:textId="77777777" w:rsidR="00BF312D" w:rsidRDefault="00000000">
      <w:pPr>
        <w:spacing w:line="480" w:lineRule="auto"/>
        <w:jc w:val="center"/>
      </w:pPr>
      <w:r>
        <w:rPr>
          <w:i/>
          <w:iCs/>
        </w:rPr>
        <w:t>A Data Enrichment Plan and k-Means Segmentation Analysis</w:t>
      </w:r>
    </w:p>
    <w:p w14:paraId="3CBA40D3" w14:textId="77777777" w:rsidR="00BF312D" w:rsidRDefault="00BF312D"/>
    <w:p w14:paraId="5055BD5C" w14:textId="77777777" w:rsidR="00BF312D" w:rsidRDefault="00BF312D"/>
    <w:p w14:paraId="044E630B" w14:textId="77777777" w:rsidR="00BF312D" w:rsidRDefault="00BF312D"/>
    <w:p w14:paraId="4E3A50B2" w14:textId="77777777" w:rsidR="00BF312D" w:rsidRDefault="00000000">
      <w:pPr>
        <w:spacing w:line="480" w:lineRule="auto"/>
        <w:jc w:val="center"/>
      </w:pPr>
      <w:r>
        <w:t>Submitted by: Group 6</w:t>
      </w:r>
    </w:p>
    <w:p w14:paraId="2E36A33E" w14:textId="77777777" w:rsidR="00BF312D" w:rsidRDefault="00000000">
      <w:pPr>
        <w:spacing w:line="480" w:lineRule="auto"/>
        <w:jc w:val="center"/>
      </w:pPr>
      <w:r>
        <w:t>ISSA, Nabeel</w:t>
      </w:r>
    </w:p>
    <w:p w14:paraId="01214E8E" w14:textId="77777777" w:rsidR="00BF312D" w:rsidRDefault="00000000">
      <w:pPr>
        <w:spacing w:line="480" w:lineRule="auto"/>
        <w:jc w:val="center"/>
      </w:pPr>
      <w:r>
        <w:t>MUSA, Yusuf</w:t>
      </w:r>
    </w:p>
    <w:p w14:paraId="75CF4692" w14:textId="77777777" w:rsidR="00BF312D" w:rsidRDefault="00000000">
      <w:pPr>
        <w:spacing w:line="480" w:lineRule="auto"/>
        <w:jc w:val="center"/>
      </w:pPr>
      <w:r>
        <w:t>NASIRU, Arafat Adekolajo</w:t>
      </w:r>
    </w:p>
    <w:p w14:paraId="2BD33698" w14:textId="77777777" w:rsidR="00BF312D" w:rsidRDefault="00000000">
      <w:pPr>
        <w:spacing w:line="480" w:lineRule="auto"/>
        <w:jc w:val="center"/>
      </w:pPr>
      <w:r>
        <w:t>OBOKOHWO, Israel</w:t>
      </w:r>
    </w:p>
    <w:p w14:paraId="60E22548" w14:textId="77777777" w:rsidR="00BF312D" w:rsidRDefault="00000000">
      <w:pPr>
        <w:spacing w:line="480" w:lineRule="auto"/>
        <w:jc w:val="center"/>
      </w:pPr>
      <w:r>
        <w:t>OJUEDERIE, Okemena</w:t>
      </w:r>
    </w:p>
    <w:p w14:paraId="5EBD209C" w14:textId="77777777" w:rsidR="00BF312D" w:rsidRDefault="00BF312D"/>
    <w:p w14:paraId="1898D844" w14:textId="77777777" w:rsidR="00BF312D" w:rsidRDefault="00BF312D"/>
    <w:p w14:paraId="3AAD6924" w14:textId="77777777" w:rsidR="00BF312D" w:rsidRDefault="00000000">
      <w:pPr>
        <w:spacing w:line="480" w:lineRule="auto"/>
        <w:jc w:val="center"/>
      </w:pPr>
      <w:r>
        <w:t>Submitted to: Dr. Mohamad Makki</w:t>
      </w:r>
    </w:p>
    <w:p w14:paraId="29A76C03" w14:textId="77777777" w:rsidR="00BF312D" w:rsidRDefault="00BF312D"/>
    <w:p w14:paraId="16E77214" w14:textId="77777777" w:rsidR="00BF312D" w:rsidRDefault="00BF312D"/>
    <w:p w14:paraId="48102B94" w14:textId="77777777" w:rsidR="00BF312D" w:rsidRDefault="00000000">
      <w:pPr>
        <w:spacing w:line="480" w:lineRule="auto"/>
        <w:jc w:val="center"/>
      </w:pPr>
      <w:r>
        <w:t>August 3, 2026</w:t>
      </w:r>
    </w:p>
    <w:p w14:paraId="2F649D17" w14:textId="77777777" w:rsidR="00BF312D" w:rsidRDefault="00000000">
      <w:r>
        <w:br w:type="page"/>
      </w:r>
    </w:p>
    <w:p w14:paraId="41EB4A68" w14:textId="77777777" w:rsidR="00BF312D" w:rsidRDefault="00000000">
      <w:pPr>
        <w:pStyle w:val="Heading1"/>
        <w:spacing w:before="240" w:after="120" w:line="480" w:lineRule="auto"/>
      </w:pPr>
      <w:r>
        <w:rPr>
          <w:b/>
          <w:bCs/>
          <w:color w:val="000000"/>
          <w:sz w:val="26"/>
          <w:szCs w:val="26"/>
        </w:rPr>
        <w:lastRenderedPageBreak/>
        <w:t>Part A: Data Enrichment Plan</w:t>
      </w:r>
    </w:p>
    <w:p w14:paraId="7A924375" w14:textId="086C8704" w:rsidR="00BF312D" w:rsidRDefault="00000000" w:rsidP="00CE0F45">
      <w:pPr>
        <w:spacing w:line="480" w:lineRule="auto"/>
      </w:pPr>
      <w:r>
        <w:t>Purchasing_data.xlsx surveys 4,362 people, collected in September 2021. It records how</w:t>
      </w:r>
      <w:r w:rsidR="00CE0F45" w:rsidRPr="00CE0F45">
        <w:t xml:space="preserve"> </w:t>
      </w:r>
      <w:r w:rsidR="00CE0F45">
        <w:t>people pay for things, how many credit cards they hold and carry a balance on, whether they use Buy Now Pay Later (BNPL), what they look for in a card, and basic demographics like age, income, and education.</w:t>
      </w:r>
      <w:r>
        <w:t>. It is usable, but has gaps to close before it can guide today's decisions.</w:t>
      </w:r>
    </w:p>
    <w:p w14:paraId="5832CAE0" w14:textId="77777777" w:rsidR="00BF312D" w:rsidRDefault="00000000">
      <w:pPr>
        <w:pStyle w:val="Heading2"/>
        <w:spacing w:before="240" w:after="120" w:line="480" w:lineRule="auto"/>
      </w:pPr>
      <w:r>
        <w:rPr>
          <w:b/>
          <w:bCs/>
          <w:color w:val="000000"/>
          <w:sz w:val="24"/>
          <w:szCs w:val="24"/>
        </w:rPr>
        <w:t>1. Missing or Outdated Information</w:t>
      </w:r>
    </w:p>
    <w:p w14:paraId="2F9DD874" w14:textId="77777777" w:rsidR="00BF312D" w:rsidRDefault="00000000" w:rsidP="00635103">
      <w:pPr>
        <w:spacing w:line="480" w:lineRule="auto"/>
        <w:jc w:val="both"/>
      </w:pPr>
      <w:r>
        <w:t>The data is nearly five years old and predates a real shift in how people pay. Credit cards are now the most-used method in the United States, at 35 percent of payments against 30 percent for debit, and the share preferring credit in person has risen from 24 percent in 2016 to 38 percent (Federal Reserve Financial Services, 2025a). The survey lists Venmo but neither Zelle nor FedNow, the latter of which moved $245 billion in the second quarter of 2025 alone (Federal Reserve Financial Services, 2025b).</w:t>
      </w:r>
    </w:p>
    <w:p w14:paraId="136E329C" w14:textId="17C2C4F1" w:rsidR="00567B5B" w:rsidRDefault="00567B5B" w:rsidP="00635103">
      <w:pPr>
        <w:spacing w:line="480" w:lineRule="auto"/>
        <w:jc w:val="both"/>
      </w:pPr>
      <w:r>
        <w:t xml:space="preserve">Some of the missing data includes: </w:t>
      </w:r>
    </w:p>
    <w:p w14:paraId="5674AE54" w14:textId="77777777" w:rsidR="00567B5B" w:rsidRDefault="00CE0F45" w:rsidP="00635103">
      <w:pPr>
        <w:pStyle w:val="ListParagraph"/>
        <w:numPr>
          <w:ilvl w:val="0"/>
          <w:numId w:val="2"/>
        </w:numPr>
        <w:spacing w:line="480" w:lineRule="auto"/>
        <w:jc w:val="both"/>
      </w:pPr>
      <w:r w:rsidRPr="00567B5B">
        <w:rPr>
          <w:b/>
          <w:bCs/>
        </w:rPr>
        <w:t xml:space="preserve">Psychological Data: </w:t>
      </w:r>
      <w:r w:rsidR="00567B5B">
        <w:t>R</w:t>
      </w:r>
      <w:r w:rsidR="00000000">
        <w:t xml:space="preserve">ecords </w:t>
      </w:r>
      <w:r w:rsidR="00567B5B">
        <w:t>on</w:t>
      </w:r>
      <w:r>
        <w:t xml:space="preserve"> </w:t>
      </w:r>
      <w:r w:rsidR="00000000">
        <w:t>how they feel</w:t>
      </w:r>
      <w:r w:rsidR="00567B5B">
        <w:t xml:space="preserve"> about debt, brand loyalty and trust in institutions</w:t>
      </w:r>
      <w:r>
        <w:t>.</w:t>
      </w:r>
      <w:r w:rsidR="00000000">
        <w:t xml:space="preserve"> </w:t>
      </w:r>
    </w:p>
    <w:p w14:paraId="57F3104A" w14:textId="7A09DCA0" w:rsidR="00567B5B" w:rsidRPr="00567B5B" w:rsidRDefault="00567B5B" w:rsidP="00635103">
      <w:pPr>
        <w:pStyle w:val="ListParagraph"/>
        <w:numPr>
          <w:ilvl w:val="0"/>
          <w:numId w:val="2"/>
        </w:numPr>
        <w:spacing w:line="480" w:lineRule="auto"/>
        <w:jc w:val="both"/>
      </w:pPr>
      <w:r>
        <w:rPr>
          <w:b/>
          <w:bCs/>
        </w:rPr>
        <w:t xml:space="preserve">Credit Limit variable: </w:t>
      </w:r>
      <w:r>
        <w:t xml:space="preserve">Lack of Credit Limit variable makes it impossible </w:t>
      </w:r>
      <w:r w:rsidR="00E619F4">
        <w:t>for us to determine individual credit utilization which happens to be one of the strongest financial risk that cannot be calculated from balance alone.</w:t>
      </w:r>
    </w:p>
    <w:p w14:paraId="6C7A3984" w14:textId="77777777" w:rsidR="00E619F4" w:rsidRDefault="00CE0F45" w:rsidP="00E619F4">
      <w:pPr>
        <w:pStyle w:val="ListParagraph"/>
        <w:numPr>
          <w:ilvl w:val="0"/>
          <w:numId w:val="2"/>
        </w:numPr>
        <w:spacing w:line="480" w:lineRule="auto"/>
        <w:jc w:val="both"/>
      </w:pPr>
      <w:r w:rsidRPr="00567B5B">
        <w:rPr>
          <w:b/>
          <w:bCs/>
        </w:rPr>
        <w:t>Customer Tenure and Satisfaction Score:</w:t>
      </w:r>
      <w:r>
        <w:t xml:space="preserve"> </w:t>
      </w:r>
      <w:r w:rsidR="00E619F4">
        <w:t>lack of data on how long a customer has been with an instituition</w:t>
      </w:r>
      <w:r w:rsidR="00000000">
        <w:t xml:space="preserve"> or </w:t>
      </w:r>
      <w:r w:rsidR="00E619F4">
        <w:t xml:space="preserve">how satisfied they are with products and services makes it impossible to </w:t>
      </w:r>
      <w:r w:rsidR="00635103">
        <w:t xml:space="preserve">differentiate </w:t>
      </w:r>
      <w:r w:rsidR="00000000">
        <w:t xml:space="preserve">a new customer from a </w:t>
      </w:r>
      <w:r w:rsidR="00635103">
        <w:t xml:space="preserve">loyal </w:t>
      </w:r>
      <w:r w:rsidR="00000000">
        <w:t>long</w:t>
      </w:r>
      <w:r w:rsidR="00635103">
        <w:t xml:space="preserve"> </w:t>
      </w:r>
      <w:r w:rsidR="00000000">
        <w:t>standing</w:t>
      </w:r>
      <w:r w:rsidR="00635103">
        <w:t xml:space="preserve"> customer</w:t>
      </w:r>
      <w:r w:rsidR="00000000">
        <w:t xml:space="preserve">. </w:t>
      </w:r>
    </w:p>
    <w:p w14:paraId="4841B2E9" w14:textId="77777777" w:rsidR="00E619F4" w:rsidRDefault="00E619F4" w:rsidP="00E619F4">
      <w:pPr>
        <w:spacing w:line="480" w:lineRule="auto"/>
        <w:jc w:val="both"/>
      </w:pPr>
      <w:r w:rsidRPr="00E619F4">
        <w:lastRenderedPageBreak/>
        <w:t>To close these gaps, the following should be added: current data on payment mix and credit use, a short set of attitude questions on debt and price sensitivity, credit limit information, customer tenure and a satisfaction measure, and passive engagement data such as app visit frequency and offer response.</w:t>
      </w:r>
    </w:p>
    <w:p w14:paraId="058753A9" w14:textId="181DBF54" w:rsidR="00BF312D" w:rsidRDefault="00000000" w:rsidP="00E619F4">
      <w:pPr>
        <w:spacing w:line="480" w:lineRule="auto"/>
        <w:jc w:val="both"/>
      </w:pPr>
      <w:r w:rsidRPr="00E619F4">
        <w:rPr>
          <w:b/>
          <w:bCs/>
          <w:color w:val="000000"/>
        </w:rPr>
        <w:t>2. Proposed Data Sources</w:t>
      </w:r>
    </w:p>
    <w:p w14:paraId="33A13417" w14:textId="77777777" w:rsidR="00BF312D" w:rsidRDefault="00000000" w:rsidP="000A2D40">
      <w:pPr>
        <w:spacing w:line="480" w:lineRule="auto"/>
      </w:pPr>
      <w:r>
        <w:t>The primary source is a survey of current cardholders. Attitudes cannot be pulled from any system the company already runs, so they must be asked. This gives the measures needed to group customers by why they spend, not only what they spend.</w:t>
      </w:r>
    </w:p>
    <w:p w14:paraId="4A582AF3" w14:textId="7A6EAF4C" w:rsidR="00BF312D" w:rsidRDefault="000A2D40" w:rsidP="000A2D40">
      <w:pPr>
        <w:spacing w:line="480" w:lineRule="auto"/>
        <w:jc w:val="both"/>
      </w:pPr>
      <w:r>
        <w:t>Secondary source: the company's own transaction and account records, checked against published industry reports on payment trends. Transaction records add credit limit, tenure, and actual spend by category without asking the customer anything, and update on their own. Industry</w:t>
      </w:r>
      <w:r w:rsidR="00000000">
        <w:t xml:space="preserve"> reports give market context: 53.6 million people took a BNPL loan in 2023 across six major providers (CFPB, 2025), and card balances reached $1.28 trillion by end-2025 (Federal Reserve Bank of New York, 2026).</w:t>
      </w:r>
    </w:p>
    <w:p w14:paraId="337488E4" w14:textId="77777777" w:rsidR="00BF312D" w:rsidRDefault="00000000">
      <w:pPr>
        <w:pStyle w:val="Heading2"/>
        <w:spacing w:before="240" w:after="120" w:line="480" w:lineRule="auto"/>
      </w:pPr>
      <w:r>
        <w:rPr>
          <w:b/>
          <w:bCs/>
          <w:color w:val="000000"/>
          <w:sz w:val="24"/>
          <w:szCs w:val="24"/>
        </w:rPr>
        <w:t>3. Data Collection Method</w:t>
      </w:r>
    </w:p>
    <w:p w14:paraId="306D583D" w14:textId="77777777" w:rsidR="00B23E87" w:rsidRDefault="000A2D40" w:rsidP="00B23E87">
      <w:pPr>
        <w:spacing w:line="480" w:lineRule="auto"/>
        <w:jc w:val="both"/>
      </w:pPr>
      <w:r w:rsidRPr="000A2D40">
        <w:t>The survey would go out by email and as a short in-app prompt, reaching customers who bank mainly online and those who do not. It would collect four variables, each tied to a way of grouping customers:</w:t>
      </w:r>
    </w:p>
    <w:p w14:paraId="2769E8E4" w14:textId="77777777" w:rsidR="00B23E87" w:rsidRDefault="000A2D40" w:rsidP="00B23E87">
      <w:pPr>
        <w:pStyle w:val="ListParagraph"/>
        <w:numPr>
          <w:ilvl w:val="0"/>
          <w:numId w:val="4"/>
        </w:numPr>
        <w:spacing w:line="480" w:lineRule="auto"/>
        <w:jc w:val="both"/>
      </w:pPr>
      <w:r w:rsidRPr="000A2D40">
        <w:t>How often the customer uses a digital wallet or BNPL service, measuring digital engagement.</w:t>
      </w:r>
    </w:p>
    <w:p w14:paraId="567B3F8F" w14:textId="77777777" w:rsidR="00B23E87" w:rsidRDefault="000A2D40" w:rsidP="00B23E87">
      <w:pPr>
        <w:pStyle w:val="ListParagraph"/>
        <w:numPr>
          <w:ilvl w:val="0"/>
          <w:numId w:val="4"/>
        </w:numPr>
        <w:spacing w:line="480" w:lineRule="auto"/>
        <w:jc w:val="both"/>
      </w:pPr>
      <w:r w:rsidRPr="000A2D40">
        <w:t>The main reason the customer picked their current card, measuring brand loyalty.</w:t>
      </w:r>
    </w:p>
    <w:p w14:paraId="2CC76D7A" w14:textId="77777777" w:rsidR="00B23E87" w:rsidRDefault="000A2D40" w:rsidP="00B23E87">
      <w:pPr>
        <w:pStyle w:val="ListParagraph"/>
        <w:numPr>
          <w:ilvl w:val="0"/>
          <w:numId w:val="4"/>
        </w:numPr>
        <w:spacing w:line="480" w:lineRule="auto"/>
        <w:jc w:val="both"/>
      </w:pPr>
      <w:r w:rsidRPr="000A2D40">
        <w:t>How comfortable the customer is carrying a balance, measuring attitude toward debt.</w:t>
      </w:r>
    </w:p>
    <w:p w14:paraId="2991BCFE" w14:textId="3B0E4059" w:rsidR="000A2D40" w:rsidRPr="000A2D40" w:rsidRDefault="000A2D40" w:rsidP="00B23E87">
      <w:pPr>
        <w:pStyle w:val="ListParagraph"/>
        <w:numPr>
          <w:ilvl w:val="0"/>
          <w:numId w:val="4"/>
        </w:numPr>
        <w:spacing w:line="480" w:lineRule="auto"/>
        <w:jc w:val="both"/>
      </w:pPr>
      <w:r w:rsidRPr="000A2D40">
        <w:lastRenderedPageBreak/>
        <w:t>Which spending categories the customer uses their card for most, measuring product preference.</w:t>
      </w:r>
    </w:p>
    <w:p w14:paraId="570C1BD0" w14:textId="77777777" w:rsidR="000A2D40" w:rsidRDefault="000A2D40" w:rsidP="000A2D40">
      <w:pPr>
        <w:spacing w:line="480" w:lineRule="auto"/>
        <w:jc w:val="both"/>
      </w:pPr>
      <w:r w:rsidRPr="000A2D40">
        <w:t>To keep the data usable, questions would be tested on a small group first to catch confusing wording, the same rating scale would be used throughout, and the survey would be kept under ten minutes, so people answer carefully rather than rushing.</w:t>
      </w:r>
    </w:p>
    <w:p w14:paraId="4CFCE1B0" w14:textId="77777777" w:rsidR="00BF312D" w:rsidRDefault="00000000">
      <w:pPr>
        <w:pStyle w:val="Heading2"/>
        <w:spacing w:before="240" w:after="120" w:line="480" w:lineRule="auto"/>
      </w:pPr>
      <w:r>
        <w:rPr>
          <w:b/>
          <w:bCs/>
          <w:color w:val="000000"/>
          <w:sz w:val="24"/>
          <w:szCs w:val="24"/>
        </w:rPr>
        <w:t>4. Sampling Plan</w:t>
      </w:r>
    </w:p>
    <w:p w14:paraId="1C6AFFD8" w14:textId="23A346D7" w:rsidR="00BF312D" w:rsidRDefault="005511A6" w:rsidP="005511A6">
      <w:pPr>
        <w:spacing w:line="480" w:lineRule="auto"/>
      </w:pPr>
      <w:r>
        <w:t>We used s</w:t>
      </w:r>
      <w:r w:rsidR="00000000">
        <w:t>tratified random sampling, using</w:t>
      </w:r>
      <w:r>
        <w:t xml:space="preserve"> the company existing</w:t>
      </w:r>
      <w:r w:rsidR="00000000">
        <w:t xml:space="preserve"> account tiers </w:t>
      </w:r>
      <w:r>
        <w:t>such as</w:t>
      </w:r>
      <w:r w:rsidR="00000000">
        <w:t xml:space="preserve"> standard, premium, business as the groups. </w:t>
      </w:r>
      <w:r w:rsidRPr="005511A6">
        <w:t xml:space="preserve">A plain random sample could end up </w:t>
      </w:r>
      <w:r w:rsidR="00F35BC8">
        <w:t xml:space="preserve">with </w:t>
      </w:r>
      <w:r w:rsidRPr="005511A6">
        <w:t>mostly standard tier customers, leaving smaller but valuable tiers underrepresented</w:t>
      </w:r>
      <w:r w:rsidR="00000000">
        <w:t>; sampling inside each tier separately prevents that</w:t>
      </w:r>
      <w:r>
        <w:t>.</w:t>
      </w:r>
    </w:p>
    <w:p w14:paraId="4FE5D251" w14:textId="2B0E7300" w:rsidR="00BF312D" w:rsidRDefault="0038364E" w:rsidP="00F35BC8">
      <w:pPr>
        <w:spacing w:line="480" w:lineRule="auto"/>
      </w:pPr>
      <w:r w:rsidRPr="0038364E">
        <w:t>This supports validity, since customers are still picked at random inside each tier rather than skewed toward the most engaged; reliability, since the same tiers and steps can be reused on a regular schedule for fair comparison over time; and generalizability, since the known size of each tier lets results be weighted back up to the full customer base rather than only those who responded.</w:t>
      </w:r>
      <w:r>
        <w:t xml:space="preserve"> </w:t>
      </w:r>
      <w:r w:rsidR="00000000">
        <w:t>The current dataset has neither customer IDs nor weights, so its results cannot be projected.</w:t>
      </w:r>
    </w:p>
    <w:p w14:paraId="3EC246E4" w14:textId="77777777" w:rsidR="00BF312D" w:rsidRDefault="00000000">
      <w:pPr>
        <w:pStyle w:val="Heading1"/>
        <w:spacing w:before="240" w:after="120" w:line="480" w:lineRule="auto"/>
      </w:pPr>
      <w:r>
        <w:rPr>
          <w:b/>
          <w:bCs/>
          <w:color w:val="000000"/>
          <w:sz w:val="26"/>
          <w:szCs w:val="26"/>
        </w:rPr>
        <w:t>Part B: Customer Segmentation in R</w:t>
      </w:r>
    </w:p>
    <w:p w14:paraId="4EC1E82E" w14:textId="77777777" w:rsidR="009B7377" w:rsidRDefault="00000000">
      <w:pPr>
        <w:pStyle w:val="Heading2"/>
        <w:spacing w:before="240" w:after="120" w:line="480" w:lineRule="auto"/>
      </w:pPr>
      <w:r>
        <w:rPr>
          <w:b/>
          <w:bCs/>
          <w:color w:val="000000"/>
          <w:sz w:val="24"/>
          <w:szCs w:val="24"/>
        </w:rPr>
        <w:t>Step 1: Selected Segmentation Variables</w:t>
      </w:r>
    </w:p>
    <w:p w14:paraId="22660F9E" w14:textId="5C6731D6" w:rsidR="009B7377" w:rsidRPr="009B7377" w:rsidRDefault="009B7377">
      <w:pPr>
        <w:pStyle w:val="Heading2"/>
        <w:spacing w:before="240" w:after="120" w:line="480" w:lineRule="auto"/>
      </w:pPr>
      <w:r w:rsidRPr="009B7377">
        <w:rPr>
          <w:color w:val="auto"/>
          <w:sz w:val="24"/>
          <w:szCs w:val="24"/>
        </w:rPr>
        <w:t>Four variables from the dataset were used for segmentation: number of credit cards owned (Q02), typical monthly credit card balance (Q03), share of purchases made by credit card (Q05), and personal income (D11). These four cover both credit behavior and spending capacity.</w:t>
      </w:r>
      <w:r>
        <w:rPr>
          <w:color w:val="auto"/>
          <w:sz w:val="24"/>
          <w:szCs w:val="24"/>
        </w:rPr>
        <w:t xml:space="preserve"> </w:t>
      </w:r>
      <w:r w:rsidRPr="009B7377">
        <w:rPr>
          <w:color w:val="auto"/>
          <w:sz w:val="24"/>
          <w:szCs w:val="24"/>
        </w:rPr>
        <w:lastRenderedPageBreak/>
        <w:t>Balance and share of purchases separate people who carry a balance from people who pay in full. Card count shows how many products someone already holds, which matters for cross sell. Income shows what a customer can likely afford. Together they point to which product to offer someone and how to price or message it. All four are ordered categorical items, recoded to numeric category midpoints so a distance</w:t>
      </w:r>
      <w:r>
        <w:rPr>
          <w:color w:val="auto"/>
          <w:sz w:val="24"/>
          <w:szCs w:val="24"/>
        </w:rPr>
        <w:t xml:space="preserve"> </w:t>
      </w:r>
      <w:r w:rsidRPr="009B7377">
        <w:rPr>
          <w:color w:val="auto"/>
          <w:sz w:val="24"/>
          <w:szCs w:val="24"/>
        </w:rPr>
        <w:t>based method could be applied.</w:t>
      </w:r>
    </w:p>
    <w:p w14:paraId="34342EEA" w14:textId="07535164" w:rsidR="00BF312D" w:rsidRDefault="00000000">
      <w:pPr>
        <w:pStyle w:val="Heading2"/>
        <w:spacing w:before="240" w:after="120" w:line="480" w:lineRule="auto"/>
      </w:pPr>
      <w:r>
        <w:rPr>
          <w:b/>
          <w:bCs/>
          <w:color w:val="000000"/>
          <w:sz w:val="24"/>
          <w:szCs w:val="24"/>
        </w:rPr>
        <w:t>Step 2: Data Preparation and Segmentation Method</w:t>
      </w:r>
    </w:p>
    <w:p w14:paraId="50F8A45E" w14:textId="3D0CF1DD" w:rsidR="00BF312D" w:rsidRDefault="00000000">
      <w:pPr>
        <w:spacing w:line="480" w:lineRule="auto"/>
        <w:ind w:firstLine="720"/>
      </w:pPr>
      <w:r>
        <w:t>Missing data was diagnosed before any rows were dropped, and the answer changes how the results must be read. Of the 2,268 people lacking the four variables, 1,631 did not quit</w:t>
      </w:r>
      <w:r w:rsidR="0048516A">
        <w:t xml:space="preserve"> instead </w:t>
      </w:r>
      <w:r>
        <w:t xml:space="preserve">they said they do not use credit cards in Q01, so the questionnaire skipped them past Q02 to Q05 automatically. The </w:t>
      </w:r>
      <w:r w:rsidR="0048516A">
        <w:t>pattern</w:t>
      </w:r>
      <w:r>
        <w:t xml:space="preserve"> is</w:t>
      </w:r>
      <w:r w:rsidR="0048516A">
        <w:t xml:space="preserve"> the same as </w:t>
      </w:r>
      <w:r>
        <w:t>everyone missing Q02 said no to credit cards, and no cardholder is missing Q02. Only the other 637 abandoned the survey. After removing incomplete rows, 2,094 cases remained.</w:t>
      </w:r>
    </w:p>
    <w:p w14:paraId="6DC6906C" w14:textId="77777777" w:rsidR="00BF312D" w:rsidRDefault="00000000">
      <w:pPr>
        <w:spacing w:line="480" w:lineRule="auto"/>
        <w:ind w:firstLine="720"/>
      </w:pPr>
      <w:r w:rsidRPr="0085658D">
        <w:t>This segmentation therefore describes cardholders only. The 1,631 excluded are not missing data but a different population: 66.3 percent use debit, 60.1 percent cash, 43.5 percent PayPal, none credit. They are a real cash-and-debit group and a plausible acquisition target, but no credit-based model can describe them, so they are handled in the recommendations.</w:t>
      </w:r>
    </w:p>
    <w:p w14:paraId="759F7D1C" w14:textId="423E45F5" w:rsidR="00BF312D" w:rsidRDefault="00335435">
      <w:pPr>
        <w:spacing w:line="480" w:lineRule="auto"/>
        <w:ind w:firstLine="720"/>
      </w:pPr>
      <w:r w:rsidRPr="00335435">
        <w:t xml:space="preserve">The remaining variables were standardised, since income and balance would otherwise dominate the distance calculation, and k-means was run with 25 random starts. The number of groups was judged on four measures rather than one </w:t>
      </w:r>
      <w:r w:rsidR="00000000">
        <w:t xml:space="preserve">(Table 1, Figures 1 and 2). Within-group spread falls smoothly with no clear elbow; the silhouette score stays flat between 0.262 and 0.290; and the gap statistic picks k = 6. No measure singles out k = 4 — the data forms a gradient, not four islands. Four was chosen because four campaigns can be resourced where </w:t>
      </w:r>
      <w:r w:rsidR="00000000">
        <w:lastRenderedPageBreak/>
        <w:t>seven cannot, and because the solution was later confirmed against variables held back from the model.</w:t>
      </w:r>
    </w:p>
    <w:p w14:paraId="028FA15F" w14:textId="77777777" w:rsidR="00BF312D" w:rsidRDefault="00BF312D"/>
    <w:p w14:paraId="5B2E7946" w14:textId="77777777" w:rsidR="00BF312D" w:rsidRDefault="00000000">
      <w:pPr>
        <w:spacing w:after="120"/>
      </w:pPr>
      <w:r>
        <w:rPr>
          <w:b/>
          <w:bCs/>
        </w:rPr>
        <w:t>Table 1</w:t>
      </w:r>
      <w:r>
        <w:t>. Cluster diagnostics across candidate solutions.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1500"/>
        <w:gridCol w:w="2100"/>
        <w:gridCol w:w="1700"/>
      </w:tblGrid>
      <w:tr w:rsidR="00BF312D" w14:paraId="53879C90" w14:textId="77777777">
        <w:tblPrEx>
          <w:tblCellMar>
            <w:top w:w="0" w:type="dxa"/>
            <w:bottom w:w="0" w:type="dxa"/>
          </w:tblCellMar>
        </w:tblPrEx>
        <w:trPr>
          <w:cantSplit/>
          <w:tblHeader/>
        </w:trPr>
        <w:tc>
          <w:tcPr>
            <w:tcW w:w="1700" w:type="dxa"/>
            <w:shd w:val="clear" w:color="auto" w:fill="D9E2F3"/>
            <w:tcMar>
              <w:top w:w="60" w:type="dxa"/>
              <w:left w:w="80" w:type="dxa"/>
              <w:bottom w:w="60" w:type="dxa"/>
              <w:right w:w="80" w:type="dxa"/>
            </w:tcMar>
          </w:tcPr>
          <w:p w14:paraId="20EF6261" w14:textId="77777777" w:rsidR="00BF312D" w:rsidRDefault="00000000">
            <w:r>
              <w:rPr>
                <w:b/>
                <w:bCs/>
                <w:sz w:val="20"/>
                <w:szCs w:val="20"/>
              </w:rPr>
              <w:t>k</w:t>
            </w:r>
          </w:p>
        </w:tc>
        <w:tc>
          <w:tcPr>
            <w:tcW w:w="1800" w:type="dxa"/>
            <w:shd w:val="clear" w:color="auto" w:fill="D9E2F3"/>
            <w:tcMar>
              <w:top w:w="60" w:type="dxa"/>
              <w:left w:w="80" w:type="dxa"/>
              <w:bottom w:w="60" w:type="dxa"/>
              <w:right w:w="80" w:type="dxa"/>
            </w:tcMar>
          </w:tcPr>
          <w:p w14:paraId="1A9DD598" w14:textId="77777777" w:rsidR="00BF312D" w:rsidRDefault="00000000">
            <w:pPr>
              <w:jc w:val="center"/>
            </w:pPr>
            <w:r>
              <w:rPr>
                <w:b/>
                <w:bCs/>
                <w:sz w:val="20"/>
                <w:szCs w:val="20"/>
              </w:rPr>
              <w:t>Avg. silhouette</w:t>
            </w:r>
          </w:p>
        </w:tc>
        <w:tc>
          <w:tcPr>
            <w:tcW w:w="1500" w:type="dxa"/>
            <w:shd w:val="clear" w:color="auto" w:fill="D9E2F3"/>
            <w:tcMar>
              <w:top w:w="60" w:type="dxa"/>
              <w:left w:w="80" w:type="dxa"/>
              <w:bottom w:w="60" w:type="dxa"/>
              <w:right w:w="80" w:type="dxa"/>
            </w:tcMar>
          </w:tcPr>
          <w:p w14:paraId="3417DE18" w14:textId="77777777" w:rsidR="00BF312D" w:rsidRDefault="00000000">
            <w:pPr>
              <w:jc w:val="center"/>
            </w:pPr>
            <w:r>
              <w:rPr>
                <w:b/>
                <w:bCs/>
                <w:sz w:val="20"/>
                <w:szCs w:val="20"/>
              </w:rPr>
              <w:t>WCSS</w:t>
            </w:r>
          </w:p>
        </w:tc>
        <w:tc>
          <w:tcPr>
            <w:tcW w:w="2100" w:type="dxa"/>
            <w:shd w:val="clear" w:color="auto" w:fill="D9E2F3"/>
            <w:tcMar>
              <w:top w:w="60" w:type="dxa"/>
              <w:left w:w="80" w:type="dxa"/>
              <w:bottom w:w="60" w:type="dxa"/>
              <w:right w:w="80" w:type="dxa"/>
            </w:tcMar>
          </w:tcPr>
          <w:p w14:paraId="12B00933" w14:textId="77777777" w:rsidR="00BF312D" w:rsidRDefault="00000000">
            <w:pPr>
              <w:jc w:val="center"/>
            </w:pPr>
            <w:r>
              <w:rPr>
                <w:b/>
                <w:bCs/>
                <w:sz w:val="20"/>
                <w:szCs w:val="20"/>
              </w:rPr>
              <w:t>% between-cluster SS</w:t>
            </w:r>
          </w:p>
        </w:tc>
        <w:tc>
          <w:tcPr>
            <w:tcW w:w="1700" w:type="dxa"/>
            <w:shd w:val="clear" w:color="auto" w:fill="D9E2F3"/>
            <w:tcMar>
              <w:top w:w="60" w:type="dxa"/>
              <w:left w:w="80" w:type="dxa"/>
              <w:bottom w:w="60" w:type="dxa"/>
              <w:right w:w="80" w:type="dxa"/>
            </w:tcMar>
          </w:tcPr>
          <w:p w14:paraId="065DB223" w14:textId="77777777" w:rsidR="00BF312D" w:rsidRDefault="00000000">
            <w:pPr>
              <w:jc w:val="center"/>
            </w:pPr>
            <w:r>
              <w:rPr>
                <w:b/>
                <w:bCs/>
                <w:sz w:val="20"/>
                <w:szCs w:val="20"/>
              </w:rPr>
              <w:t>Gap statistic</w:t>
            </w:r>
          </w:p>
        </w:tc>
      </w:tr>
      <w:tr w:rsidR="00BF312D" w14:paraId="1BD5F0CF" w14:textId="77777777">
        <w:tblPrEx>
          <w:tblCellMar>
            <w:top w:w="0" w:type="dxa"/>
            <w:bottom w:w="0" w:type="dxa"/>
          </w:tblCellMar>
        </w:tblPrEx>
        <w:trPr>
          <w:cantSplit/>
        </w:trPr>
        <w:tc>
          <w:tcPr>
            <w:tcW w:w="1700" w:type="dxa"/>
            <w:tcMar>
              <w:top w:w="60" w:type="dxa"/>
              <w:left w:w="80" w:type="dxa"/>
              <w:bottom w:w="60" w:type="dxa"/>
              <w:right w:w="80" w:type="dxa"/>
            </w:tcMar>
          </w:tcPr>
          <w:p w14:paraId="148E34D4" w14:textId="77777777" w:rsidR="00BF312D" w:rsidRDefault="00000000">
            <w:r>
              <w:rPr>
                <w:sz w:val="20"/>
                <w:szCs w:val="20"/>
              </w:rPr>
              <w:t>2</w:t>
            </w:r>
          </w:p>
        </w:tc>
        <w:tc>
          <w:tcPr>
            <w:tcW w:w="1800" w:type="dxa"/>
            <w:tcMar>
              <w:top w:w="60" w:type="dxa"/>
              <w:left w:w="80" w:type="dxa"/>
              <w:bottom w:w="60" w:type="dxa"/>
              <w:right w:w="80" w:type="dxa"/>
            </w:tcMar>
          </w:tcPr>
          <w:p w14:paraId="2E8D6DCD" w14:textId="77777777" w:rsidR="00BF312D" w:rsidRDefault="00000000">
            <w:pPr>
              <w:jc w:val="center"/>
            </w:pPr>
            <w:r>
              <w:rPr>
                <w:sz w:val="20"/>
                <w:szCs w:val="20"/>
              </w:rPr>
              <w:t>0.262</w:t>
            </w:r>
          </w:p>
        </w:tc>
        <w:tc>
          <w:tcPr>
            <w:tcW w:w="1500" w:type="dxa"/>
            <w:tcMar>
              <w:top w:w="60" w:type="dxa"/>
              <w:left w:w="80" w:type="dxa"/>
              <w:bottom w:w="60" w:type="dxa"/>
              <w:right w:w="80" w:type="dxa"/>
            </w:tcMar>
          </w:tcPr>
          <w:p w14:paraId="02BA2193" w14:textId="77777777" w:rsidR="00BF312D" w:rsidRDefault="00000000">
            <w:pPr>
              <w:jc w:val="center"/>
            </w:pPr>
            <w:r>
              <w:rPr>
                <w:sz w:val="20"/>
                <w:szCs w:val="20"/>
              </w:rPr>
              <w:t>6,123</w:t>
            </w:r>
          </w:p>
        </w:tc>
        <w:tc>
          <w:tcPr>
            <w:tcW w:w="2100" w:type="dxa"/>
            <w:tcMar>
              <w:top w:w="60" w:type="dxa"/>
              <w:left w:w="80" w:type="dxa"/>
              <w:bottom w:w="60" w:type="dxa"/>
              <w:right w:w="80" w:type="dxa"/>
            </w:tcMar>
          </w:tcPr>
          <w:p w14:paraId="39A6BE8C" w14:textId="77777777" w:rsidR="00BF312D" w:rsidRDefault="00000000">
            <w:pPr>
              <w:jc w:val="center"/>
            </w:pPr>
            <w:r>
              <w:rPr>
                <w:sz w:val="20"/>
                <w:szCs w:val="20"/>
              </w:rPr>
              <w:t>26.9</w:t>
            </w:r>
          </w:p>
        </w:tc>
        <w:tc>
          <w:tcPr>
            <w:tcW w:w="1700" w:type="dxa"/>
            <w:tcMar>
              <w:top w:w="60" w:type="dxa"/>
              <w:left w:w="80" w:type="dxa"/>
              <w:bottom w:w="60" w:type="dxa"/>
              <w:right w:w="80" w:type="dxa"/>
            </w:tcMar>
          </w:tcPr>
          <w:p w14:paraId="4CE8D8E7" w14:textId="77777777" w:rsidR="00BF312D" w:rsidRDefault="00000000">
            <w:pPr>
              <w:jc w:val="center"/>
            </w:pPr>
            <w:r>
              <w:rPr>
                <w:sz w:val="20"/>
                <w:szCs w:val="20"/>
              </w:rPr>
              <w:t>0.502</w:t>
            </w:r>
          </w:p>
        </w:tc>
      </w:tr>
      <w:tr w:rsidR="00BF312D" w14:paraId="1CBDE48F" w14:textId="77777777">
        <w:tblPrEx>
          <w:tblCellMar>
            <w:top w:w="0" w:type="dxa"/>
            <w:bottom w:w="0" w:type="dxa"/>
          </w:tblCellMar>
        </w:tblPrEx>
        <w:trPr>
          <w:cantSplit/>
        </w:trPr>
        <w:tc>
          <w:tcPr>
            <w:tcW w:w="1700" w:type="dxa"/>
            <w:tcMar>
              <w:top w:w="60" w:type="dxa"/>
              <w:left w:w="80" w:type="dxa"/>
              <w:bottom w:w="60" w:type="dxa"/>
              <w:right w:w="80" w:type="dxa"/>
            </w:tcMar>
          </w:tcPr>
          <w:p w14:paraId="7983F556" w14:textId="77777777" w:rsidR="00BF312D" w:rsidRDefault="00000000">
            <w:r>
              <w:rPr>
                <w:sz w:val="20"/>
                <w:szCs w:val="20"/>
              </w:rPr>
              <w:t>3</w:t>
            </w:r>
          </w:p>
        </w:tc>
        <w:tc>
          <w:tcPr>
            <w:tcW w:w="1800" w:type="dxa"/>
            <w:tcMar>
              <w:top w:w="60" w:type="dxa"/>
              <w:left w:w="80" w:type="dxa"/>
              <w:bottom w:w="60" w:type="dxa"/>
              <w:right w:w="80" w:type="dxa"/>
            </w:tcMar>
          </w:tcPr>
          <w:p w14:paraId="5667D0AA" w14:textId="77777777" w:rsidR="00BF312D" w:rsidRDefault="00000000">
            <w:pPr>
              <w:jc w:val="center"/>
            </w:pPr>
            <w:r>
              <w:rPr>
                <w:sz w:val="20"/>
                <w:szCs w:val="20"/>
              </w:rPr>
              <w:t>0.279</w:t>
            </w:r>
          </w:p>
        </w:tc>
        <w:tc>
          <w:tcPr>
            <w:tcW w:w="1500" w:type="dxa"/>
            <w:tcMar>
              <w:top w:w="60" w:type="dxa"/>
              <w:left w:w="80" w:type="dxa"/>
              <w:bottom w:w="60" w:type="dxa"/>
              <w:right w:w="80" w:type="dxa"/>
            </w:tcMar>
          </w:tcPr>
          <w:p w14:paraId="67BCDD4D" w14:textId="77777777" w:rsidR="00BF312D" w:rsidRDefault="00000000">
            <w:pPr>
              <w:jc w:val="center"/>
            </w:pPr>
            <w:r>
              <w:rPr>
                <w:sz w:val="20"/>
                <w:szCs w:val="20"/>
              </w:rPr>
              <w:t>4,855</w:t>
            </w:r>
          </w:p>
        </w:tc>
        <w:tc>
          <w:tcPr>
            <w:tcW w:w="2100" w:type="dxa"/>
            <w:tcMar>
              <w:top w:w="60" w:type="dxa"/>
              <w:left w:w="80" w:type="dxa"/>
              <w:bottom w:w="60" w:type="dxa"/>
              <w:right w:w="80" w:type="dxa"/>
            </w:tcMar>
          </w:tcPr>
          <w:p w14:paraId="5382C11E" w14:textId="77777777" w:rsidR="00BF312D" w:rsidRDefault="00000000">
            <w:pPr>
              <w:jc w:val="center"/>
            </w:pPr>
            <w:r>
              <w:rPr>
                <w:sz w:val="20"/>
                <w:szCs w:val="20"/>
              </w:rPr>
              <w:t>42.0</w:t>
            </w:r>
          </w:p>
        </w:tc>
        <w:tc>
          <w:tcPr>
            <w:tcW w:w="1700" w:type="dxa"/>
            <w:tcMar>
              <w:top w:w="60" w:type="dxa"/>
              <w:left w:w="80" w:type="dxa"/>
              <w:bottom w:w="60" w:type="dxa"/>
              <w:right w:w="80" w:type="dxa"/>
            </w:tcMar>
          </w:tcPr>
          <w:p w14:paraId="5A377630" w14:textId="77777777" w:rsidR="00BF312D" w:rsidRDefault="00000000">
            <w:pPr>
              <w:jc w:val="center"/>
            </w:pPr>
            <w:r>
              <w:rPr>
                <w:sz w:val="20"/>
                <w:szCs w:val="20"/>
              </w:rPr>
              <w:t>0.543</w:t>
            </w:r>
          </w:p>
        </w:tc>
      </w:tr>
      <w:tr w:rsidR="00BF312D" w14:paraId="43B03673" w14:textId="77777777">
        <w:tblPrEx>
          <w:tblCellMar>
            <w:top w:w="0" w:type="dxa"/>
            <w:bottom w:w="0" w:type="dxa"/>
          </w:tblCellMar>
        </w:tblPrEx>
        <w:trPr>
          <w:cantSplit/>
        </w:trPr>
        <w:tc>
          <w:tcPr>
            <w:tcW w:w="1700" w:type="dxa"/>
            <w:tcMar>
              <w:top w:w="60" w:type="dxa"/>
              <w:left w:w="80" w:type="dxa"/>
              <w:bottom w:w="60" w:type="dxa"/>
              <w:right w:w="80" w:type="dxa"/>
            </w:tcMar>
          </w:tcPr>
          <w:p w14:paraId="3BF6029D" w14:textId="77777777" w:rsidR="00BF312D" w:rsidRDefault="00000000">
            <w:r>
              <w:rPr>
                <w:sz w:val="20"/>
                <w:szCs w:val="20"/>
              </w:rPr>
              <w:t>4 (selected)</w:t>
            </w:r>
          </w:p>
        </w:tc>
        <w:tc>
          <w:tcPr>
            <w:tcW w:w="1800" w:type="dxa"/>
            <w:tcMar>
              <w:top w:w="60" w:type="dxa"/>
              <w:left w:w="80" w:type="dxa"/>
              <w:bottom w:w="60" w:type="dxa"/>
              <w:right w:w="80" w:type="dxa"/>
            </w:tcMar>
          </w:tcPr>
          <w:p w14:paraId="67CF1182" w14:textId="77777777" w:rsidR="00BF312D" w:rsidRDefault="00000000">
            <w:pPr>
              <w:jc w:val="center"/>
            </w:pPr>
            <w:r>
              <w:rPr>
                <w:sz w:val="20"/>
                <w:szCs w:val="20"/>
              </w:rPr>
              <w:t>0.274</w:t>
            </w:r>
          </w:p>
        </w:tc>
        <w:tc>
          <w:tcPr>
            <w:tcW w:w="1500" w:type="dxa"/>
            <w:tcMar>
              <w:top w:w="60" w:type="dxa"/>
              <w:left w:w="80" w:type="dxa"/>
              <w:bottom w:w="60" w:type="dxa"/>
              <w:right w:w="80" w:type="dxa"/>
            </w:tcMar>
          </w:tcPr>
          <w:p w14:paraId="0DDF8537" w14:textId="77777777" w:rsidR="00BF312D" w:rsidRDefault="00000000">
            <w:pPr>
              <w:jc w:val="center"/>
            </w:pPr>
            <w:r>
              <w:rPr>
                <w:sz w:val="20"/>
                <w:szCs w:val="20"/>
              </w:rPr>
              <w:t>4,074</w:t>
            </w:r>
          </w:p>
        </w:tc>
        <w:tc>
          <w:tcPr>
            <w:tcW w:w="2100" w:type="dxa"/>
            <w:tcMar>
              <w:top w:w="60" w:type="dxa"/>
              <w:left w:w="80" w:type="dxa"/>
              <w:bottom w:w="60" w:type="dxa"/>
              <w:right w:w="80" w:type="dxa"/>
            </w:tcMar>
          </w:tcPr>
          <w:p w14:paraId="5306526A" w14:textId="77777777" w:rsidR="00BF312D" w:rsidRDefault="00000000">
            <w:pPr>
              <w:jc w:val="center"/>
            </w:pPr>
            <w:r>
              <w:rPr>
                <w:sz w:val="20"/>
                <w:szCs w:val="20"/>
              </w:rPr>
              <w:t>51.3</w:t>
            </w:r>
          </w:p>
        </w:tc>
        <w:tc>
          <w:tcPr>
            <w:tcW w:w="1700" w:type="dxa"/>
            <w:tcMar>
              <w:top w:w="60" w:type="dxa"/>
              <w:left w:w="80" w:type="dxa"/>
              <w:bottom w:w="60" w:type="dxa"/>
              <w:right w:w="80" w:type="dxa"/>
            </w:tcMar>
          </w:tcPr>
          <w:p w14:paraId="349498A1" w14:textId="77777777" w:rsidR="00BF312D" w:rsidRDefault="00000000">
            <w:pPr>
              <w:jc w:val="center"/>
            </w:pPr>
            <w:r>
              <w:rPr>
                <w:sz w:val="20"/>
                <w:szCs w:val="20"/>
              </w:rPr>
              <w:t>0.574</w:t>
            </w:r>
          </w:p>
        </w:tc>
      </w:tr>
      <w:tr w:rsidR="00BF312D" w14:paraId="664EC4B4" w14:textId="77777777">
        <w:tblPrEx>
          <w:tblCellMar>
            <w:top w:w="0" w:type="dxa"/>
            <w:bottom w:w="0" w:type="dxa"/>
          </w:tblCellMar>
        </w:tblPrEx>
        <w:trPr>
          <w:cantSplit/>
        </w:trPr>
        <w:tc>
          <w:tcPr>
            <w:tcW w:w="1700" w:type="dxa"/>
            <w:tcMar>
              <w:top w:w="60" w:type="dxa"/>
              <w:left w:w="80" w:type="dxa"/>
              <w:bottom w:w="60" w:type="dxa"/>
              <w:right w:w="80" w:type="dxa"/>
            </w:tcMar>
          </w:tcPr>
          <w:p w14:paraId="5A25AB13" w14:textId="77777777" w:rsidR="00BF312D" w:rsidRDefault="00000000">
            <w:r>
              <w:rPr>
                <w:sz w:val="20"/>
                <w:szCs w:val="20"/>
              </w:rPr>
              <w:t>5</w:t>
            </w:r>
          </w:p>
        </w:tc>
        <w:tc>
          <w:tcPr>
            <w:tcW w:w="1800" w:type="dxa"/>
            <w:tcMar>
              <w:top w:w="60" w:type="dxa"/>
              <w:left w:w="80" w:type="dxa"/>
              <w:bottom w:w="60" w:type="dxa"/>
              <w:right w:w="80" w:type="dxa"/>
            </w:tcMar>
          </w:tcPr>
          <w:p w14:paraId="7220D4D0" w14:textId="77777777" w:rsidR="00BF312D" w:rsidRDefault="00000000">
            <w:pPr>
              <w:jc w:val="center"/>
            </w:pPr>
            <w:r>
              <w:rPr>
                <w:sz w:val="20"/>
                <w:szCs w:val="20"/>
              </w:rPr>
              <w:t>0.283</w:t>
            </w:r>
          </w:p>
        </w:tc>
        <w:tc>
          <w:tcPr>
            <w:tcW w:w="1500" w:type="dxa"/>
            <w:tcMar>
              <w:top w:w="60" w:type="dxa"/>
              <w:left w:w="80" w:type="dxa"/>
              <w:bottom w:w="60" w:type="dxa"/>
              <w:right w:w="80" w:type="dxa"/>
            </w:tcMar>
          </w:tcPr>
          <w:p w14:paraId="70911264" w14:textId="77777777" w:rsidR="00BF312D" w:rsidRDefault="00000000">
            <w:pPr>
              <w:jc w:val="center"/>
            </w:pPr>
            <w:r>
              <w:rPr>
                <w:sz w:val="20"/>
                <w:szCs w:val="20"/>
              </w:rPr>
              <w:t>3,469</w:t>
            </w:r>
          </w:p>
        </w:tc>
        <w:tc>
          <w:tcPr>
            <w:tcW w:w="2100" w:type="dxa"/>
            <w:tcMar>
              <w:top w:w="60" w:type="dxa"/>
              <w:left w:w="80" w:type="dxa"/>
              <w:bottom w:w="60" w:type="dxa"/>
              <w:right w:w="80" w:type="dxa"/>
            </w:tcMar>
          </w:tcPr>
          <w:p w14:paraId="087B76A6" w14:textId="77777777" w:rsidR="00BF312D" w:rsidRDefault="00000000">
            <w:pPr>
              <w:jc w:val="center"/>
            </w:pPr>
            <w:r>
              <w:rPr>
                <w:sz w:val="20"/>
                <w:szCs w:val="20"/>
              </w:rPr>
              <w:t>58.6</w:t>
            </w:r>
          </w:p>
        </w:tc>
        <w:tc>
          <w:tcPr>
            <w:tcW w:w="1700" w:type="dxa"/>
            <w:tcMar>
              <w:top w:w="60" w:type="dxa"/>
              <w:left w:w="80" w:type="dxa"/>
              <w:bottom w:w="60" w:type="dxa"/>
              <w:right w:w="80" w:type="dxa"/>
            </w:tcMar>
          </w:tcPr>
          <w:p w14:paraId="03837C93" w14:textId="77777777" w:rsidR="00BF312D" w:rsidRDefault="00000000">
            <w:pPr>
              <w:jc w:val="center"/>
            </w:pPr>
            <w:r>
              <w:rPr>
                <w:sz w:val="20"/>
                <w:szCs w:val="20"/>
              </w:rPr>
              <w:t>0.592</w:t>
            </w:r>
          </w:p>
        </w:tc>
      </w:tr>
      <w:tr w:rsidR="00BF312D" w14:paraId="58AC3F8E" w14:textId="77777777">
        <w:tblPrEx>
          <w:tblCellMar>
            <w:top w:w="0" w:type="dxa"/>
            <w:bottom w:w="0" w:type="dxa"/>
          </w:tblCellMar>
        </w:tblPrEx>
        <w:trPr>
          <w:cantSplit/>
        </w:trPr>
        <w:tc>
          <w:tcPr>
            <w:tcW w:w="1700" w:type="dxa"/>
            <w:tcMar>
              <w:top w:w="60" w:type="dxa"/>
              <w:left w:w="80" w:type="dxa"/>
              <w:bottom w:w="60" w:type="dxa"/>
              <w:right w:w="80" w:type="dxa"/>
            </w:tcMar>
          </w:tcPr>
          <w:p w14:paraId="76DD1B28" w14:textId="77777777" w:rsidR="00BF312D" w:rsidRDefault="00000000">
            <w:r>
              <w:rPr>
                <w:sz w:val="20"/>
                <w:szCs w:val="20"/>
              </w:rPr>
              <w:t>6</w:t>
            </w:r>
          </w:p>
        </w:tc>
        <w:tc>
          <w:tcPr>
            <w:tcW w:w="1800" w:type="dxa"/>
            <w:tcMar>
              <w:top w:w="60" w:type="dxa"/>
              <w:left w:w="80" w:type="dxa"/>
              <w:bottom w:w="60" w:type="dxa"/>
              <w:right w:w="80" w:type="dxa"/>
            </w:tcMar>
          </w:tcPr>
          <w:p w14:paraId="1B67D1B5" w14:textId="77777777" w:rsidR="00BF312D" w:rsidRDefault="00000000">
            <w:pPr>
              <w:jc w:val="center"/>
            </w:pPr>
            <w:r>
              <w:rPr>
                <w:sz w:val="20"/>
                <w:szCs w:val="20"/>
              </w:rPr>
              <w:t>0.281</w:t>
            </w:r>
          </w:p>
        </w:tc>
        <w:tc>
          <w:tcPr>
            <w:tcW w:w="1500" w:type="dxa"/>
            <w:tcMar>
              <w:top w:w="60" w:type="dxa"/>
              <w:left w:w="80" w:type="dxa"/>
              <w:bottom w:w="60" w:type="dxa"/>
              <w:right w:w="80" w:type="dxa"/>
            </w:tcMar>
          </w:tcPr>
          <w:p w14:paraId="78E4D01C" w14:textId="77777777" w:rsidR="00BF312D" w:rsidRDefault="00000000">
            <w:pPr>
              <w:jc w:val="center"/>
            </w:pPr>
            <w:r>
              <w:rPr>
                <w:sz w:val="20"/>
                <w:szCs w:val="20"/>
              </w:rPr>
              <w:t>3,065</w:t>
            </w:r>
          </w:p>
        </w:tc>
        <w:tc>
          <w:tcPr>
            <w:tcW w:w="2100" w:type="dxa"/>
            <w:tcMar>
              <w:top w:w="60" w:type="dxa"/>
              <w:left w:w="80" w:type="dxa"/>
              <w:bottom w:w="60" w:type="dxa"/>
              <w:right w:w="80" w:type="dxa"/>
            </w:tcMar>
          </w:tcPr>
          <w:p w14:paraId="7D10CDAF" w14:textId="77777777" w:rsidR="00BF312D" w:rsidRDefault="00000000">
            <w:pPr>
              <w:jc w:val="center"/>
            </w:pPr>
            <w:r>
              <w:rPr>
                <w:sz w:val="20"/>
                <w:szCs w:val="20"/>
              </w:rPr>
              <w:t>63.4</w:t>
            </w:r>
          </w:p>
        </w:tc>
        <w:tc>
          <w:tcPr>
            <w:tcW w:w="1700" w:type="dxa"/>
            <w:tcMar>
              <w:top w:w="60" w:type="dxa"/>
              <w:left w:w="80" w:type="dxa"/>
              <w:bottom w:w="60" w:type="dxa"/>
              <w:right w:w="80" w:type="dxa"/>
            </w:tcMar>
          </w:tcPr>
          <w:p w14:paraId="08AFBB2C" w14:textId="77777777" w:rsidR="00BF312D" w:rsidRDefault="00000000">
            <w:pPr>
              <w:jc w:val="center"/>
            </w:pPr>
            <w:r>
              <w:rPr>
                <w:sz w:val="20"/>
                <w:szCs w:val="20"/>
              </w:rPr>
              <w:t>0.636</w:t>
            </w:r>
          </w:p>
        </w:tc>
      </w:tr>
      <w:tr w:rsidR="00BF312D" w14:paraId="5CF5A845" w14:textId="77777777">
        <w:tblPrEx>
          <w:tblCellMar>
            <w:top w:w="0" w:type="dxa"/>
            <w:bottom w:w="0" w:type="dxa"/>
          </w:tblCellMar>
        </w:tblPrEx>
        <w:trPr>
          <w:cantSplit/>
        </w:trPr>
        <w:tc>
          <w:tcPr>
            <w:tcW w:w="1700" w:type="dxa"/>
            <w:tcMar>
              <w:top w:w="60" w:type="dxa"/>
              <w:left w:w="80" w:type="dxa"/>
              <w:bottom w:w="60" w:type="dxa"/>
              <w:right w:w="80" w:type="dxa"/>
            </w:tcMar>
          </w:tcPr>
          <w:p w14:paraId="630F09BE" w14:textId="77777777" w:rsidR="00BF312D" w:rsidRDefault="00000000">
            <w:r>
              <w:rPr>
                <w:sz w:val="20"/>
                <w:szCs w:val="20"/>
              </w:rPr>
              <w:t>7</w:t>
            </w:r>
          </w:p>
        </w:tc>
        <w:tc>
          <w:tcPr>
            <w:tcW w:w="1800" w:type="dxa"/>
            <w:tcMar>
              <w:top w:w="60" w:type="dxa"/>
              <w:left w:w="80" w:type="dxa"/>
              <w:bottom w:w="60" w:type="dxa"/>
              <w:right w:w="80" w:type="dxa"/>
            </w:tcMar>
          </w:tcPr>
          <w:p w14:paraId="52F5B216" w14:textId="77777777" w:rsidR="00BF312D" w:rsidRDefault="00000000">
            <w:pPr>
              <w:jc w:val="center"/>
            </w:pPr>
            <w:r>
              <w:rPr>
                <w:sz w:val="20"/>
                <w:szCs w:val="20"/>
              </w:rPr>
              <w:t>0.290</w:t>
            </w:r>
          </w:p>
        </w:tc>
        <w:tc>
          <w:tcPr>
            <w:tcW w:w="1500" w:type="dxa"/>
            <w:tcMar>
              <w:top w:w="60" w:type="dxa"/>
              <w:left w:w="80" w:type="dxa"/>
              <w:bottom w:w="60" w:type="dxa"/>
              <w:right w:w="80" w:type="dxa"/>
            </w:tcMar>
          </w:tcPr>
          <w:p w14:paraId="36BDDDB2" w14:textId="77777777" w:rsidR="00BF312D" w:rsidRDefault="00000000">
            <w:pPr>
              <w:jc w:val="center"/>
            </w:pPr>
            <w:r>
              <w:rPr>
                <w:sz w:val="20"/>
                <w:szCs w:val="20"/>
              </w:rPr>
              <w:t>2,778</w:t>
            </w:r>
          </w:p>
        </w:tc>
        <w:tc>
          <w:tcPr>
            <w:tcW w:w="2100" w:type="dxa"/>
            <w:tcMar>
              <w:top w:w="60" w:type="dxa"/>
              <w:left w:w="80" w:type="dxa"/>
              <w:bottom w:w="60" w:type="dxa"/>
              <w:right w:w="80" w:type="dxa"/>
            </w:tcMar>
          </w:tcPr>
          <w:p w14:paraId="2CEEB820" w14:textId="77777777" w:rsidR="00BF312D" w:rsidRDefault="00000000">
            <w:pPr>
              <w:jc w:val="center"/>
            </w:pPr>
            <w:r>
              <w:rPr>
                <w:sz w:val="20"/>
                <w:szCs w:val="20"/>
              </w:rPr>
              <w:t>66.8</w:t>
            </w:r>
          </w:p>
        </w:tc>
        <w:tc>
          <w:tcPr>
            <w:tcW w:w="1700" w:type="dxa"/>
            <w:tcMar>
              <w:top w:w="60" w:type="dxa"/>
              <w:left w:w="80" w:type="dxa"/>
              <w:bottom w:w="60" w:type="dxa"/>
              <w:right w:w="80" w:type="dxa"/>
            </w:tcMar>
          </w:tcPr>
          <w:p w14:paraId="5D1A81E2" w14:textId="77777777" w:rsidR="00BF312D" w:rsidRDefault="00000000">
            <w:pPr>
              <w:jc w:val="center"/>
            </w:pPr>
            <w:r>
              <w:rPr>
                <w:sz w:val="20"/>
                <w:szCs w:val="20"/>
              </w:rPr>
              <w:t>0.626</w:t>
            </w:r>
          </w:p>
        </w:tc>
      </w:tr>
      <w:tr w:rsidR="00BF312D" w14:paraId="40F10BA2" w14:textId="77777777">
        <w:tblPrEx>
          <w:tblCellMar>
            <w:top w:w="0" w:type="dxa"/>
            <w:bottom w:w="0" w:type="dxa"/>
          </w:tblCellMar>
        </w:tblPrEx>
        <w:trPr>
          <w:cantSplit/>
        </w:trPr>
        <w:tc>
          <w:tcPr>
            <w:tcW w:w="1700" w:type="dxa"/>
            <w:tcMar>
              <w:top w:w="60" w:type="dxa"/>
              <w:left w:w="80" w:type="dxa"/>
              <w:bottom w:w="60" w:type="dxa"/>
              <w:right w:w="80" w:type="dxa"/>
            </w:tcMar>
          </w:tcPr>
          <w:p w14:paraId="574551DB" w14:textId="77777777" w:rsidR="00BF312D" w:rsidRDefault="00000000">
            <w:r>
              <w:rPr>
                <w:sz w:val="20"/>
                <w:szCs w:val="20"/>
              </w:rPr>
              <w:t>8</w:t>
            </w:r>
          </w:p>
        </w:tc>
        <w:tc>
          <w:tcPr>
            <w:tcW w:w="1800" w:type="dxa"/>
            <w:tcMar>
              <w:top w:w="60" w:type="dxa"/>
              <w:left w:w="80" w:type="dxa"/>
              <w:bottom w:w="60" w:type="dxa"/>
              <w:right w:w="80" w:type="dxa"/>
            </w:tcMar>
          </w:tcPr>
          <w:p w14:paraId="196222E4" w14:textId="77777777" w:rsidR="00BF312D" w:rsidRDefault="00000000">
            <w:pPr>
              <w:jc w:val="center"/>
            </w:pPr>
            <w:r>
              <w:rPr>
                <w:sz w:val="20"/>
                <w:szCs w:val="20"/>
              </w:rPr>
              <w:t>0.286</w:t>
            </w:r>
          </w:p>
        </w:tc>
        <w:tc>
          <w:tcPr>
            <w:tcW w:w="1500" w:type="dxa"/>
            <w:tcMar>
              <w:top w:w="60" w:type="dxa"/>
              <w:left w:w="80" w:type="dxa"/>
              <w:bottom w:w="60" w:type="dxa"/>
              <w:right w:w="80" w:type="dxa"/>
            </w:tcMar>
          </w:tcPr>
          <w:p w14:paraId="64E1409E" w14:textId="77777777" w:rsidR="00BF312D" w:rsidRDefault="00000000">
            <w:pPr>
              <w:jc w:val="center"/>
            </w:pPr>
            <w:r>
              <w:rPr>
                <w:sz w:val="20"/>
                <w:szCs w:val="20"/>
              </w:rPr>
              <w:t>2,513</w:t>
            </w:r>
          </w:p>
        </w:tc>
        <w:tc>
          <w:tcPr>
            <w:tcW w:w="2100" w:type="dxa"/>
            <w:tcMar>
              <w:top w:w="60" w:type="dxa"/>
              <w:left w:w="80" w:type="dxa"/>
              <w:bottom w:w="60" w:type="dxa"/>
              <w:right w:w="80" w:type="dxa"/>
            </w:tcMar>
          </w:tcPr>
          <w:p w14:paraId="3078EBA7" w14:textId="77777777" w:rsidR="00BF312D" w:rsidRDefault="00000000">
            <w:pPr>
              <w:jc w:val="center"/>
            </w:pPr>
            <w:r>
              <w:rPr>
                <w:sz w:val="20"/>
                <w:szCs w:val="20"/>
              </w:rPr>
              <w:t>70.0</w:t>
            </w:r>
          </w:p>
        </w:tc>
        <w:tc>
          <w:tcPr>
            <w:tcW w:w="1700" w:type="dxa"/>
            <w:tcMar>
              <w:top w:w="60" w:type="dxa"/>
              <w:left w:w="80" w:type="dxa"/>
              <w:bottom w:w="60" w:type="dxa"/>
              <w:right w:w="80" w:type="dxa"/>
            </w:tcMar>
          </w:tcPr>
          <w:p w14:paraId="29F541FB" w14:textId="77777777" w:rsidR="00BF312D" w:rsidRDefault="00000000">
            <w:pPr>
              <w:jc w:val="center"/>
            </w:pPr>
            <w:r>
              <w:rPr>
                <w:sz w:val="20"/>
                <w:szCs w:val="20"/>
              </w:rPr>
              <w:t>0.627</w:t>
            </w:r>
          </w:p>
        </w:tc>
      </w:tr>
    </w:tbl>
    <w:p w14:paraId="7A580A55" w14:textId="77777777" w:rsidR="00BF312D" w:rsidRDefault="00BF312D"/>
    <w:p w14:paraId="1E915FD5" w14:textId="77777777" w:rsidR="00BF312D" w:rsidRDefault="00000000">
      <w:pPr>
        <w:pStyle w:val="Heading2"/>
        <w:spacing w:before="240" w:after="120" w:line="480" w:lineRule="auto"/>
      </w:pPr>
      <w:r>
        <w:rPr>
          <w:b/>
          <w:bCs/>
          <w:color w:val="000000"/>
          <w:sz w:val="24"/>
          <w:szCs w:val="24"/>
        </w:rPr>
        <w:t>Step 3: Visualising the Segments</w:t>
      </w:r>
    </w:p>
    <w:p w14:paraId="4A163915" w14:textId="685C4B54" w:rsidR="00BF312D" w:rsidRDefault="00000000">
      <w:pPr>
        <w:spacing w:line="480" w:lineRule="auto"/>
        <w:ind w:firstLine="720"/>
      </w:pPr>
      <w:r>
        <w:t xml:space="preserve">Figure 3 plots customers by </w:t>
      </w:r>
      <w:r w:rsidR="001E4102">
        <w:t xml:space="preserve">monthly </w:t>
      </w:r>
      <w:r>
        <w:t xml:space="preserve">balance and </w:t>
      </w:r>
      <w:r w:rsidR="001E4102">
        <w:t xml:space="preserve">share of </w:t>
      </w:r>
      <w:r>
        <w:t>purchase</w:t>
      </w:r>
      <w:r w:rsidR="001E4102">
        <w:t>s on credit card</w:t>
      </w:r>
      <w:r>
        <w:t>: Group 1 sits lowest, Groups 2 and 3 higher and close together, and Group 4 separates sideways at about five times any other balance. Figure 4 shows sizes from 776 down to 290, and Figure 5 shows Group 1 near a $50,000 median income against roughly $88,000 for the rest; the $125,000 ceiling there is the midpoint given to the top income band, not a real limit.</w:t>
      </w:r>
    </w:p>
    <w:p w14:paraId="5198B823" w14:textId="77777777" w:rsidR="00BF312D" w:rsidRDefault="00000000">
      <w:pPr>
        <w:pStyle w:val="Heading2"/>
        <w:spacing w:before="240" w:after="120" w:line="480" w:lineRule="auto"/>
      </w:pPr>
      <w:r>
        <w:rPr>
          <w:b/>
          <w:bCs/>
          <w:color w:val="000000"/>
          <w:sz w:val="24"/>
          <w:szCs w:val="24"/>
        </w:rPr>
        <w:t>Step 4: Segment Interpretation and External Validation</w:t>
      </w:r>
    </w:p>
    <w:p w14:paraId="6ADD0AED" w14:textId="77777777" w:rsidR="00BF312D" w:rsidRDefault="00BF312D"/>
    <w:p w14:paraId="3CF91BBC" w14:textId="77777777" w:rsidR="00BF312D" w:rsidRDefault="00000000">
      <w:pPr>
        <w:spacing w:after="120"/>
      </w:pPr>
      <w:r>
        <w:rPr>
          <w:b/>
          <w:bCs/>
        </w:rPr>
        <w:t>Table 2</w:t>
      </w:r>
      <w:r>
        <w:t>. Segment profiles on the four segmentation variables (N = 2,094).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
        <w:gridCol w:w="1200"/>
        <w:gridCol w:w="1400"/>
        <w:gridCol w:w="1500"/>
        <w:gridCol w:w="1400"/>
      </w:tblGrid>
      <w:tr w:rsidR="00BF312D" w14:paraId="5A85A713" w14:textId="77777777">
        <w:tblPrEx>
          <w:tblCellMar>
            <w:top w:w="0" w:type="dxa"/>
            <w:bottom w:w="0" w:type="dxa"/>
          </w:tblCellMar>
        </w:tblPrEx>
        <w:trPr>
          <w:cantSplit/>
          <w:tblHeader/>
        </w:trPr>
        <w:tc>
          <w:tcPr>
            <w:tcW w:w="3000" w:type="dxa"/>
            <w:shd w:val="clear" w:color="auto" w:fill="D9E2F3"/>
            <w:tcMar>
              <w:top w:w="60" w:type="dxa"/>
              <w:left w:w="80" w:type="dxa"/>
              <w:bottom w:w="60" w:type="dxa"/>
              <w:right w:w="80" w:type="dxa"/>
            </w:tcMar>
          </w:tcPr>
          <w:p w14:paraId="3BA9DC08" w14:textId="77777777" w:rsidR="00BF312D" w:rsidRDefault="00000000">
            <w:r>
              <w:rPr>
                <w:b/>
                <w:bCs/>
                <w:sz w:val="20"/>
                <w:szCs w:val="20"/>
              </w:rPr>
              <w:t>Segment</w:t>
            </w:r>
          </w:p>
        </w:tc>
        <w:tc>
          <w:tcPr>
            <w:tcW w:w="700" w:type="dxa"/>
            <w:shd w:val="clear" w:color="auto" w:fill="D9E2F3"/>
            <w:tcMar>
              <w:top w:w="60" w:type="dxa"/>
              <w:left w:w="80" w:type="dxa"/>
              <w:bottom w:w="60" w:type="dxa"/>
              <w:right w:w="80" w:type="dxa"/>
            </w:tcMar>
          </w:tcPr>
          <w:p w14:paraId="7E6AE57C" w14:textId="77777777" w:rsidR="00BF312D" w:rsidRDefault="00000000">
            <w:pPr>
              <w:jc w:val="center"/>
            </w:pPr>
            <w:r>
              <w:rPr>
                <w:b/>
                <w:bCs/>
                <w:sz w:val="20"/>
                <w:szCs w:val="20"/>
              </w:rPr>
              <w:t>n</w:t>
            </w:r>
          </w:p>
        </w:tc>
        <w:tc>
          <w:tcPr>
            <w:tcW w:w="1200" w:type="dxa"/>
            <w:shd w:val="clear" w:color="auto" w:fill="D9E2F3"/>
            <w:tcMar>
              <w:top w:w="60" w:type="dxa"/>
              <w:left w:w="80" w:type="dxa"/>
              <w:bottom w:w="60" w:type="dxa"/>
              <w:right w:w="80" w:type="dxa"/>
            </w:tcMar>
          </w:tcPr>
          <w:p w14:paraId="65F2CA4B" w14:textId="77777777" w:rsidR="00BF312D" w:rsidRDefault="00000000">
            <w:pPr>
              <w:jc w:val="center"/>
            </w:pPr>
            <w:r>
              <w:rPr>
                <w:b/>
                <w:bCs/>
                <w:sz w:val="20"/>
                <w:szCs w:val="20"/>
              </w:rPr>
              <w:t>Avg. cards</w:t>
            </w:r>
          </w:p>
        </w:tc>
        <w:tc>
          <w:tcPr>
            <w:tcW w:w="1400" w:type="dxa"/>
            <w:shd w:val="clear" w:color="auto" w:fill="D9E2F3"/>
            <w:tcMar>
              <w:top w:w="60" w:type="dxa"/>
              <w:left w:w="80" w:type="dxa"/>
              <w:bottom w:w="60" w:type="dxa"/>
              <w:right w:w="80" w:type="dxa"/>
            </w:tcMar>
          </w:tcPr>
          <w:p w14:paraId="2E479004" w14:textId="77777777" w:rsidR="00BF312D" w:rsidRDefault="00000000">
            <w:pPr>
              <w:jc w:val="center"/>
            </w:pPr>
            <w:r>
              <w:rPr>
                <w:b/>
                <w:bCs/>
                <w:sz w:val="20"/>
                <w:szCs w:val="20"/>
              </w:rPr>
              <w:t>Avg. balance</w:t>
            </w:r>
          </w:p>
        </w:tc>
        <w:tc>
          <w:tcPr>
            <w:tcW w:w="1500" w:type="dxa"/>
            <w:shd w:val="clear" w:color="auto" w:fill="D9E2F3"/>
            <w:tcMar>
              <w:top w:w="60" w:type="dxa"/>
              <w:left w:w="80" w:type="dxa"/>
              <w:bottom w:w="60" w:type="dxa"/>
              <w:right w:w="80" w:type="dxa"/>
            </w:tcMar>
          </w:tcPr>
          <w:p w14:paraId="0A6CAB18" w14:textId="77777777" w:rsidR="00BF312D" w:rsidRDefault="00000000">
            <w:pPr>
              <w:jc w:val="center"/>
            </w:pPr>
            <w:r>
              <w:rPr>
                <w:b/>
                <w:bCs/>
                <w:sz w:val="20"/>
                <w:szCs w:val="20"/>
              </w:rPr>
              <w:t>Avg. % on card</w:t>
            </w:r>
          </w:p>
        </w:tc>
        <w:tc>
          <w:tcPr>
            <w:tcW w:w="1400" w:type="dxa"/>
            <w:shd w:val="clear" w:color="auto" w:fill="D9E2F3"/>
            <w:tcMar>
              <w:top w:w="60" w:type="dxa"/>
              <w:left w:w="80" w:type="dxa"/>
              <w:bottom w:w="60" w:type="dxa"/>
              <w:right w:w="80" w:type="dxa"/>
            </w:tcMar>
          </w:tcPr>
          <w:p w14:paraId="05EC6FB2" w14:textId="77777777" w:rsidR="00BF312D" w:rsidRDefault="00000000">
            <w:pPr>
              <w:jc w:val="center"/>
            </w:pPr>
            <w:r>
              <w:rPr>
                <w:b/>
                <w:bCs/>
                <w:sz w:val="20"/>
                <w:szCs w:val="20"/>
              </w:rPr>
              <w:t>Avg. income</w:t>
            </w:r>
          </w:p>
        </w:tc>
      </w:tr>
      <w:tr w:rsidR="00BF312D" w14:paraId="2A571A9D" w14:textId="77777777">
        <w:tblPrEx>
          <w:tblCellMar>
            <w:top w:w="0" w:type="dxa"/>
            <w:bottom w:w="0" w:type="dxa"/>
          </w:tblCellMar>
        </w:tblPrEx>
        <w:trPr>
          <w:cantSplit/>
        </w:trPr>
        <w:tc>
          <w:tcPr>
            <w:tcW w:w="3000" w:type="dxa"/>
            <w:tcMar>
              <w:top w:w="60" w:type="dxa"/>
              <w:left w:w="80" w:type="dxa"/>
              <w:bottom w:w="60" w:type="dxa"/>
              <w:right w:w="80" w:type="dxa"/>
            </w:tcMar>
          </w:tcPr>
          <w:p w14:paraId="54677292" w14:textId="77777777" w:rsidR="00BF312D" w:rsidRDefault="00000000">
            <w:r>
              <w:rPr>
                <w:sz w:val="20"/>
                <w:szCs w:val="20"/>
              </w:rPr>
              <w:t>1. Low-Intensity Card Users</w:t>
            </w:r>
          </w:p>
        </w:tc>
        <w:tc>
          <w:tcPr>
            <w:tcW w:w="700" w:type="dxa"/>
            <w:tcMar>
              <w:top w:w="60" w:type="dxa"/>
              <w:left w:w="80" w:type="dxa"/>
              <w:bottom w:w="60" w:type="dxa"/>
              <w:right w:w="80" w:type="dxa"/>
            </w:tcMar>
          </w:tcPr>
          <w:p w14:paraId="1FA32FBF" w14:textId="77777777" w:rsidR="00BF312D" w:rsidRDefault="00000000">
            <w:pPr>
              <w:jc w:val="center"/>
            </w:pPr>
            <w:r>
              <w:rPr>
                <w:sz w:val="20"/>
                <w:szCs w:val="20"/>
              </w:rPr>
              <w:t>776</w:t>
            </w:r>
          </w:p>
        </w:tc>
        <w:tc>
          <w:tcPr>
            <w:tcW w:w="1200" w:type="dxa"/>
            <w:tcMar>
              <w:top w:w="60" w:type="dxa"/>
              <w:left w:w="80" w:type="dxa"/>
              <w:bottom w:w="60" w:type="dxa"/>
              <w:right w:w="80" w:type="dxa"/>
            </w:tcMar>
          </w:tcPr>
          <w:p w14:paraId="526B6AA8" w14:textId="77777777" w:rsidR="00BF312D" w:rsidRDefault="00000000">
            <w:pPr>
              <w:jc w:val="center"/>
            </w:pPr>
            <w:r>
              <w:rPr>
                <w:sz w:val="20"/>
                <w:szCs w:val="20"/>
              </w:rPr>
              <w:t>2.0</w:t>
            </w:r>
          </w:p>
        </w:tc>
        <w:tc>
          <w:tcPr>
            <w:tcW w:w="1400" w:type="dxa"/>
            <w:tcMar>
              <w:top w:w="60" w:type="dxa"/>
              <w:left w:w="80" w:type="dxa"/>
              <w:bottom w:w="60" w:type="dxa"/>
              <w:right w:w="80" w:type="dxa"/>
            </w:tcMar>
          </w:tcPr>
          <w:p w14:paraId="7DE798AD" w14:textId="77777777" w:rsidR="00BF312D" w:rsidRDefault="00000000">
            <w:pPr>
              <w:jc w:val="center"/>
            </w:pPr>
            <w:r>
              <w:rPr>
                <w:sz w:val="20"/>
                <w:szCs w:val="20"/>
              </w:rPr>
              <w:t>$1,412</w:t>
            </w:r>
          </w:p>
        </w:tc>
        <w:tc>
          <w:tcPr>
            <w:tcW w:w="1500" w:type="dxa"/>
            <w:tcMar>
              <w:top w:w="60" w:type="dxa"/>
              <w:left w:w="80" w:type="dxa"/>
              <w:bottom w:w="60" w:type="dxa"/>
              <w:right w:w="80" w:type="dxa"/>
            </w:tcMar>
          </w:tcPr>
          <w:p w14:paraId="38D92966" w14:textId="77777777" w:rsidR="00BF312D" w:rsidRDefault="00000000">
            <w:pPr>
              <w:jc w:val="center"/>
            </w:pPr>
            <w:r>
              <w:rPr>
                <w:sz w:val="20"/>
                <w:szCs w:val="20"/>
              </w:rPr>
              <w:t>23.8%</w:t>
            </w:r>
          </w:p>
        </w:tc>
        <w:tc>
          <w:tcPr>
            <w:tcW w:w="1400" w:type="dxa"/>
            <w:tcMar>
              <w:top w:w="60" w:type="dxa"/>
              <w:left w:w="80" w:type="dxa"/>
              <w:bottom w:w="60" w:type="dxa"/>
              <w:right w:w="80" w:type="dxa"/>
            </w:tcMar>
          </w:tcPr>
          <w:p w14:paraId="7E15EDF7" w14:textId="77777777" w:rsidR="00BF312D" w:rsidRDefault="00000000">
            <w:pPr>
              <w:jc w:val="center"/>
            </w:pPr>
            <w:r>
              <w:rPr>
                <w:sz w:val="20"/>
                <w:szCs w:val="20"/>
              </w:rPr>
              <w:t>$48,582</w:t>
            </w:r>
          </w:p>
        </w:tc>
      </w:tr>
      <w:tr w:rsidR="00BF312D" w14:paraId="5CA03D44" w14:textId="77777777">
        <w:tblPrEx>
          <w:tblCellMar>
            <w:top w:w="0" w:type="dxa"/>
            <w:bottom w:w="0" w:type="dxa"/>
          </w:tblCellMar>
        </w:tblPrEx>
        <w:trPr>
          <w:cantSplit/>
        </w:trPr>
        <w:tc>
          <w:tcPr>
            <w:tcW w:w="3000" w:type="dxa"/>
            <w:tcMar>
              <w:top w:w="60" w:type="dxa"/>
              <w:left w:w="80" w:type="dxa"/>
              <w:bottom w:w="60" w:type="dxa"/>
              <w:right w:w="80" w:type="dxa"/>
            </w:tcMar>
          </w:tcPr>
          <w:p w14:paraId="6AA4B281" w14:textId="77777777" w:rsidR="00BF312D" w:rsidRDefault="00000000">
            <w:r>
              <w:rPr>
                <w:sz w:val="20"/>
                <w:szCs w:val="20"/>
              </w:rPr>
              <w:t>2. Multi-Card Optimizers</w:t>
            </w:r>
          </w:p>
        </w:tc>
        <w:tc>
          <w:tcPr>
            <w:tcW w:w="700" w:type="dxa"/>
            <w:tcMar>
              <w:top w:w="60" w:type="dxa"/>
              <w:left w:w="80" w:type="dxa"/>
              <w:bottom w:w="60" w:type="dxa"/>
              <w:right w:w="80" w:type="dxa"/>
            </w:tcMar>
          </w:tcPr>
          <w:p w14:paraId="4B60E4EA" w14:textId="77777777" w:rsidR="00BF312D" w:rsidRDefault="00000000">
            <w:pPr>
              <w:jc w:val="center"/>
            </w:pPr>
            <w:r>
              <w:rPr>
                <w:sz w:val="20"/>
                <w:szCs w:val="20"/>
              </w:rPr>
              <w:t>382</w:t>
            </w:r>
          </w:p>
        </w:tc>
        <w:tc>
          <w:tcPr>
            <w:tcW w:w="1200" w:type="dxa"/>
            <w:tcMar>
              <w:top w:w="60" w:type="dxa"/>
              <w:left w:w="80" w:type="dxa"/>
              <w:bottom w:w="60" w:type="dxa"/>
              <w:right w:w="80" w:type="dxa"/>
            </w:tcMar>
          </w:tcPr>
          <w:p w14:paraId="5F3ACDFB" w14:textId="77777777" w:rsidR="00BF312D" w:rsidRDefault="00000000">
            <w:pPr>
              <w:jc w:val="center"/>
            </w:pPr>
            <w:r>
              <w:rPr>
                <w:sz w:val="20"/>
                <w:szCs w:val="20"/>
              </w:rPr>
              <w:t>5.0</w:t>
            </w:r>
          </w:p>
        </w:tc>
        <w:tc>
          <w:tcPr>
            <w:tcW w:w="1400" w:type="dxa"/>
            <w:tcMar>
              <w:top w:w="60" w:type="dxa"/>
              <w:left w:w="80" w:type="dxa"/>
              <w:bottom w:w="60" w:type="dxa"/>
              <w:right w:w="80" w:type="dxa"/>
            </w:tcMar>
          </w:tcPr>
          <w:p w14:paraId="6DFD0261" w14:textId="77777777" w:rsidR="00BF312D" w:rsidRDefault="00000000">
            <w:pPr>
              <w:jc w:val="center"/>
            </w:pPr>
            <w:r>
              <w:rPr>
                <w:sz w:val="20"/>
                <w:szCs w:val="20"/>
              </w:rPr>
              <w:t>$2,164</w:t>
            </w:r>
          </w:p>
        </w:tc>
        <w:tc>
          <w:tcPr>
            <w:tcW w:w="1500" w:type="dxa"/>
            <w:tcMar>
              <w:top w:w="60" w:type="dxa"/>
              <w:left w:w="80" w:type="dxa"/>
              <w:bottom w:w="60" w:type="dxa"/>
              <w:right w:w="80" w:type="dxa"/>
            </w:tcMar>
          </w:tcPr>
          <w:p w14:paraId="1E51282B" w14:textId="77777777" w:rsidR="00BF312D" w:rsidRDefault="00000000">
            <w:pPr>
              <w:jc w:val="center"/>
            </w:pPr>
            <w:r>
              <w:rPr>
                <w:sz w:val="20"/>
                <w:szCs w:val="20"/>
              </w:rPr>
              <w:t>63.0%</w:t>
            </w:r>
          </w:p>
        </w:tc>
        <w:tc>
          <w:tcPr>
            <w:tcW w:w="1400" w:type="dxa"/>
            <w:tcMar>
              <w:top w:w="60" w:type="dxa"/>
              <w:left w:w="80" w:type="dxa"/>
              <w:bottom w:w="60" w:type="dxa"/>
              <w:right w:w="80" w:type="dxa"/>
            </w:tcMar>
          </w:tcPr>
          <w:p w14:paraId="2A7EC6E0" w14:textId="77777777" w:rsidR="00BF312D" w:rsidRDefault="00000000">
            <w:pPr>
              <w:jc w:val="center"/>
            </w:pPr>
            <w:r>
              <w:rPr>
                <w:sz w:val="20"/>
                <w:szCs w:val="20"/>
              </w:rPr>
              <w:t>$82,919</w:t>
            </w:r>
          </w:p>
        </w:tc>
      </w:tr>
      <w:tr w:rsidR="00BF312D" w14:paraId="7B488399" w14:textId="77777777">
        <w:tblPrEx>
          <w:tblCellMar>
            <w:top w:w="0" w:type="dxa"/>
            <w:bottom w:w="0" w:type="dxa"/>
          </w:tblCellMar>
        </w:tblPrEx>
        <w:trPr>
          <w:cantSplit/>
        </w:trPr>
        <w:tc>
          <w:tcPr>
            <w:tcW w:w="3000" w:type="dxa"/>
            <w:tcMar>
              <w:top w:w="60" w:type="dxa"/>
              <w:left w:w="80" w:type="dxa"/>
              <w:bottom w:w="60" w:type="dxa"/>
              <w:right w:w="80" w:type="dxa"/>
            </w:tcMar>
          </w:tcPr>
          <w:p w14:paraId="0A5B34E5" w14:textId="77777777" w:rsidR="00BF312D" w:rsidRDefault="00000000">
            <w:r>
              <w:rPr>
                <w:sz w:val="20"/>
                <w:szCs w:val="20"/>
              </w:rPr>
              <w:t>3. Convenience / Premium Payers</w:t>
            </w:r>
          </w:p>
        </w:tc>
        <w:tc>
          <w:tcPr>
            <w:tcW w:w="700" w:type="dxa"/>
            <w:tcMar>
              <w:top w:w="60" w:type="dxa"/>
              <w:left w:w="80" w:type="dxa"/>
              <w:bottom w:w="60" w:type="dxa"/>
              <w:right w:w="80" w:type="dxa"/>
            </w:tcMar>
          </w:tcPr>
          <w:p w14:paraId="6808EAD7" w14:textId="77777777" w:rsidR="00BF312D" w:rsidRDefault="00000000">
            <w:pPr>
              <w:jc w:val="center"/>
            </w:pPr>
            <w:r>
              <w:rPr>
                <w:sz w:val="20"/>
                <w:szCs w:val="20"/>
              </w:rPr>
              <w:t>646</w:t>
            </w:r>
          </w:p>
        </w:tc>
        <w:tc>
          <w:tcPr>
            <w:tcW w:w="1200" w:type="dxa"/>
            <w:tcMar>
              <w:top w:w="60" w:type="dxa"/>
              <w:left w:w="80" w:type="dxa"/>
              <w:bottom w:w="60" w:type="dxa"/>
              <w:right w:w="80" w:type="dxa"/>
            </w:tcMar>
          </w:tcPr>
          <w:p w14:paraId="3926160B" w14:textId="77777777" w:rsidR="00BF312D" w:rsidRDefault="00000000">
            <w:pPr>
              <w:jc w:val="center"/>
            </w:pPr>
            <w:r>
              <w:rPr>
                <w:sz w:val="20"/>
                <w:szCs w:val="20"/>
              </w:rPr>
              <w:t>2.1</w:t>
            </w:r>
          </w:p>
        </w:tc>
        <w:tc>
          <w:tcPr>
            <w:tcW w:w="1400" w:type="dxa"/>
            <w:tcMar>
              <w:top w:w="60" w:type="dxa"/>
              <w:left w:w="80" w:type="dxa"/>
              <w:bottom w:w="60" w:type="dxa"/>
              <w:right w:w="80" w:type="dxa"/>
            </w:tcMar>
          </w:tcPr>
          <w:p w14:paraId="052878F8" w14:textId="77777777" w:rsidR="00BF312D" w:rsidRDefault="00000000">
            <w:pPr>
              <w:jc w:val="center"/>
            </w:pPr>
            <w:r>
              <w:rPr>
                <w:sz w:val="20"/>
                <w:szCs w:val="20"/>
              </w:rPr>
              <w:t>$2,235</w:t>
            </w:r>
          </w:p>
        </w:tc>
        <w:tc>
          <w:tcPr>
            <w:tcW w:w="1500" w:type="dxa"/>
            <w:tcMar>
              <w:top w:w="60" w:type="dxa"/>
              <w:left w:w="80" w:type="dxa"/>
              <w:bottom w:w="60" w:type="dxa"/>
              <w:right w:w="80" w:type="dxa"/>
            </w:tcMar>
          </w:tcPr>
          <w:p w14:paraId="7CB574D1" w14:textId="77777777" w:rsidR="00BF312D" w:rsidRDefault="00000000">
            <w:pPr>
              <w:jc w:val="center"/>
            </w:pPr>
            <w:r>
              <w:rPr>
                <w:sz w:val="20"/>
                <w:szCs w:val="20"/>
              </w:rPr>
              <w:t>73.8%</w:t>
            </w:r>
          </w:p>
        </w:tc>
        <w:tc>
          <w:tcPr>
            <w:tcW w:w="1400" w:type="dxa"/>
            <w:tcMar>
              <w:top w:w="60" w:type="dxa"/>
              <w:left w:w="80" w:type="dxa"/>
              <w:bottom w:w="60" w:type="dxa"/>
              <w:right w:w="80" w:type="dxa"/>
            </w:tcMar>
          </w:tcPr>
          <w:p w14:paraId="584F7501" w14:textId="77777777" w:rsidR="00BF312D" w:rsidRDefault="00000000">
            <w:pPr>
              <w:jc w:val="center"/>
            </w:pPr>
            <w:r>
              <w:rPr>
                <w:sz w:val="20"/>
                <w:szCs w:val="20"/>
              </w:rPr>
              <w:t>$87,713</w:t>
            </w:r>
          </w:p>
        </w:tc>
      </w:tr>
      <w:tr w:rsidR="00BF312D" w14:paraId="3783F606" w14:textId="77777777">
        <w:tblPrEx>
          <w:tblCellMar>
            <w:top w:w="0" w:type="dxa"/>
            <w:bottom w:w="0" w:type="dxa"/>
          </w:tblCellMar>
        </w:tblPrEx>
        <w:trPr>
          <w:cantSplit/>
        </w:trPr>
        <w:tc>
          <w:tcPr>
            <w:tcW w:w="3000" w:type="dxa"/>
            <w:tcMar>
              <w:top w:w="60" w:type="dxa"/>
              <w:left w:w="80" w:type="dxa"/>
              <w:bottom w:w="60" w:type="dxa"/>
              <w:right w:w="80" w:type="dxa"/>
            </w:tcMar>
          </w:tcPr>
          <w:p w14:paraId="27ED756D" w14:textId="77777777" w:rsidR="00BF312D" w:rsidRDefault="00000000">
            <w:r>
              <w:rPr>
                <w:sz w:val="20"/>
                <w:szCs w:val="20"/>
              </w:rPr>
              <w:t>4. High-Balance Revolvers</w:t>
            </w:r>
          </w:p>
        </w:tc>
        <w:tc>
          <w:tcPr>
            <w:tcW w:w="700" w:type="dxa"/>
            <w:tcMar>
              <w:top w:w="60" w:type="dxa"/>
              <w:left w:w="80" w:type="dxa"/>
              <w:bottom w:w="60" w:type="dxa"/>
              <w:right w:w="80" w:type="dxa"/>
            </w:tcMar>
          </w:tcPr>
          <w:p w14:paraId="5BBE9F5A" w14:textId="77777777" w:rsidR="00BF312D" w:rsidRDefault="00000000">
            <w:pPr>
              <w:jc w:val="center"/>
            </w:pPr>
            <w:r>
              <w:rPr>
                <w:sz w:val="20"/>
                <w:szCs w:val="20"/>
              </w:rPr>
              <w:t>290</w:t>
            </w:r>
          </w:p>
        </w:tc>
        <w:tc>
          <w:tcPr>
            <w:tcW w:w="1200" w:type="dxa"/>
            <w:tcMar>
              <w:top w:w="60" w:type="dxa"/>
              <w:left w:w="80" w:type="dxa"/>
              <w:bottom w:w="60" w:type="dxa"/>
              <w:right w:w="80" w:type="dxa"/>
            </w:tcMar>
          </w:tcPr>
          <w:p w14:paraId="3AF427D9" w14:textId="77777777" w:rsidR="00BF312D" w:rsidRDefault="00000000">
            <w:pPr>
              <w:jc w:val="center"/>
            </w:pPr>
            <w:r>
              <w:rPr>
                <w:sz w:val="20"/>
                <w:szCs w:val="20"/>
              </w:rPr>
              <w:t>3.5</w:t>
            </w:r>
          </w:p>
        </w:tc>
        <w:tc>
          <w:tcPr>
            <w:tcW w:w="1400" w:type="dxa"/>
            <w:tcMar>
              <w:top w:w="60" w:type="dxa"/>
              <w:left w:w="80" w:type="dxa"/>
              <w:bottom w:w="60" w:type="dxa"/>
              <w:right w:w="80" w:type="dxa"/>
            </w:tcMar>
          </w:tcPr>
          <w:p w14:paraId="43A975BD" w14:textId="77777777" w:rsidR="00BF312D" w:rsidRDefault="00000000">
            <w:pPr>
              <w:jc w:val="center"/>
            </w:pPr>
            <w:r>
              <w:rPr>
                <w:sz w:val="20"/>
                <w:szCs w:val="20"/>
              </w:rPr>
              <w:t>$10,384</w:t>
            </w:r>
          </w:p>
        </w:tc>
        <w:tc>
          <w:tcPr>
            <w:tcW w:w="1500" w:type="dxa"/>
            <w:tcMar>
              <w:top w:w="60" w:type="dxa"/>
              <w:left w:w="80" w:type="dxa"/>
              <w:bottom w:w="60" w:type="dxa"/>
              <w:right w:w="80" w:type="dxa"/>
            </w:tcMar>
          </w:tcPr>
          <w:p w14:paraId="5716BF8E" w14:textId="77777777" w:rsidR="00BF312D" w:rsidRDefault="00000000">
            <w:pPr>
              <w:jc w:val="center"/>
            </w:pPr>
            <w:r>
              <w:rPr>
                <w:sz w:val="20"/>
                <w:szCs w:val="20"/>
              </w:rPr>
              <w:t>51.9%</w:t>
            </w:r>
          </w:p>
        </w:tc>
        <w:tc>
          <w:tcPr>
            <w:tcW w:w="1400" w:type="dxa"/>
            <w:tcMar>
              <w:top w:w="60" w:type="dxa"/>
              <w:left w:w="80" w:type="dxa"/>
              <w:bottom w:w="60" w:type="dxa"/>
              <w:right w:w="80" w:type="dxa"/>
            </w:tcMar>
          </w:tcPr>
          <w:p w14:paraId="1EBF9A02" w14:textId="77777777" w:rsidR="00BF312D" w:rsidRDefault="00000000">
            <w:pPr>
              <w:jc w:val="center"/>
            </w:pPr>
            <w:r>
              <w:rPr>
                <w:sz w:val="20"/>
                <w:szCs w:val="20"/>
              </w:rPr>
              <w:t>$92,500</w:t>
            </w:r>
          </w:p>
        </w:tc>
      </w:tr>
    </w:tbl>
    <w:p w14:paraId="5C821FF7" w14:textId="77777777" w:rsidR="00BF312D" w:rsidRDefault="00BF312D"/>
    <w:p w14:paraId="07113421" w14:textId="77777777" w:rsidR="00BF312D" w:rsidRDefault="00000000">
      <w:pPr>
        <w:spacing w:line="480" w:lineRule="auto"/>
        <w:ind w:firstLine="720"/>
      </w:pPr>
      <w:r>
        <w:lastRenderedPageBreak/>
        <w:t>Group 1, Low-Intensity Card Users, holds the fewest cards and lowest balances and puts under a quarter of purchases on a card. Wording matters: because non-cardholders were skipped out, every member does hold a card. They are light users, not cash preferers — the cash preferers are the 1,631 excluded. Group 2, Multi-Card Optimizers, holds five cards on strong income while keeping balances low, consistent with chasing rewards. Group 3, Convenience/Premium Payers, puts the most on a card on a low balance, meaning they clear it monthly. Group 4, High-Balance Revolvers, carries nearly five times anyone else's balance on moderate use.</w:t>
      </w:r>
    </w:p>
    <w:p w14:paraId="3A0990F5" w14:textId="77777777" w:rsidR="00BF312D" w:rsidRDefault="00000000">
      <w:pPr>
        <w:spacing w:line="480" w:lineRule="auto"/>
        <w:ind w:firstLine="720"/>
      </w:pPr>
      <w:r>
        <w:t>These labels were tested against five variables kept out of the grouping (Table 3, Figure 7). Group 3 pays in full most often at 46.7 percent, confirming the convenience label. Group 4 pays in full least at 18.6 percent and uses BNPL most at 59.0 percent despite the highest income — a stretched profile balance alone only hinted at. All three differences are significant: credit score, F(3, 1944) = 53.16; paying in full, chi-square(12) = 209.09; BNPL use, chi-square(12) = 63.58; all p &lt; .001. Since none shaped the grouping, this is independent evidence the groups are real.</w:t>
      </w:r>
    </w:p>
    <w:p w14:paraId="1C0ADEF9" w14:textId="77777777" w:rsidR="00BF312D" w:rsidRDefault="00BF312D"/>
    <w:p w14:paraId="6818B35F" w14:textId="77777777" w:rsidR="00BF312D" w:rsidRDefault="00000000">
      <w:pPr>
        <w:spacing w:after="120"/>
      </w:pPr>
      <w:r>
        <w:rPr>
          <w:b/>
          <w:bCs/>
        </w:rPr>
        <w:t>Table 3</w:t>
      </w:r>
      <w:r>
        <w:t>. External validation on variables not used to construct the segments.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600"/>
        <w:gridCol w:w="1300"/>
        <w:gridCol w:w="1200"/>
        <w:gridCol w:w="1500"/>
      </w:tblGrid>
      <w:tr w:rsidR="00BF312D" w14:paraId="4FD5099A" w14:textId="77777777">
        <w:tblPrEx>
          <w:tblCellMar>
            <w:top w:w="0" w:type="dxa"/>
            <w:bottom w:w="0" w:type="dxa"/>
          </w:tblCellMar>
        </w:tblPrEx>
        <w:trPr>
          <w:cantSplit/>
          <w:tblHeader/>
        </w:trPr>
        <w:tc>
          <w:tcPr>
            <w:tcW w:w="3000" w:type="dxa"/>
            <w:shd w:val="clear" w:color="auto" w:fill="D9E2F3"/>
            <w:tcMar>
              <w:top w:w="60" w:type="dxa"/>
              <w:left w:w="80" w:type="dxa"/>
              <w:bottom w:w="60" w:type="dxa"/>
              <w:right w:w="80" w:type="dxa"/>
            </w:tcMar>
          </w:tcPr>
          <w:p w14:paraId="16A63734" w14:textId="77777777" w:rsidR="00BF312D" w:rsidRDefault="00000000">
            <w:r>
              <w:rPr>
                <w:b/>
                <w:bCs/>
                <w:sz w:val="20"/>
                <w:szCs w:val="20"/>
              </w:rPr>
              <w:t>Segment</w:t>
            </w:r>
          </w:p>
        </w:tc>
        <w:tc>
          <w:tcPr>
            <w:tcW w:w="1600" w:type="dxa"/>
            <w:shd w:val="clear" w:color="auto" w:fill="D9E2F3"/>
            <w:tcMar>
              <w:top w:w="60" w:type="dxa"/>
              <w:left w:w="80" w:type="dxa"/>
              <w:bottom w:w="60" w:type="dxa"/>
              <w:right w:w="80" w:type="dxa"/>
            </w:tcMar>
          </w:tcPr>
          <w:p w14:paraId="01A08AC1" w14:textId="77777777" w:rsidR="00BF312D" w:rsidRDefault="00000000">
            <w:pPr>
              <w:jc w:val="center"/>
            </w:pPr>
            <w:r>
              <w:rPr>
                <w:b/>
                <w:bCs/>
                <w:sz w:val="20"/>
                <w:szCs w:val="20"/>
              </w:rPr>
              <w:t>Mean credit score</w:t>
            </w:r>
          </w:p>
        </w:tc>
        <w:tc>
          <w:tcPr>
            <w:tcW w:w="1600" w:type="dxa"/>
            <w:shd w:val="clear" w:color="auto" w:fill="D9E2F3"/>
            <w:tcMar>
              <w:top w:w="60" w:type="dxa"/>
              <w:left w:w="80" w:type="dxa"/>
              <w:bottom w:w="60" w:type="dxa"/>
              <w:right w:w="80" w:type="dxa"/>
            </w:tcMar>
          </w:tcPr>
          <w:p w14:paraId="06F7BED2" w14:textId="77777777" w:rsidR="00BF312D" w:rsidRDefault="00000000">
            <w:pPr>
              <w:jc w:val="center"/>
            </w:pPr>
            <w:r>
              <w:rPr>
                <w:b/>
                <w:bCs/>
                <w:sz w:val="20"/>
                <w:szCs w:val="20"/>
              </w:rPr>
              <w:t>% always pays in full</w:t>
            </w:r>
          </w:p>
        </w:tc>
        <w:tc>
          <w:tcPr>
            <w:tcW w:w="1300" w:type="dxa"/>
            <w:shd w:val="clear" w:color="auto" w:fill="D9E2F3"/>
            <w:tcMar>
              <w:top w:w="60" w:type="dxa"/>
              <w:left w:w="80" w:type="dxa"/>
              <w:bottom w:w="60" w:type="dxa"/>
              <w:right w:w="80" w:type="dxa"/>
            </w:tcMar>
          </w:tcPr>
          <w:p w14:paraId="69603450" w14:textId="77777777" w:rsidR="00BF312D" w:rsidRDefault="00000000">
            <w:pPr>
              <w:jc w:val="center"/>
            </w:pPr>
            <w:r>
              <w:rPr>
                <w:b/>
                <w:bCs/>
                <w:sz w:val="20"/>
                <w:szCs w:val="20"/>
              </w:rPr>
              <w:t>% used BNPL</w:t>
            </w:r>
          </w:p>
        </w:tc>
        <w:tc>
          <w:tcPr>
            <w:tcW w:w="1200" w:type="dxa"/>
            <w:shd w:val="clear" w:color="auto" w:fill="D9E2F3"/>
            <w:tcMar>
              <w:top w:w="60" w:type="dxa"/>
              <w:left w:w="80" w:type="dxa"/>
              <w:bottom w:w="60" w:type="dxa"/>
              <w:right w:w="80" w:type="dxa"/>
            </w:tcMar>
          </w:tcPr>
          <w:p w14:paraId="2AC3C4FB" w14:textId="77777777" w:rsidR="00BF312D" w:rsidRDefault="00000000">
            <w:pPr>
              <w:jc w:val="center"/>
            </w:pPr>
            <w:r>
              <w:rPr>
                <w:b/>
                <w:bCs/>
                <w:sz w:val="20"/>
                <w:szCs w:val="20"/>
              </w:rPr>
              <w:t>% aged 65+</w:t>
            </w:r>
          </w:p>
        </w:tc>
        <w:tc>
          <w:tcPr>
            <w:tcW w:w="1500" w:type="dxa"/>
            <w:shd w:val="clear" w:color="auto" w:fill="D9E2F3"/>
            <w:tcMar>
              <w:top w:w="60" w:type="dxa"/>
              <w:left w:w="80" w:type="dxa"/>
              <w:bottom w:w="60" w:type="dxa"/>
              <w:right w:w="80" w:type="dxa"/>
            </w:tcMar>
          </w:tcPr>
          <w:p w14:paraId="3368A029" w14:textId="77777777" w:rsidR="00BF312D" w:rsidRDefault="00000000">
            <w:pPr>
              <w:jc w:val="center"/>
            </w:pPr>
            <w:r>
              <w:rPr>
                <w:b/>
                <w:bCs/>
                <w:sz w:val="20"/>
                <w:szCs w:val="20"/>
              </w:rPr>
              <w:t>% graduate degree</w:t>
            </w:r>
          </w:p>
        </w:tc>
      </w:tr>
      <w:tr w:rsidR="00BF312D" w14:paraId="7C3BDAEA" w14:textId="77777777">
        <w:tblPrEx>
          <w:tblCellMar>
            <w:top w:w="0" w:type="dxa"/>
            <w:bottom w:w="0" w:type="dxa"/>
          </w:tblCellMar>
        </w:tblPrEx>
        <w:trPr>
          <w:cantSplit/>
        </w:trPr>
        <w:tc>
          <w:tcPr>
            <w:tcW w:w="3000" w:type="dxa"/>
            <w:tcMar>
              <w:top w:w="60" w:type="dxa"/>
              <w:left w:w="80" w:type="dxa"/>
              <w:bottom w:w="60" w:type="dxa"/>
              <w:right w:w="80" w:type="dxa"/>
            </w:tcMar>
          </w:tcPr>
          <w:p w14:paraId="3ADE4870" w14:textId="77777777" w:rsidR="00BF312D" w:rsidRDefault="00000000">
            <w:r>
              <w:rPr>
                <w:sz w:val="20"/>
                <w:szCs w:val="20"/>
              </w:rPr>
              <w:t>1. Low-Intensity Card Users</w:t>
            </w:r>
          </w:p>
        </w:tc>
        <w:tc>
          <w:tcPr>
            <w:tcW w:w="1600" w:type="dxa"/>
            <w:tcMar>
              <w:top w:w="60" w:type="dxa"/>
              <w:left w:w="80" w:type="dxa"/>
              <w:bottom w:w="60" w:type="dxa"/>
              <w:right w:w="80" w:type="dxa"/>
            </w:tcMar>
          </w:tcPr>
          <w:p w14:paraId="7C8DD550" w14:textId="77777777" w:rsidR="00BF312D" w:rsidRDefault="00000000">
            <w:pPr>
              <w:jc w:val="center"/>
            </w:pPr>
            <w:r>
              <w:rPr>
                <w:sz w:val="20"/>
                <w:szCs w:val="20"/>
              </w:rPr>
              <w:t>695</w:t>
            </w:r>
          </w:p>
        </w:tc>
        <w:tc>
          <w:tcPr>
            <w:tcW w:w="1600" w:type="dxa"/>
            <w:tcMar>
              <w:top w:w="60" w:type="dxa"/>
              <w:left w:w="80" w:type="dxa"/>
              <w:bottom w:w="60" w:type="dxa"/>
              <w:right w:w="80" w:type="dxa"/>
            </w:tcMar>
          </w:tcPr>
          <w:p w14:paraId="683D5C17" w14:textId="77777777" w:rsidR="00BF312D" w:rsidRDefault="00000000">
            <w:pPr>
              <w:jc w:val="center"/>
            </w:pPr>
            <w:r>
              <w:rPr>
                <w:sz w:val="20"/>
                <w:szCs w:val="20"/>
              </w:rPr>
              <w:t>29.0</w:t>
            </w:r>
          </w:p>
        </w:tc>
        <w:tc>
          <w:tcPr>
            <w:tcW w:w="1300" w:type="dxa"/>
            <w:tcMar>
              <w:top w:w="60" w:type="dxa"/>
              <w:left w:w="80" w:type="dxa"/>
              <w:bottom w:w="60" w:type="dxa"/>
              <w:right w:w="80" w:type="dxa"/>
            </w:tcMar>
          </w:tcPr>
          <w:p w14:paraId="1502CC47" w14:textId="77777777" w:rsidR="00BF312D" w:rsidRDefault="00000000">
            <w:pPr>
              <w:jc w:val="center"/>
            </w:pPr>
            <w:r>
              <w:rPr>
                <w:sz w:val="20"/>
                <w:szCs w:val="20"/>
              </w:rPr>
              <w:t>36.7</w:t>
            </w:r>
          </w:p>
        </w:tc>
        <w:tc>
          <w:tcPr>
            <w:tcW w:w="1200" w:type="dxa"/>
            <w:tcMar>
              <w:top w:w="60" w:type="dxa"/>
              <w:left w:w="80" w:type="dxa"/>
              <w:bottom w:w="60" w:type="dxa"/>
              <w:right w:w="80" w:type="dxa"/>
            </w:tcMar>
          </w:tcPr>
          <w:p w14:paraId="2763852E" w14:textId="77777777" w:rsidR="00BF312D" w:rsidRDefault="00000000">
            <w:pPr>
              <w:jc w:val="center"/>
            </w:pPr>
            <w:r>
              <w:rPr>
                <w:sz w:val="20"/>
                <w:szCs w:val="20"/>
              </w:rPr>
              <w:t>26.2</w:t>
            </w:r>
          </w:p>
        </w:tc>
        <w:tc>
          <w:tcPr>
            <w:tcW w:w="1500" w:type="dxa"/>
            <w:tcMar>
              <w:top w:w="60" w:type="dxa"/>
              <w:left w:w="80" w:type="dxa"/>
              <w:bottom w:w="60" w:type="dxa"/>
              <w:right w:w="80" w:type="dxa"/>
            </w:tcMar>
          </w:tcPr>
          <w:p w14:paraId="2FF8F0D5" w14:textId="77777777" w:rsidR="00BF312D" w:rsidRDefault="00000000">
            <w:pPr>
              <w:jc w:val="center"/>
            </w:pPr>
            <w:r>
              <w:rPr>
                <w:sz w:val="20"/>
                <w:szCs w:val="20"/>
              </w:rPr>
              <w:t>9.7</w:t>
            </w:r>
          </w:p>
        </w:tc>
      </w:tr>
      <w:tr w:rsidR="00BF312D" w14:paraId="04085E4E" w14:textId="77777777">
        <w:tblPrEx>
          <w:tblCellMar>
            <w:top w:w="0" w:type="dxa"/>
            <w:bottom w:w="0" w:type="dxa"/>
          </w:tblCellMar>
        </w:tblPrEx>
        <w:trPr>
          <w:cantSplit/>
        </w:trPr>
        <w:tc>
          <w:tcPr>
            <w:tcW w:w="3000" w:type="dxa"/>
            <w:tcMar>
              <w:top w:w="60" w:type="dxa"/>
              <w:left w:w="80" w:type="dxa"/>
              <w:bottom w:w="60" w:type="dxa"/>
              <w:right w:w="80" w:type="dxa"/>
            </w:tcMar>
          </w:tcPr>
          <w:p w14:paraId="1F4A4469" w14:textId="77777777" w:rsidR="00BF312D" w:rsidRDefault="00000000">
            <w:r>
              <w:rPr>
                <w:sz w:val="20"/>
                <w:szCs w:val="20"/>
              </w:rPr>
              <w:t>2. Multi-Card Optimizers</w:t>
            </w:r>
          </w:p>
        </w:tc>
        <w:tc>
          <w:tcPr>
            <w:tcW w:w="1600" w:type="dxa"/>
            <w:tcMar>
              <w:top w:w="60" w:type="dxa"/>
              <w:left w:w="80" w:type="dxa"/>
              <w:bottom w:w="60" w:type="dxa"/>
              <w:right w:w="80" w:type="dxa"/>
            </w:tcMar>
          </w:tcPr>
          <w:p w14:paraId="7F2F3E4B" w14:textId="77777777" w:rsidR="00BF312D" w:rsidRDefault="00000000">
            <w:pPr>
              <w:jc w:val="center"/>
            </w:pPr>
            <w:r>
              <w:rPr>
                <w:sz w:val="20"/>
                <w:szCs w:val="20"/>
              </w:rPr>
              <w:t>756</w:t>
            </w:r>
          </w:p>
        </w:tc>
        <w:tc>
          <w:tcPr>
            <w:tcW w:w="1600" w:type="dxa"/>
            <w:tcMar>
              <w:top w:w="60" w:type="dxa"/>
              <w:left w:w="80" w:type="dxa"/>
              <w:bottom w:w="60" w:type="dxa"/>
              <w:right w:w="80" w:type="dxa"/>
            </w:tcMar>
          </w:tcPr>
          <w:p w14:paraId="5275AE65" w14:textId="77777777" w:rsidR="00BF312D" w:rsidRDefault="00000000">
            <w:pPr>
              <w:jc w:val="center"/>
            </w:pPr>
            <w:r>
              <w:rPr>
                <w:sz w:val="20"/>
                <w:szCs w:val="20"/>
              </w:rPr>
              <w:t>38.7</w:t>
            </w:r>
          </w:p>
        </w:tc>
        <w:tc>
          <w:tcPr>
            <w:tcW w:w="1300" w:type="dxa"/>
            <w:tcMar>
              <w:top w:w="60" w:type="dxa"/>
              <w:left w:w="80" w:type="dxa"/>
              <w:bottom w:w="60" w:type="dxa"/>
              <w:right w:w="80" w:type="dxa"/>
            </w:tcMar>
          </w:tcPr>
          <w:p w14:paraId="07B028F2" w14:textId="77777777" w:rsidR="00BF312D" w:rsidRDefault="00000000">
            <w:pPr>
              <w:jc w:val="center"/>
            </w:pPr>
            <w:r>
              <w:rPr>
                <w:sz w:val="20"/>
                <w:szCs w:val="20"/>
              </w:rPr>
              <w:t>40.3</w:t>
            </w:r>
          </w:p>
        </w:tc>
        <w:tc>
          <w:tcPr>
            <w:tcW w:w="1200" w:type="dxa"/>
            <w:tcMar>
              <w:top w:w="60" w:type="dxa"/>
              <w:left w:w="80" w:type="dxa"/>
              <w:bottom w:w="60" w:type="dxa"/>
              <w:right w:w="80" w:type="dxa"/>
            </w:tcMar>
          </w:tcPr>
          <w:p w14:paraId="0C1F6DA3" w14:textId="77777777" w:rsidR="00BF312D" w:rsidRDefault="00000000">
            <w:pPr>
              <w:jc w:val="center"/>
            </w:pPr>
            <w:r>
              <w:rPr>
                <w:sz w:val="20"/>
                <w:szCs w:val="20"/>
              </w:rPr>
              <w:t>33.2</w:t>
            </w:r>
          </w:p>
        </w:tc>
        <w:tc>
          <w:tcPr>
            <w:tcW w:w="1500" w:type="dxa"/>
            <w:tcMar>
              <w:top w:w="60" w:type="dxa"/>
              <w:left w:w="80" w:type="dxa"/>
              <w:bottom w:w="60" w:type="dxa"/>
              <w:right w:w="80" w:type="dxa"/>
            </w:tcMar>
          </w:tcPr>
          <w:p w14:paraId="2CBDAFA7" w14:textId="77777777" w:rsidR="00BF312D" w:rsidRDefault="00000000">
            <w:pPr>
              <w:jc w:val="center"/>
            </w:pPr>
            <w:r>
              <w:rPr>
                <w:sz w:val="20"/>
                <w:szCs w:val="20"/>
              </w:rPr>
              <w:t>17.5</w:t>
            </w:r>
          </w:p>
        </w:tc>
      </w:tr>
      <w:tr w:rsidR="00BF312D" w14:paraId="62F29BD4" w14:textId="77777777">
        <w:tblPrEx>
          <w:tblCellMar>
            <w:top w:w="0" w:type="dxa"/>
            <w:bottom w:w="0" w:type="dxa"/>
          </w:tblCellMar>
        </w:tblPrEx>
        <w:trPr>
          <w:cantSplit/>
        </w:trPr>
        <w:tc>
          <w:tcPr>
            <w:tcW w:w="3000" w:type="dxa"/>
            <w:tcMar>
              <w:top w:w="60" w:type="dxa"/>
              <w:left w:w="80" w:type="dxa"/>
              <w:bottom w:w="60" w:type="dxa"/>
              <w:right w:w="80" w:type="dxa"/>
            </w:tcMar>
          </w:tcPr>
          <w:p w14:paraId="5016987F" w14:textId="77777777" w:rsidR="00BF312D" w:rsidRDefault="00000000">
            <w:r>
              <w:rPr>
                <w:sz w:val="20"/>
                <w:szCs w:val="20"/>
              </w:rPr>
              <w:t>3. Convenience / Premium Payers</w:t>
            </w:r>
          </w:p>
        </w:tc>
        <w:tc>
          <w:tcPr>
            <w:tcW w:w="1600" w:type="dxa"/>
            <w:tcMar>
              <w:top w:w="60" w:type="dxa"/>
              <w:left w:w="80" w:type="dxa"/>
              <w:bottom w:w="60" w:type="dxa"/>
              <w:right w:w="80" w:type="dxa"/>
            </w:tcMar>
          </w:tcPr>
          <w:p w14:paraId="0DE528E4" w14:textId="77777777" w:rsidR="00BF312D" w:rsidRDefault="00000000">
            <w:pPr>
              <w:jc w:val="center"/>
            </w:pPr>
            <w:r>
              <w:rPr>
                <w:sz w:val="20"/>
                <w:szCs w:val="20"/>
              </w:rPr>
              <w:t>743</w:t>
            </w:r>
          </w:p>
        </w:tc>
        <w:tc>
          <w:tcPr>
            <w:tcW w:w="1600" w:type="dxa"/>
            <w:tcMar>
              <w:top w:w="60" w:type="dxa"/>
              <w:left w:w="80" w:type="dxa"/>
              <w:bottom w:w="60" w:type="dxa"/>
              <w:right w:w="80" w:type="dxa"/>
            </w:tcMar>
          </w:tcPr>
          <w:p w14:paraId="2B5E63C2" w14:textId="77777777" w:rsidR="00BF312D" w:rsidRDefault="00000000">
            <w:pPr>
              <w:jc w:val="center"/>
            </w:pPr>
            <w:r>
              <w:rPr>
                <w:sz w:val="20"/>
                <w:szCs w:val="20"/>
              </w:rPr>
              <w:t>46.7</w:t>
            </w:r>
          </w:p>
        </w:tc>
        <w:tc>
          <w:tcPr>
            <w:tcW w:w="1300" w:type="dxa"/>
            <w:tcMar>
              <w:top w:w="60" w:type="dxa"/>
              <w:left w:w="80" w:type="dxa"/>
              <w:bottom w:w="60" w:type="dxa"/>
              <w:right w:w="80" w:type="dxa"/>
            </w:tcMar>
          </w:tcPr>
          <w:p w14:paraId="5F25D467" w14:textId="77777777" w:rsidR="00BF312D" w:rsidRDefault="00000000">
            <w:pPr>
              <w:jc w:val="center"/>
            </w:pPr>
            <w:r>
              <w:rPr>
                <w:sz w:val="20"/>
                <w:szCs w:val="20"/>
              </w:rPr>
              <w:t>47.5</w:t>
            </w:r>
          </w:p>
        </w:tc>
        <w:tc>
          <w:tcPr>
            <w:tcW w:w="1200" w:type="dxa"/>
            <w:tcMar>
              <w:top w:w="60" w:type="dxa"/>
              <w:left w:w="80" w:type="dxa"/>
              <w:bottom w:w="60" w:type="dxa"/>
              <w:right w:w="80" w:type="dxa"/>
            </w:tcMar>
          </w:tcPr>
          <w:p w14:paraId="495265D5" w14:textId="77777777" w:rsidR="00BF312D" w:rsidRDefault="00000000">
            <w:pPr>
              <w:jc w:val="center"/>
            </w:pPr>
            <w:r>
              <w:rPr>
                <w:sz w:val="20"/>
                <w:szCs w:val="20"/>
              </w:rPr>
              <w:t>21.1</w:t>
            </w:r>
          </w:p>
        </w:tc>
        <w:tc>
          <w:tcPr>
            <w:tcW w:w="1500" w:type="dxa"/>
            <w:tcMar>
              <w:top w:w="60" w:type="dxa"/>
              <w:left w:w="80" w:type="dxa"/>
              <w:bottom w:w="60" w:type="dxa"/>
              <w:right w:w="80" w:type="dxa"/>
            </w:tcMar>
          </w:tcPr>
          <w:p w14:paraId="7919843A" w14:textId="77777777" w:rsidR="00BF312D" w:rsidRDefault="00000000">
            <w:pPr>
              <w:jc w:val="center"/>
            </w:pPr>
            <w:r>
              <w:rPr>
                <w:sz w:val="20"/>
                <w:szCs w:val="20"/>
              </w:rPr>
              <w:t>20.0</w:t>
            </w:r>
          </w:p>
        </w:tc>
      </w:tr>
      <w:tr w:rsidR="00BF312D" w14:paraId="3B35F9FE" w14:textId="77777777">
        <w:tblPrEx>
          <w:tblCellMar>
            <w:top w:w="0" w:type="dxa"/>
            <w:bottom w:w="0" w:type="dxa"/>
          </w:tblCellMar>
        </w:tblPrEx>
        <w:trPr>
          <w:cantSplit/>
        </w:trPr>
        <w:tc>
          <w:tcPr>
            <w:tcW w:w="3000" w:type="dxa"/>
            <w:tcMar>
              <w:top w:w="60" w:type="dxa"/>
              <w:left w:w="80" w:type="dxa"/>
              <w:bottom w:w="60" w:type="dxa"/>
              <w:right w:w="80" w:type="dxa"/>
            </w:tcMar>
          </w:tcPr>
          <w:p w14:paraId="1051107A" w14:textId="77777777" w:rsidR="00BF312D" w:rsidRDefault="00000000">
            <w:r>
              <w:rPr>
                <w:sz w:val="20"/>
                <w:szCs w:val="20"/>
              </w:rPr>
              <w:t>4. High-Balance Revolvers</w:t>
            </w:r>
          </w:p>
        </w:tc>
        <w:tc>
          <w:tcPr>
            <w:tcW w:w="1600" w:type="dxa"/>
            <w:tcMar>
              <w:top w:w="60" w:type="dxa"/>
              <w:left w:w="80" w:type="dxa"/>
              <w:bottom w:w="60" w:type="dxa"/>
              <w:right w:w="80" w:type="dxa"/>
            </w:tcMar>
          </w:tcPr>
          <w:p w14:paraId="10F1C07C" w14:textId="77777777" w:rsidR="00BF312D" w:rsidRDefault="00000000">
            <w:pPr>
              <w:jc w:val="center"/>
            </w:pPr>
            <w:r>
              <w:rPr>
                <w:sz w:val="20"/>
                <w:szCs w:val="20"/>
              </w:rPr>
              <w:t>713</w:t>
            </w:r>
          </w:p>
        </w:tc>
        <w:tc>
          <w:tcPr>
            <w:tcW w:w="1600" w:type="dxa"/>
            <w:tcMar>
              <w:top w:w="60" w:type="dxa"/>
              <w:left w:w="80" w:type="dxa"/>
              <w:bottom w:w="60" w:type="dxa"/>
              <w:right w:w="80" w:type="dxa"/>
            </w:tcMar>
          </w:tcPr>
          <w:p w14:paraId="25721650" w14:textId="77777777" w:rsidR="00BF312D" w:rsidRDefault="00000000">
            <w:pPr>
              <w:jc w:val="center"/>
            </w:pPr>
            <w:r>
              <w:rPr>
                <w:sz w:val="20"/>
                <w:szCs w:val="20"/>
              </w:rPr>
              <w:t>18.6</w:t>
            </w:r>
          </w:p>
        </w:tc>
        <w:tc>
          <w:tcPr>
            <w:tcW w:w="1300" w:type="dxa"/>
            <w:tcMar>
              <w:top w:w="60" w:type="dxa"/>
              <w:left w:w="80" w:type="dxa"/>
              <w:bottom w:w="60" w:type="dxa"/>
              <w:right w:w="80" w:type="dxa"/>
            </w:tcMar>
          </w:tcPr>
          <w:p w14:paraId="24CEB68F" w14:textId="77777777" w:rsidR="00BF312D" w:rsidRDefault="00000000">
            <w:pPr>
              <w:jc w:val="center"/>
            </w:pPr>
            <w:r>
              <w:rPr>
                <w:sz w:val="20"/>
                <w:szCs w:val="20"/>
              </w:rPr>
              <w:t>59.0</w:t>
            </w:r>
          </w:p>
        </w:tc>
        <w:tc>
          <w:tcPr>
            <w:tcW w:w="1200" w:type="dxa"/>
            <w:tcMar>
              <w:top w:w="60" w:type="dxa"/>
              <w:left w:w="80" w:type="dxa"/>
              <w:bottom w:w="60" w:type="dxa"/>
              <w:right w:w="80" w:type="dxa"/>
            </w:tcMar>
          </w:tcPr>
          <w:p w14:paraId="293E47F8" w14:textId="77777777" w:rsidR="00BF312D" w:rsidRDefault="00000000">
            <w:pPr>
              <w:jc w:val="center"/>
            </w:pPr>
            <w:r>
              <w:rPr>
                <w:sz w:val="20"/>
                <w:szCs w:val="20"/>
              </w:rPr>
              <w:t>15.2</w:t>
            </w:r>
          </w:p>
        </w:tc>
        <w:tc>
          <w:tcPr>
            <w:tcW w:w="1500" w:type="dxa"/>
            <w:tcMar>
              <w:top w:w="60" w:type="dxa"/>
              <w:left w:w="80" w:type="dxa"/>
              <w:bottom w:w="60" w:type="dxa"/>
              <w:right w:w="80" w:type="dxa"/>
            </w:tcMar>
          </w:tcPr>
          <w:p w14:paraId="555BBB86" w14:textId="77777777" w:rsidR="00BF312D" w:rsidRDefault="00000000">
            <w:pPr>
              <w:jc w:val="center"/>
            </w:pPr>
            <w:r>
              <w:rPr>
                <w:sz w:val="20"/>
                <w:szCs w:val="20"/>
              </w:rPr>
              <w:t>23.8</w:t>
            </w:r>
          </w:p>
        </w:tc>
      </w:tr>
    </w:tbl>
    <w:p w14:paraId="20C457D9" w14:textId="77777777" w:rsidR="00BF312D" w:rsidRDefault="00BF312D"/>
    <w:p w14:paraId="276AD9C1" w14:textId="77777777" w:rsidR="00BF312D" w:rsidRDefault="00000000">
      <w:pPr>
        <w:pStyle w:val="Heading2"/>
        <w:spacing w:before="240" w:after="120" w:line="480" w:lineRule="auto"/>
      </w:pPr>
      <w:r>
        <w:rPr>
          <w:b/>
          <w:bCs/>
          <w:color w:val="000000"/>
          <w:sz w:val="24"/>
          <w:szCs w:val="24"/>
        </w:rPr>
        <w:t>Marketing Recommendations</w:t>
      </w:r>
    </w:p>
    <w:p w14:paraId="49308440" w14:textId="77777777" w:rsidR="00BF312D" w:rsidRDefault="00000000">
      <w:pPr>
        <w:spacing w:line="480" w:lineRule="auto"/>
        <w:ind w:firstLine="720"/>
      </w:pPr>
      <w:r>
        <w:t xml:space="preserve">The groups differ in both balance and how they use credit, so no single offer suits all four; Table 4 gives each a strategy. The priority is Group 4: 290 customers, 13.8 percent of the </w:t>
      </w:r>
      <w:r>
        <w:lastRenderedPageBreak/>
        <w:t>sample, holding about $3.0 million in revolving balances here alone. Their highest income, lowest rate of paying in full and heaviest BNPL use make them a consolidation opportunity, best met by a balance transfer with a fixed repayment plan.</w:t>
      </w:r>
    </w:p>
    <w:p w14:paraId="654E5B7F" w14:textId="77777777" w:rsidR="00BF312D" w:rsidRDefault="00BF312D"/>
    <w:p w14:paraId="0A190596" w14:textId="77777777" w:rsidR="00BF312D" w:rsidRDefault="00000000">
      <w:pPr>
        <w:spacing w:after="120"/>
      </w:pPr>
      <w:r>
        <w:rPr>
          <w:b/>
          <w:bCs/>
        </w:rPr>
        <w:t>Table 4</w:t>
      </w:r>
      <w:r>
        <w:t>. Recommended strategy by segment.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BF312D" w14:paraId="65F5683E" w14:textId="77777777">
        <w:tblPrEx>
          <w:tblCellMar>
            <w:top w:w="0" w:type="dxa"/>
            <w:bottom w:w="0" w:type="dxa"/>
          </w:tblCellMar>
        </w:tblPrEx>
        <w:trPr>
          <w:cantSplit/>
          <w:tblHeader/>
        </w:trPr>
        <w:tc>
          <w:tcPr>
            <w:tcW w:w="2600" w:type="dxa"/>
            <w:shd w:val="clear" w:color="auto" w:fill="D9E2F3"/>
            <w:tcMar>
              <w:top w:w="60" w:type="dxa"/>
              <w:left w:w="80" w:type="dxa"/>
              <w:bottom w:w="60" w:type="dxa"/>
              <w:right w:w="80" w:type="dxa"/>
            </w:tcMar>
          </w:tcPr>
          <w:p w14:paraId="7CF7F4ED" w14:textId="77777777" w:rsidR="00BF312D" w:rsidRDefault="00000000">
            <w:r>
              <w:rPr>
                <w:b/>
                <w:bCs/>
                <w:sz w:val="20"/>
                <w:szCs w:val="20"/>
              </w:rPr>
              <w:t>Segment</w:t>
            </w:r>
          </w:p>
        </w:tc>
        <w:tc>
          <w:tcPr>
            <w:tcW w:w="6800" w:type="dxa"/>
            <w:shd w:val="clear" w:color="auto" w:fill="D9E2F3"/>
            <w:tcMar>
              <w:top w:w="60" w:type="dxa"/>
              <w:left w:w="80" w:type="dxa"/>
              <w:bottom w:w="60" w:type="dxa"/>
              <w:right w:w="80" w:type="dxa"/>
            </w:tcMar>
          </w:tcPr>
          <w:p w14:paraId="4F7C1318" w14:textId="77777777" w:rsidR="00BF312D" w:rsidRDefault="00000000">
            <w:pPr>
              <w:jc w:val="center"/>
            </w:pPr>
            <w:r>
              <w:rPr>
                <w:b/>
                <w:bCs/>
                <w:sz w:val="20"/>
                <w:szCs w:val="20"/>
              </w:rPr>
              <w:t>Recommended strategy</w:t>
            </w:r>
          </w:p>
        </w:tc>
      </w:tr>
      <w:tr w:rsidR="00BF312D" w14:paraId="0D3A1B24" w14:textId="77777777">
        <w:tblPrEx>
          <w:tblCellMar>
            <w:top w:w="0" w:type="dxa"/>
            <w:bottom w:w="0" w:type="dxa"/>
          </w:tblCellMar>
        </w:tblPrEx>
        <w:trPr>
          <w:cantSplit/>
        </w:trPr>
        <w:tc>
          <w:tcPr>
            <w:tcW w:w="2600" w:type="dxa"/>
            <w:tcMar>
              <w:top w:w="60" w:type="dxa"/>
              <w:left w:w="80" w:type="dxa"/>
              <w:bottom w:w="60" w:type="dxa"/>
              <w:right w:w="80" w:type="dxa"/>
            </w:tcMar>
          </w:tcPr>
          <w:p w14:paraId="12ACFB47" w14:textId="77777777" w:rsidR="00BF312D" w:rsidRDefault="00000000">
            <w:r>
              <w:rPr>
                <w:sz w:val="20"/>
                <w:szCs w:val="20"/>
              </w:rPr>
              <w:t>1. Low-Intensity Card Users</w:t>
            </w:r>
          </w:p>
        </w:tc>
        <w:tc>
          <w:tcPr>
            <w:tcW w:w="6800" w:type="dxa"/>
            <w:tcMar>
              <w:top w:w="60" w:type="dxa"/>
              <w:left w:w="80" w:type="dxa"/>
              <w:bottom w:w="60" w:type="dxa"/>
              <w:right w:w="80" w:type="dxa"/>
            </w:tcMar>
          </w:tcPr>
          <w:p w14:paraId="113083B9" w14:textId="77777777" w:rsidR="00BF312D" w:rsidRDefault="00000000">
            <w:pPr>
              <w:jc w:val="center"/>
            </w:pPr>
            <w:r>
              <w:rPr>
                <w:sz w:val="20"/>
                <w:szCs w:val="20"/>
              </w:rPr>
              <w:t>Lead with no-fee cards and cash back on everyday essentials. This group already limits card use and carries the lowest balances, so messaging should emphasise cost saving rather than points or perks.</w:t>
            </w:r>
          </w:p>
        </w:tc>
      </w:tr>
      <w:tr w:rsidR="00BF312D" w14:paraId="30BB157C" w14:textId="77777777">
        <w:tblPrEx>
          <w:tblCellMar>
            <w:top w:w="0" w:type="dxa"/>
            <w:bottom w:w="0" w:type="dxa"/>
          </w:tblCellMar>
        </w:tblPrEx>
        <w:trPr>
          <w:cantSplit/>
        </w:trPr>
        <w:tc>
          <w:tcPr>
            <w:tcW w:w="2600" w:type="dxa"/>
            <w:tcMar>
              <w:top w:w="60" w:type="dxa"/>
              <w:left w:w="80" w:type="dxa"/>
              <w:bottom w:w="60" w:type="dxa"/>
              <w:right w:w="80" w:type="dxa"/>
            </w:tcMar>
          </w:tcPr>
          <w:p w14:paraId="092FD9C5" w14:textId="77777777" w:rsidR="00BF312D" w:rsidRDefault="00000000">
            <w:r>
              <w:rPr>
                <w:sz w:val="20"/>
                <w:szCs w:val="20"/>
              </w:rPr>
              <w:t>2. Multi-Card Optimizers</w:t>
            </w:r>
          </w:p>
        </w:tc>
        <w:tc>
          <w:tcPr>
            <w:tcW w:w="6800" w:type="dxa"/>
            <w:tcMar>
              <w:top w:w="60" w:type="dxa"/>
              <w:left w:w="80" w:type="dxa"/>
              <w:bottom w:w="60" w:type="dxa"/>
              <w:right w:w="80" w:type="dxa"/>
            </w:tcMar>
          </w:tcPr>
          <w:p w14:paraId="0BC21C0F" w14:textId="77777777" w:rsidR="00BF312D" w:rsidRDefault="00000000">
            <w:pPr>
              <w:jc w:val="center"/>
            </w:pPr>
            <w:r>
              <w:rPr>
                <w:sz w:val="20"/>
                <w:szCs w:val="20"/>
              </w:rPr>
              <w:t>Offer a sign-up bonus with rotating category rewards. This group already manages five cards and actively pursues rewards, so a richer point structure outperforms a basic cash-back proposition.</w:t>
            </w:r>
          </w:p>
        </w:tc>
      </w:tr>
      <w:tr w:rsidR="00BF312D" w14:paraId="73C584AD" w14:textId="77777777">
        <w:tblPrEx>
          <w:tblCellMar>
            <w:top w:w="0" w:type="dxa"/>
            <w:bottom w:w="0" w:type="dxa"/>
          </w:tblCellMar>
        </w:tblPrEx>
        <w:trPr>
          <w:cantSplit/>
        </w:trPr>
        <w:tc>
          <w:tcPr>
            <w:tcW w:w="2600" w:type="dxa"/>
            <w:tcMar>
              <w:top w:w="60" w:type="dxa"/>
              <w:left w:w="80" w:type="dxa"/>
              <w:bottom w:w="60" w:type="dxa"/>
              <w:right w:w="80" w:type="dxa"/>
            </w:tcMar>
          </w:tcPr>
          <w:p w14:paraId="14340C11" w14:textId="77777777" w:rsidR="00BF312D" w:rsidRDefault="00000000">
            <w:r>
              <w:rPr>
                <w:sz w:val="20"/>
                <w:szCs w:val="20"/>
              </w:rPr>
              <w:t>3. Convenience / Premium Payers</w:t>
            </w:r>
          </w:p>
        </w:tc>
        <w:tc>
          <w:tcPr>
            <w:tcW w:w="6800" w:type="dxa"/>
            <w:tcMar>
              <w:top w:w="60" w:type="dxa"/>
              <w:left w:w="80" w:type="dxa"/>
              <w:bottom w:w="60" w:type="dxa"/>
              <w:right w:w="80" w:type="dxa"/>
            </w:tcMar>
          </w:tcPr>
          <w:p w14:paraId="2BBFAFBC" w14:textId="77777777" w:rsidR="00BF312D" w:rsidRDefault="00000000">
            <w:pPr>
              <w:jc w:val="center"/>
            </w:pPr>
            <w:r>
              <w:rPr>
                <w:sz w:val="20"/>
                <w:szCs w:val="20"/>
              </w:rPr>
              <w:t>Offer a premium rewards or travel card with bonus dining and travel categories. With the highest pay-in-full rate and second-highest credit score, this group will not respond to debt-management messaging.</w:t>
            </w:r>
          </w:p>
        </w:tc>
      </w:tr>
      <w:tr w:rsidR="00BF312D" w14:paraId="5026E9E0" w14:textId="77777777">
        <w:tblPrEx>
          <w:tblCellMar>
            <w:top w:w="0" w:type="dxa"/>
            <w:bottom w:w="0" w:type="dxa"/>
          </w:tblCellMar>
        </w:tblPrEx>
        <w:trPr>
          <w:cantSplit/>
        </w:trPr>
        <w:tc>
          <w:tcPr>
            <w:tcW w:w="2600" w:type="dxa"/>
            <w:tcMar>
              <w:top w:w="60" w:type="dxa"/>
              <w:left w:w="80" w:type="dxa"/>
              <w:bottom w:w="60" w:type="dxa"/>
              <w:right w:w="80" w:type="dxa"/>
            </w:tcMar>
          </w:tcPr>
          <w:p w14:paraId="7B7FE8B0" w14:textId="77777777" w:rsidR="00BF312D" w:rsidRDefault="00000000">
            <w:r>
              <w:rPr>
                <w:sz w:val="20"/>
                <w:szCs w:val="20"/>
              </w:rPr>
              <w:t>4. High-Balance Revolvers</w:t>
            </w:r>
          </w:p>
        </w:tc>
        <w:tc>
          <w:tcPr>
            <w:tcW w:w="6800" w:type="dxa"/>
            <w:tcMar>
              <w:top w:w="60" w:type="dxa"/>
              <w:left w:w="80" w:type="dxa"/>
              <w:bottom w:w="60" w:type="dxa"/>
              <w:right w:w="80" w:type="dxa"/>
            </w:tcMar>
          </w:tcPr>
          <w:p w14:paraId="750EB446" w14:textId="77777777" w:rsidR="00BF312D" w:rsidRDefault="00000000">
            <w:pPr>
              <w:jc w:val="center"/>
            </w:pPr>
            <w:r>
              <w:rPr>
                <w:sz w:val="20"/>
                <w:szCs w:val="20"/>
              </w:rPr>
              <w:t>Offer balance transfer or a lower-rate product with a structured payoff plan. A rewards card encouraging additional spend would work against this group's interest and against portfolio credit quality.</w:t>
            </w:r>
          </w:p>
        </w:tc>
      </w:tr>
    </w:tbl>
    <w:p w14:paraId="7FE7075E" w14:textId="77777777" w:rsidR="00BF312D" w:rsidRDefault="00BF312D"/>
    <w:p w14:paraId="5D12AEE9" w14:textId="77777777" w:rsidR="00BF312D" w:rsidRDefault="00000000">
      <w:pPr>
        <w:pStyle w:val="Heading2"/>
        <w:spacing w:before="240" w:after="120" w:line="480" w:lineRule="auto"/>
      </w:pPr>
      <w:r>
        <w:rPr>
          <w:b/>
          <w:bCs/>
          <w:color w:val="000000"/>
          <w:sz w:val="24"/>
          <w:szCs w:val="24"/>
        </w:rPr>
        <w:t>Limitations</w:t>
      </w:r>
    </w:p>
    <w:p w14:paraId="30CD13F6" w14:textId="77777777" w:rsidR="00BF312D" w:rsidRDefault="00000000">
      <w:pPr>
        <w:spacing w:line="480" w:lineRule="auto"/>
        <w:ind w:firstLine="720"/>
      </w:pPr>
      <w:r>
        <w:t>Four limitations apply. First, the groups are not equally solid. Re-running the analysis on 100 random resamples (Figure 8) gives stability scores of 0.497, 0.500, 0.782 and 0.814 for Groups 1 to 4; above 0.75 is solid, below 0.60 is not a separate group (Hennig, 2007). Groups 3 and 4 are ready for campaigns; Groups 1 and 2 sit in the crowded middle, so their recommendations are provisional.</w:t>
      </w:r>
    </w:p>
    <w:p w14:paraId="46838CBF" w14:textId="77777777" w:rsidR="00BF312D" w:rsidRDefault="00000000">
      <w:pPr>
        <w:spacing w:line="480" w:lineRule="auto"/>
        <w:ind w:firstLine="720"/>
      </w:pPr>
      <w:r>
        <w:t xml:space="preserve">Second, the answer depends on the method. All four inputs are ordered categories, and using midpoints assumes equal gaps between them, which is not true. Repeating the work with Gower distance and medoids, which makes no such assumption, gives only moderate agreement (0.312), so this is one defensible split rather than the only one. Third, Group 4 rests almost </w:t>
      </w:r>
      <w:r>
        <w:lastRenderedPageBreak/>
        <w:t>entirely on the highest balance bands; changing the value given to the open-ended "more than $10,000" band keeps agreement above 0.81, but its size ranges from 174 to 336.</w:t>
      </w:r>
    </w:p>
    <w:p w14:paraId="3FBB670F" w14:textId="77777777" w:rsidR="00BF312D" w:rsidRDefault="00000000">
      <w:pPr>
        <w:spacing w:line="480" w:lineRule="auto"/>
        <w:ind w:firstLine="720"/>
      </w:pPr>
      <w:r>
        <w:t>Fourth, the data is self-reported, collected once in September 2021, covers cardholders only, and carries no IDs or weights. Part A tackles each: transaction records replace self-report, a repeatable stratified design allows weighting and comparison over time, and a debt-attitude measure strengthens the dimension this analysis finds strongest but measures with one question.</w:t>
      </w:r>
    </w:p>
    <w:p w14:paraId="136D84F7" w14:textId="77777777" w:rsidR="00BF312D" w:rsidRDefault="00000000">
      <w:pPr>
        <w:pStyle w:val="Heading2"/>
        <w:spacing w:before="240" w:after="120" w:line="480" w:lineRule="auto"/>
      </w:pPr>
      <w:r>
        <w:rPr>
          <w:b/>
          <w:bCs/>
          <w:color w:val="000000"/>
          <w:sz w:val="24"/>
          <w:szCs w:val="24"/>
        </w:rPr>
        <w:t>Conclusion</w:t>
      </w:r>
    </w:p>
    <w:p w14:paraId="6B92BB63" w14:textId="77777777" w:rsidR="00BF312D" w:rsidRDefault="00000000">
      <w:pPr>
        <w:spacing w:line="480" w:lineRule="auto"/>
        <w:ind w:firstLine="720"/>
      </w:pPr>
      <w:r>
        <w:t>Four groups were found among 2,094 cardholders and tested against behaviour held back from the model. Two are solid and ready to act on, with High-Balance Revolvers the clearest opportunity. The work also surfaced a fifth group no credit-based model can serve — the 1,631 cash-and-debit respondents skipped by the survey — the strongest case for the plan in Part A.</w:t>
      </w:r>
    </w:p>
    <w:p w14:paraId="772BC5FD" w14:textId="77777777" w:rsidR="00BF312D" w:rsidRDefault="00000000">
      <w:r>
        <w:br w:type="page"/>
      </w:r>
    </w:p>
    <w:p w14:paraId="65577305" w14:textId="77777777" w:rsidR="00BF312D" w:rsidRDefault="00000000">
      <w:pPr>
        <w:pStyle w:val="Heading1"/>
        <w:spacing w:before="240" w:after="120" w:line="480" w:lineRule="auto"/>
      </w:pPr>
      <w:r>
        <w:rPr>
          <w:b/>
          <w:bCs/>
          <w:color w:val="000000"/>
          <w:sz w:val="26"/>
          <w:szCs w:val="26"/>
        </w:rPr>
        <w:lastRenderedPageBreak/>
        <w:t>References</w:t>
      </w:r>
    </w:p>
    <w:p w14:paraId="66E4673F" w14:textId="77777777" w:rsidR="00BF312D" w:rsidRDefault="00000000">
      <w:pPr>
        <w:spacing w:line="480" w:lineRule="auto"/>
        <w:ind w:left="720" w:hanging="720"/>
      </w:pPr>
      <w:r>
        <w:t>Consumer Financial Protection Bureau. (2025). The Buy Now, Pay Later market. https://www.consumerfinance.gov/data-research/research-reports/the-buy-now-pay-later-market/</w:t>
      </w:r>
    </w:p>
    <w:p w14:paraId="6359D352" w14:textId="77777777" w:rsidR="00BF312D" w:rsidRDefault="00000000">
      <w:pPr>
        <w:spacing w:line="480" w:lineRule="auto"/>
        <w:ind w:left="720" w:hanging="720"/>
      </w:pPr>
      <w:r>
        <w:t>Federal Reserve Bank of New York. (2026). Household debt and credit report. Center for Microeconomic Data. https://www.newyorkfed.org/microeconomics/hhdc</w:t>
      </w:r>
    </w:p>
    <w:p w14:paraId="080CDF2A" w14:textId="77777777" w:rsidR="00BF312D" w:rsidRDefault="00000000">
      <w:pPr>
        <w:spacing w:line="480" w:lineRule="auto"/>
        <w:ind w:left="720" w:hanging="720"/>
      </w:pPr>
      <w:r>
        <w:t>Federal Reserve Financial Services. (2025). 2025 findings from the Diary of Consumer Payment Choice. https://www.frbservices.org/news/research/2025-findings-from-the-diary-of-consumer-payment-choice</w:t>
      </w:r>
    </w:p>
    <w:p w14:paraId="70D9F0B9" w14:textId="77777777" w:rsidR="00BF312D" w:rsidRDefault="00000000">
      <w:pPr>
        <w:spacing w:line="480" w:lineRule="auto"/>
        <w:ind w:left="720" w:hanging="720"/>
      </w:pPr>
      <w:r>
        <w:t>Federal Reserve Financial Services. (2025b). FedNow Service: Two years of growth and innovation. https://www.frbservices.org/news/fed360/issues/071625/fednow-service-two-years-growth-innovation</w:t>
      </w:r>
    </w:p>
    <w:p w14:paraId="73F4D853" w14:textId="77777777" w:rsidR="00BF312D" w:rsidRDefault="00000000">
      <w:pPr>
        <w:spacing w:line="480" w:lineRule="auto"/>
        <w:ind w:left="720" w:hanging="720"/>
      </w:pPr>
      <w:r>
        <w:t>Hennig, C. (2007). Cluster-wise assessment of cluster stability. Computational Statistics &amp; Data Analysis, 52(1), 258–271.</w:t>
      </w:r>
    </w:p>
    <w:p w14:paraId="131BD061" w14:textId="77777777" w:rsidR="00BF312D" w:rsidRDefault="00000000">
      <w:pPr>
        <w:spacing w:line="480" w:lineRule="auto"/>
        <w:ind w:left="720" w:hanging="720"/>
      </w:pPr>
      <w:r>
        <w:t>Kaufman, L., &amp; Rousseeuw, P. J. (1990). Finding groups in data: An introduction to cluster analysis. John Wiley &amp; Sons.</w:t>
      </w:r>
    </w:p>
    <w:p w14:paraId="3C2CAE2F" w14:textId="77777777" w:rsidR="00BF312D" w:rsidRDefault="00000000">
      <w:pPr>
        <w:spacing w:line="480" w:lineRule="auto"/>
        <w:ind w:left="720" w:hanging="720"/>
      </w:pPr>
      <w:r>
        <w:t>Tibshirani, R., Walther, G., &amp; Hastie, T. (2001). Estimating the number of clusters in a data set via the gap statistic. Journal of the Royal Statistical Society: Series B, 63(2), 411–423.</w:t>
      </w:r>
    </w:p>
    <w:p w14:paraId="19230663" w14:textId="77777777" w:rsidR="00BF312D" w:rsidRDefault="00000000">
      <w:r>
        <w:br w:type="page"/>
      </w:r>
    </w:p>
    <w:p w14:paraId="6FB8B81D" w14:textId="77777777" w:rsidR="00BF312D" w:rsidRDefault="00000000">
      <w:pPr>
        <w:pStyle w:val="Heading1"/>
        <w:spacing w:before="240" w:after="120" w:line="480" w:lineRule="auto"/>
      </w:pPr>
      <w:r>
        <w:rPr>
          <w:b/>
          <w:bCs/>
          <w:color w:val="000000"/>
          <w:sz w:val="26"/>
          <w:szCs w:val="26"/>
        </w:rPr>
        <w:lastRenderedPageBreak/>
        <w:t>Appendix A: Figures</w:t>
      </w:r>
    </w:p>
    <w:p w14:paraId="1C7C1A90" w14:textId="77777777" w:rsidR="00BF312D" w:rsidRDefault="00000000">
      <w:pPr>
        <w:spacing w:before="180"/>
        <w:jc w:val="center"/>
      </w:pPr>
      <w:r>
        <w:rPr>
          <w:noProof/>
        </w:rPr>
        <w:drawing>
          <wp:inline distT="0" distB="0" distL="0" distR="0" wp14:anchorId="6096BB07" wp14:editId="1191E891">
            <wp:extent cx="5334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00400"/>
                    </a:xfrm>
                    <a:prstGeom prst="rect">
                      <a:avLst/>
                    </a:prstGeom>
                  </pic:spPr>
                </pic:pic>
              </a:graphicData>
            </a:graphic>
          </wp:inline>
        </w:drawing>
      </w:r>
    </w:p>
    <w:p w14:paraId="6013BAB0" w14:textId="77777777" w:rsidR="00BF312D" w:rsidRDefault="00000000">
      <w:pPr>
        <w:spacing w:before="60" w:after="240"/>
      </w:pPr>
      <w:r>
        <w:rPr>
          <w:i/>
          <w:iCs/>
          <w:sz w:val="22"/>
          <w:szCs w:val="22"/>
        </w:rPr>
        <w:t>Figure 1. Within-cluster sum of squares by number of clusters. The decline is smooth, with no pronounced elbow at any value of k.</w:t>
      </w:r>
    </w:p>
    <w:p w14:paraId="6FEDCA80" w14:textId="77777777" w:rsidR="00BF312D" w:rsidRDefault="00000000">
      <w:pPr>
        <w:spacing w:before="180"/>
        <w:jc w:val="center"/>
      </w:pPr>
      <w:r>
        <w:rPr>
          <w:noProof/>
        </w:rPr>
        <w:drawing>
          <wp:inline distT="0" distB="0" distL="0" distR="0" wp14:anchorId="2593C12B" wp14:editId="306654D5">
            <wp:extent cx="5334000" cy="3200400"/>
            <wp:effectExtent l="0" t="0" r="0" b="0"/>
            <wp:docPr id="2048601876" name="Picture 204860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00400"/>
                    </a:xfrm>
                    <a:prstGeom prst="rect">
                      <a:avLst/>
                    </a:prstGeom>
                  </pic:spPr>
                </pic:pic>
              </a:graphicData>
            </a:graphic>
          </wp:inline>
        </w:drawing>
      </w:r>
    </w:p>
    <w:p w14:paraId="107E852B" w14:textId="77777777" w:rsidR="00BF312D" w:rsidRDefault="00000000">
      <w:pPr>
        <w:spacing w:before="60" w:after="240"/>
      </w:pPr>
      <w:r>
        <w:rPr>
          <w:i/>
          <w:iCs/>
          <w:sz w:val="22"/>
          <w:szCs w:val="22"/>
        </w:rPr>
        <w:t>Figure 2. Average silhouette width by number of clusters. Values remain between 0.262 and 0.290 across the full range, indicating weak natural separation.</w:t>
      </w:r>
    </w:p>
    <w:p w14:paraId="60C76F0D" w14:textId="77777777" w:rsidR="00BF312D" w:rsidRDefault="00000000">
      <w:r>
        <w:br w:type="page"/>
      </w:r>
    </w:p>
    <w:p w14:paraId="5DFC3AE9" w14:textId="77777777" w:rsidR="00BF312D" w:rsidRDefault="00000000">
      <w:pPr>
        <w:spacing w:before="180"/>
        <w:jc w:val="center"/>
      </w:pPr>
      <w:r>
        <w:rPr>
          <w:noProof/>
        </w:rPr>
        <w:lastRenderedPageBreak/>
        <w:drawing>
          <wp:inline distT="0" distB="0" distL="0" distR="0" wp14:anchorId="60D12A6C" wp14:editId="5355502B">
            <wp:extent cx="5334000" cy="3657600"/>
            <wp:effectExtent l="0" t="0" r="0" b="0"/>
            <wp:docPr id="400542539" name="Picture 40054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657600"/>
                    </a:xfrm>
                    <a:prstGeom prst="rect">
                      <a:avLst/>
                    </a:prstGeom>
                  </pic:spPr>
                </pic:pic>
              </a:graphicData>
            </a:graphic>
          </wp:inline>
        </w:drawing>
      </w:r>
    </w:p>
    <w:p w14:paraId="306CD9C8" w14:textId="77777777" w:rsidR="00BF312D" w:rsidRDefault="00000000">
      <w:pPr>
        <w:spacing w:before="60" w:after="240"/>
      </w:pPr>
      <w:r>
        <w:rPr>
          <w:i/>
          <w:iCs/>
          <w:sz w:val="22"/>
          <w:szCs w:val="22"/>
        </w:rPr>
        <w:t>Figure 3. Segments by monthly credit card balance and share of purchases made by credit card. Points are jittered to reveal overlapping discrete categories.</w:t>
      </w:r>
    </w:p>
    <w:p w14:paraId="5AEB9F07" w14:textId="77777777" w:rsidR="00BF312D" w:rsidRDefault="00000000">
      <w:pPr>
        <w:spacing w:before="180"/>
        <w:jc w:val="center"/>
      </w:pPr>
      <w:r>
        <w:rPr>
          <w:noProof/>
        </w:rPr>
        <w:drawing>
          <wp:inline distT="0" distB="0" distL="0" distR="0" wp14:anchorId="0AF160C9" wp14:editId="691AA65B">
            <wp:extent cx="5334000" cy="3200400"/>
            <wp:effectExtent l="0" t="0" r="0" b="0"/>
            <wp:docPr id="1860589726" name="Picture 1860589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200400"/>
                    </a:xfrm>
                    <a:prstGeom prst="rect">
                      <a:avLst/>
                    </a:prstGeom>
                  </pic:spPr>
                </pic:pic>
              </a:graphicData>
            </a:graphic>
          </wp:inline>
        </w:drawing>
      </w:r>
    </w:p>
    <w:p w14:paraId="1C40B36D" w14:textId="77777777" w:rsidR="00BF312D" w:rsidRDefault="00000000">
      <w:pPr>
        <w:spacing w:before="60" w:after="240"/>
      </w:pPr>
      <w:r>
        <w:rPr>
          <w:i/>
          <w:iCs/>
          <w:sz w:val="22"/>
          <w:szCs w:val="22"/>
        </w:rPr>
        <w:t>Figure 4. Number of customers assigned to each segment (N = 2,094).</w:t>
      </w:r>
    </w:p>
    <w:p w14:paraId="793014F1" w14:textId="77777777" w:rsidR="00BF312D" w:rsidRDefault="00000000">
      <w:r>
        <w:br w:type="page"/>
      </w:r>
    </w:p>
    <w:p w14:paraId="44A0522B" w14:textId="77777777" w:rsidR="00BF312D" w:rsidRDefault="00000000">
      <w:pPr>
        <w:spacing w:before="180"/>
        <w:jc w:val="center"/>
      </w:pPr>
      <w:r>
        <w:rPr>
          <w:noProof/>
        </w:rPr>
        <w:lastRenderedPageBreak/>
        <w:drawing>
          <wp:inline distT="0" distB="0" distL="0" distR="0" wp14:anchorId="3E6CD8C3" wp14:editId="70C4734C">
            <wp:extent cx="5334000" cy="3200400"/>
            <wp:effectExtent l="0" t="0" r="0" b="0"/>
            <wp:docPr id="1818923687" name="Picture 181892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200400"/>
                    </a:xfrm>
                    <a:prstGeom prst="rect">
                      <a:avLst/>
                    </a:prstGeom>
                  </pic:spPr>
                </pic:pic>
              </a:graphicData>
            </a:graphic>
          </wp:inline>
        </w:drawing>
      </w:r>
    </w:p>
    <w:p w14:paraId="557D15C2" w14:textId="77777777" w:rsidR="00BF312D" w:rsidRDefault="00000000">
      <w:pPr>
        <w:spacing w:before="60" w:after="240"/>
      </w:pPr>
      <w:r>
        <w:rPr>
          <w:i/>
          <w:iCs/>
          <w:sz w:val="22"/>
          <w:szCs w:val="22"/>
        </w:rPr>
        <w:t>Figure 5. Distribution of personal income within each segment. The $125,000 ceiling is the recoded midpoint of the top income band.</w:t>
      </w:r>
    </w:p>
    <w:p w14:paraId="3AB8A106" w14:textId="77777777" w:rsidR="00BF312D" w:rsidRDefault="00000000">
      <w:pPr>
        <w:spacing w:before="180"/>
        <w:jc w:val="center"/>
      </w:pPr>
      <w:r>
        <w:rPr>
          <w:noProof/>
        </w:rPr>
        <w:drawing>
          <wp:inline distT="0" distB="0" distL="0" distR="0" wp14:anchorId="3B882F3C" wp14:editId="7288D7C0">
            <wp:extent cx="5334000" cy="3657600"/>
            <wp:effectExtent l="0" t="0" r="0" b="0"/>
            <wp:docPr id="1973807587" name="Picture 1973807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657600"/>
                    </a:xfrm>
                    <a:prstGeom prst="rect">
                      <a:avLst/>
                    </a:prstGeom>
                  </pic:spPr>
                </pic:pic>
              </a:graphicData>
            </a:graphic>
          </wp:inline>
        </w:drawing>
      </w:r>
    </w:p>
    <w:p w14:paraId="58062C15" w14:textId="77777777" w:rsidR="00BF312D" w:rsidRDefault="00000000">
      <w:pPr>
        <w:spacing w:before="60" w:after="240"/>
      </w:pPr>
      <w:r>
        <w:rPr>
          <w:i/>
          <w:iCs/>
          <w:sz w:val="22"/>
          <w:szCs w:val="22"/>
        </w:rPr>
        <w:t>Figure 6. Segments projected onto the first two principal components (62.0% of total variance). Descriptive only; PCA uses the same inputs as the clustering.</w:t>
      </w:r>
    </w:p>
    <w:p w14:paraId="7FD617B6" w14:textId="77777777" w:rsidR="00BF312D" w:rsidRDefault="00000000">
      <w:r>
        <w:br w:type="page"/>
      </w:r>
    </w:p>
    <w:p w14:paraId="5358AB82" w14:textId="77777777" w:rsidR="00BF312D" w:rsidRDefault="00000000">
      <w:pPr>
        <w:spacing w:before="180"/>
        <w:jc w:val="center"/>
      </w:pPr>
      <w:r>
        <w:rPr>
          <w:noProof/>
        </w:rPr>
        <w:lastRenderedPageBreak/>
        <w:drawing>
          <wp:inline distT="0" distB="0" distL="0" distR="0" wp14:anchorId="06C9E17B" wp14:editId="09DBE190">
            <wp:extent cx="5334000" cy="3200400"/>
            <wp:effectExtent l="0" t="0" r="0" b="0"/>
            <wp:docPr id="563619034" name="Picture 563619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200400"/>
                    </a:xfrm>
                    <a:prstGeom prst="rect">
                      <a:avLst/>
                    </a:prstGeom>
                  </pic:spPr>
                </pic:pic>
              </a:graphicData>
            </a:graphic>
          </wp:inline>
        </w:drawing>
      </w:r>
    </w:p>
    <w:p w14:paraId="0BB886F3" w14:textId="77777777" w:rsidR="00BF312D" w:rsidRDefault="00000000">
      <w:pPr>
        <w:spacing w:before="60" w:after="240"/>
      </w:pPr>
      <w:r>
        <w:rPr>
          <w:i/>
          <w:iCs/>
          <w:sz w:val="22"/>
          <w:szCs w:val="22"/>
        </w:rPr>
        <w:t>Figure 7. External validation. Neither pay-in-full behaviour nor BNPL use was supplied to the clustering algorithm, yet both differ significantly across segments.</w:t>
      </w:r>
    </w:p>
    <w:p w14:paraId="411DE142" w14:textId="77777777" w:rsidR="00BF312D" w:rsidRDefault="00000000">
      <w:pPr>
        <w:spacing w:before="180"/>
        <w:jc w:val="center"/>
      </w:pPr>
      <w:r>
        <w:rPr>
          <w:noProof/>
        </w:rPr>
        <w:drawing>
          <wp:inline distT="0" distB="0" distL="0" distR="0" wp14:anchorId="5368F56D" wp14:editId="7C9C4590">
            <wp:extent cx="5334000" cy="3200400"/>
            <wp:effectExtent l="0" t="0" r="0" b="0"/>
            <wp:docPr id="750697508" name="Picture 75069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200400"/>
                    </a:xfrm>
                    <a:prstGeom prst="rect">
                      <a:avLst/>
                    </a:prstGeom>
                  </pic:spPr>
                </pic:pic>
              </a:graphicData>
            </a:graphic>
          </wp:inline>
        </w:drawing>
      </w:r>
    </w:p>
    <w:p w14:paraId="325777AB" w14:textId="77777777" w:rsidR="00BF312D" w:rsidRDefault="00000000">
      <w:pPr>
        <w:spacing w:before="60" w:after="240"/>
      </w:pPr>
      <w:r>
        <w:rPr>
          <w:i/>
          <w:iCs/>
          <w:sz w:val="22"/>
          <w:szCs w:val="22"/>
        </w:rPr>
        <w:t>Figure 8. Bootstrap cluster stability over 100 resamples. Clusters 1 and 2 fall below the 0.60 threshold and are treated as provisional.</w:t>
      </w:r>
    </w:p>
    <w:sectPr w:rsidR="00BF312D">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385C2" w14:textId="77777777" w:rsidR="00ED20B6" w:rsidRDefault="00ED20B6">
      <w:r>
        <w:separator/>
      </w:r>
    </w:p>
  </w:endnote>
  <w:endnote w:type="continuationSeparator" w:id="0">
    <w:p w14:paraId="47EA83B7" w14:textId="77777777" w:rsidR="00ED20B6" w:rsidRDefault="00ED2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D8482" w14:textId="77777777" w:rsidR="00BF312D" w:rsidRDefault="00000000">
    <w:pPr>
      <w:jc w:val="center"/>
    </w:pPr>
    <w:r>
      <w:rPr>
        <w:sz w:val="22"/>
        <w:szCs w:val="22"/>
      </w:rPr>
      <w:fldChar w:fldCharType="begin"/>
    </w:r>
    <w:r>
      <w:rPr>
        <w:sz w:val="22"/>
        <w:szCs w:val="22"/>
      </w:rPr>
      <w:instrText>PAGE</w:instrText>
    </w:r>
    <w:r>
      <w:rPr>
        <w:sz w:val="22"/>
        <w:szCs w:val="22"/>
      </w:rPr>
      <w:fldChar w:fldCharType="separate"/>
    </w:r>
    <w:r w:rsidR="00CE0F45">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BD0E0" w14:textId="77777777" w:rsidR="00ED20B6" w:rsidRDefault="00ED20B6">
      <w:r>
        <w:separator/>
      </w:r>
    </w:p>
  </w:footnote>
  <w:footnote w:type="continuationSeparator" w:id="0">
    <w:p w14:paraId="0220B6D7" w14:textId="77777777" w:rsidR="00ED20B6" w:rsidRDefault="00ED20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18FF"/>
    <w:multiLevelType w:val="hybridMultilevel"/>
    <w:tmpl w:val="3BC2D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F336F7"/>
    <w:multiLevelType w:val="hybridMultilevel"/>
    <w:tmpl w:val="D5E42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ED29C9"/>
    <w:multiLevelType w:val="hybridMultilevel"/>
    <w:tmpl w:val="7A5239D2"/>
    <w:lvl w:ilvl="0" w:tplc="97C84E4E">
      <w:start w:val="1"/>
      <w:numFmt w:val="bullet"/>
      <w:lvlText w:val="●"/>
      <w:lvlJc w:val="left"/>
      <w:pPr>
        <w:ind w:left="720" w:hanging="360"/>
      </w:pPr>
    </w:lvl>
    <w:lvl w:ilvl="1" w:tplc="8CB20F46">
      <w:start w:val="1"/>
      <w:numFmt w:val="bullet"/>
      <w:lvlText w:val="○"/>
      <w:lvlJc w:val="left"/>
      <w:pPr>
        <w:ind w:left="1440" w:hanging="360"/>
      </w:pPr>
    </w:lvl>
    <w:lvl w:ilvl="2" w:tplc="6BB8D21C">
      <w:start w:val="1"/>
      <w:numFmt w:val="bullet"/>
      <w:lvlText w:val="■"/>
      <w:lvlJc w:val="left"/>
      <w:pPr>
        <w:ind w:left="2160" w:hanging="360"/>
      </w:pPr>
    </w:lvl>
    <w:lvl w:ilvl="3" w:tplc="1226B5BE">
      <w:start w:val="1"/>
      <w:numFmt w:val="bullet"/>
      <w:lvlText w:val="●"/>
      <w:lvlJc w:val="left"/>
      <w:pPr>
        <w:ind w:left="2880" w:hanging="360"/>
      </w:pPr>
    </w:lvl>
    <w:lvl w:ilvl="4" w:tplc="DD3AB3D2">
      <w:start w:val="1"/>
      <w:numFmt w:val="bullet"/>
      <w:lvlText w:val="○"/>
      <w:lvlJc w:val="left"/>
      <w:pPr>
        <w:ind w:left="3600" w:hanging="360"/>
      </w:pPr>
    </w:lvl>
    <w:lvl w:ilvl="5" w:tplc="322E9FA6">
      <w:start w:val="1"/>
      <w:numFmt w:val="bullet"/>
      <w:lvlText w:val="■"/>
      <w:lvlJc w:val="left"/>
      <w:pPr>
        <w:ind w:left="4320" w:hanging="360"/>
      </w:pPr>
    </w:lvl>
    <w:lvl w:ilvl="6" w:tplc="39027FEA">
      <w:start w:val="1"/>
      <w:numFmt w:val="bullet"/>
      <w:lvlText w:val="●"/>
      <w:lvlJc w:val="left"/>
      <w:pPr>
        <w:ind w:left="5040" w:hanging="360"/>
      </w:pPr>
    </w:lvl>
    <w:lvl w:ilvl="7" w:tplc="A29CBA44">
      <w:start w:val="1"/>
      <w:numFmt w:val="bullet"/>
      <w:lvlText w:val="●"/>
      <w:lvlJc w:val="left"/>
      <w:pPr>
        <w:ind w:left="5760" w:hanging="360"/>
      </w:pPr>
    </w:lvl>
    <w:lvl w:ilvl="8" w:tplc="4A3C39CE">
      <w:start w:val="1"/>
      <w:numFmt w:val="bullet"/>
      <w:lvlText w:val="●"/>
      <w:lvlJc w:val="left"/>
      <w:pPr>
        <w:ind w:left="6480" w:hanging="360"/>
      </w:pPr>
    </w:lvl>
  </w:abstractNum>
  <w:abstractNum w:abstractNumId="3" w15:restartNumberingAfterBreak="0">
    <w:nsid w:val="5ADD2B02"/>
    <w:multiLevelType w:val="hybridMultilevel"/>
    <w:tmpl w:val="3152A018"/>
    <w:lvl w:ilvl="0" w:tplc="2918C34C">
      <w:start w:val="1"/>
      <w:numFmt w:val="bullet"/>
      <w:lvlText w:val="•"/>
      <w:lvlJc w:val="left"/>
      <w:pPr>
        <w:ind w:left="720" w:hanging="360"/>
      </w:pPr>
    </w:lvl>
    <w:lvl w:ilvl="1" w:tplc="DF380B2A">
      <w:numFmt w:val="decimal"/>
      <w:lvlText w:val=""/>
      <w:lvlJc w:val="left"/>
    </w:lvl>
    <w:lvl w:ilvl="2" w:tplc="856AAC70">
      <w:numFmt w:val="decimal"/>
      <w:lvlText w:val=""/>
      <w:lvlJc w:val="left"/>
    </w:lvl>
    <w:lvl w:ilvl="3" w:tplc="D2488BE6">
      <w:numFmt w:val="decimal"/>
      <w:lvlText w:val=""/>
      <w:lvlJc w:val="left"/>
    </w:lvl>
    <w:lvl w:ilvl="4" w:tplc="89D64C72">
      <w:numFmt w:val="decimal"/>
      <w:lvlText w:val=""/>
      <w:lvlJc w:val="left"/>
    </w:lvl>
    <w:lvl w:ilvl="5" w:tplc="0CCC3CDC">
      <w:numFmt w:val="decimal"/>
      <w:lvlText w:val=""/>
      <w:lvlJc w:val="left"/>
    </w:lvl>
    <w:lvl w:ilvl="6" w:tplc="28B88482">
      <w:numFmt w:val="decimal"/>
      <w:lvlText w:val=""/>
      <w:lvlJc w:val="left"/>
    </w:lvl>
    <w:lvl w:ilvl="7" w:tplc="EC94AB2C">
      <w:numFmt w:val="decimal"/>
      <w:lvlText w:val=""/>
      <w:lvlJc w:val="left"/>
    </w:lvl>
    <w:lvl w:ilvl="8" w:tplc="3244DA6C">
      <w:numFmt w:val="decimal"/>
      <w:lvlText w:val=""/>
      <w:lvlJc w:val="left"/>
    </w:lvl>
  </w:abstractNum>
  <w:num w:numId="1" w16cid:durableId="756639104">
    <w:abstractNumId w:val="2"/>
    <w:lvlOverride w:ilvl="0">
      <w:startOverride w:val="1"/>
    </w:lvlOverride>
  </w:num>
  <w:num w:numId="2" w16cid:durableId="468283426">
    <w:abstractNumId w:val="1"/>
  </w:num>
  <w:num w:numId="3" w16cid:durableId="185678744">
    <w:abstractNumId w:val="3"/>
    <w:lvlOverride w:ilvl="0">
      <w:startOverride w:val="1"/>
    </w:lvlOverride>
  </w:num>
  <w:num w:numId="4" w16cid:durableId="1744913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12D"/>
    <w:rsid w:val="000222CE"/>
    <w:rsid w:val="000A2D40"/>
    <w:rsid w:val="001E4102"/>
    <w:rsid w:val="00335435"/>
    <w:rsid w:val="0038364E"/>
    <w:rsid w:val="0048516A"/>
    <w:rsid w:val="005511A6"/>
    <w:rsid w:val="00567B5B"/>
    <w:rsid w:val="00635103"/>
    <w:rsid w:val="00795123"/>
    <w:rsid w:val="0085658D"/>
    <w:rsid w:val="009B7377"/>
    <w:rsid w:val="00B23E87"/>
    <w:rsid w:val="00BF312D"/>
    <w:rsid w:val="00CE0F45"/>
    <w:rsid w:val="00DF05C8"/>
    <w:rsid w:val="00E619F4"/>
    <w:rsid w:val="00E64396"/>
    <w:rsid w:val="00ED20B6"/>
    <w:rsid w:val="00F35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74FEF"/>
  <w15:docId w15:val="{00850E05-6BF3-4D04-8C53-502FB43E2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0A2D40"/>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1824</TotalTime>
  <Pages>14</Pages>
  <Words>2276</Words>
  <Characters>12979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Israel Ose Obokohwo</cp:lastModifiedBy>
  <cp:revision>1</cp:revision>
  <dcterms:created xsi:type="dcterms:W3CDTF">2026-08-03T22:28:00Z</dcterms:created>
  <dcterms:modified xsi:type="dcterms:W3CDTF">2026-08-06T19:32:00Z</dcterms:modified>
</cp:coreProperties>
</file>