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3E53" w14:textId="298093E3" w:rsidR="00AC0449" w:rsidRPr="007B1A9C" w:rsidRDefault="00AC0449" w:rsidP="00AC0449">
      <w:pPr>
        <w:jc w:val="center"/>
        <w:rPr>
          <w:rFonts w:ascii="Times New Roman" w:hAnsi="Times New Roman" w:cs="Times New Roman"/>
          <w:b/>
          <w:bCs/>
          <w:sz w:val="30"/>
          <w:szCs w:val="30"/>
        </w:rPr>
      </w:pPr>
      <w:r w:rsidRPr="00AC0449">
        <w:rPr>
          <w:rFonts w:ascii="Times New Roman" w:hAnsi="Times New Roman" w:cs="Times New Roman"/>
          <w:b/>
          <w:bCs/>
          <w:sz w:val="30"/>
          <w:szCs w:val="30"/>
        </w:rPr>
        <w:t>Healthcare Data Warehouse: Power BI Analysis</w:t>
      </w:r>
    </w:p>
    <w:p w14:paraId="39A0F8AE" w14:textId="77777777" w:rsidR="00AC0449" w:rsidRPr="007B1A9C" w:rsidRDefault="00AC0449" w:rsidP="00AC0449">
      <w:pPr>
        <w:jc w:val="center"/>
        <w:rPr>
          <w:rFonts w:ascii="Times New Roman" w:hAnsi="Times New Roman" w:cs="Times New Roman"/>
          <w:b/>
          <w:bCs/>
          <w:sz w:val="30"/>
          <w:szCs w:val="30"/>
        </w:rPr>
      </w:pPr>
    </w:p>
    <w:p w14:paraId="3C7338D7" w14:textId="77777777" w:rsidR="00AC0449" w:rsidRDefault="00AC0449" w:rsidP="00AC0449">
      <w:pPr>
        <w:jc w:val="center"/>
        <w:rPr>
          <w:rFonts w:ascii="Times New Roman" w:hAnsi="Times New Roman" w:cs="Times New Roman"/>
          <w:b/>
          <w:bCs/>
          <w:sz w:val="28"/>
          <w:szCs w:val="28"/>
        </w:rPr>
      </w:pPr>
      <w:r w:rsidRPr="00AC0449">
        <w:rPr>
          <w:rFonts w:ascii="Times New Roman" w:hAnsi="Times New Roman" w:cs="Times New Roman"/>
          <w:b/>
          <w:bCs/>
          <w:sz w:val="28"/>
          <w:szCs w:val="28"/>
        </w:rPr>
        <w:t xml:space="preserve">CPSC-510-22 </w:t>
      </w:r>
    </w:p>
    <w:p w14:paraId="4A94AD98" w14:textId="40D4BD69" w:rsidR="00AC0449" w:rsidRDefault="00AC0449" w:rsidP="00AC0449">
      <w:pPr>
        <w:jc w:val="center"/>
        <w:rPr>
          <w:rFonts w:ascii="Times New Roman" w:hAnsi="Times New Roman" w:cs="Times New Roman"/>
          <w:b/>
          <w:bCs/>
          <w:sz w:val="28"/>
          <w:szCs w:val="28"/>
        </w:rPr>
      </w:pPr>
      <w:r w:rsidRPr="00AC0449">
        <w:rPr>
          <w:rFonts w:ascii="Times New Roman" w:hAnsi="Times New Roman" w:cs="Times New Roman"/>
          <w:b/>
          <w:bCs/>
          <w:sz w:val="28"/>
          <w:szCs w:val="28"/>
        </w:rPr>
        <w:t>Data Warehousing &amp; Visualization</w:t>
      </w:r>
    </w:p>
    <w:p w14:paraId="794721B2" w14:textId="77777777" w:rsidR="00AC0449" w:rsidRDefault="00AC0449" w:rsidP="00AC0449">
      <w:pPr>
        <w:jc w:val="center"/>
        <w:rPr>
          <w:rFonts w:ascii="Times New Roman" w:hAnsi="Times New Roman" w:cs="Times New Roman"/>
          <w:b/>
          <w:bCs/>
          <w:sz w:val="28"/>
          <w:szCs w:val="28"/>
        </w:rPr>
      </w:pPr>
    </w:p>
    <w:p w14:paraId="36BD2253" w14:textId="77777777" w:rsidR="00AC0449" w:rsidRDefault="00AC0449" w:rsidP="00AC0449">
      <w:pPr>
        <w:jc w:val="center"/>
        <w:rPr>
          <w:rFonts w:ascii="Times New Roman" w:hAnsi="Times New Roman" w:cs="Times New Roman"/>
          <w:b/>
          <w:bCs/>
          <w:sz w:val="28"/>
          <w:szCs w:val="28"/>
        </w:rPr>
      </w:pPr>
    </w:p>
    <w:p w14:paraId="2F1435F9" w14:textId="77777777" w:rsidR="00AC0449" w:rsidRPr="007B1A9C" w:rsidRDefault="00AC0449" w:rsidP="00AC0449">
      <w:pPr>
        <w:jc w:val="center"/>
        <w:rPr>
          <w:rFonts w:ascii="Times New Roman" w:hAnsi="Times New Roman" w:cs="Times New Roman"/>
          <w:b/>
          <w:bCs/>
          <w:sz w:val="28"/>
          <w:szCs w:val="28"/>
        </w:rPr>
      </w:pPr>
    </w:p>
    <w:p w14:paraId="44D48094" w14:textId="77777777" w:rsidR="00AC0449" w:rsidRPr="007B1A9C" w:rsidRDefault="00AC0449" w:rsidP="00AC0449">
      <w:pPr>
        <w:jc w:val="center"/>
        <w:rPr>
          <w:rFonts w:ascii="Times New Roman" w:hAnsi="Times New Roman" w:cs="Times New Roman"/>
          <w:b/>
          <w:bCs/>
          <w:sz w:val="28"/>
          <w:szCs w:val="28"/>
        </w:rPr>
      </w:pPr>
      <w:r w:rsidRPr="007B1A9C">
        <w:rPr>
          <w:rFonts w:ascii="Times New Roman" w:hAnsi="Times New Roman" w:cs="Times New Roman"/>
          <w:b/>
          <w:bCs/>
          <w:sz w:val="28"/>
          <w:szCs w:val="28"/>
        </w:rPr>
        <w:t>ISRAEL OSE OBOKOHWO</w:t>
      </w:r>
    </w:p>
    <w:p w14:paraId="275577DF" w14:textId="77777777" w:rsidR="00AC0449" w:rsidRPr="007B1A9C" w:rsidRDefault="00AC0449" w:rsidP="00AC0449">
      <w:pPr>
        <w:jc w:val="center"/>
        <w:rPr>
          <w:rFonts w:ascii="Times New Roman" w:hAnsi="Times New Roman" w:cs="Times New Roman"/>
          <w:b/>
          <w:bCs/>
          <w:sz w:val="28"/>
          <w:szCs w:val="28"/>
        </w:rPr>
      </w:pPr>
      <w:r w:rsidRPr="007B1A9C">
        <w:rPr>
          <w:rFonts w:ascii="Times New Roman" w:hAnsi="Times New Roman" w:cs="Times New Roman"/>
          <w:b/>
          <w:bCs/>
          <w:sz w:val="28"/>
          <w:szCs w:val="28"/>
        </w:rPr>
        <w:t>NF1041893</w:t>
      </w:r>
    </w:p>
    <w:p w14:paraId="14E47224" w14:textId="77777777" w:rsidR="00AC0449" w:rsidRDefault="00AC0449" w:rsidP="00AC0449">
      <w:pPr>
        <w:jc w:val="center"/>
        <w:rPr>
          <w:rFonts w:ascii="Times New Roman" w:hAnsi="Times New Roman" w:cs="Times New Roman"/>
          <w:b/>
          <w:bCs/>
          <w:sz w:val="28"/>
          <w:szCs w:val="28"/>
        </w:rPr>
      </w:pPr>
    </w:p>
    <w:p w14:paraId="1AFB9789" w14:textId="77777777" w:rsidR="00AC0449" w:rsidRDefault="00AC0449" w:rsidP="00AC0449">
      <w:pPr>
        <w:jc w:val="center"/>
        <w:rPr>
          <w:rFonts w:ascii="Times New Roman" w:hAnsi="Times New Roman" w:cs="Times New Roman"/>
          <w:b/>
          <w:bCs/>
          <w:sz w:val="28"/>
          <w:szCs w:val="28"/>
        </w:rPr>
      </w:pPr>
    </w:p>
    <w:p w14:paraId="40F12F0C" w14:textId="77777777" w:rsidR="00AC0449" w:rsidRDefault="00AC0449" w:rsidP="00AC0449">
      <w:pPr>
        <w:jc w:val="center"/>
        <w:rPr>
          <w:rFonts w:ascii="Times New Roman" w:hAnsi="Times New Roman" w:cs="Times New Roman"/>
          <w:b/>
          <w:bCs/>
          <w:sz w:val="28"/>
          <w:szCs w:val="28"/>
        </w:rPr>
      </w:pPr>
    </w:p>
    <w:p w14:paraId="01DC95F3" w14:textId="77777777" w:rsidR="00AC0449" w:rsidRDefault="00AC0449" w:rsidP="00AC0449">
      <w:pPr>
        <w:jc w:val="center"/>
        <w:rPr>
          <w:rFonts w:ascii="Times New Roman" w:hAnsi="Times New Roman" w:cs="Times New Roman"/>
          <w:b/>
          <w:bCs/>
          <w:sz w:val="28"/>
          <w:szCs w:val="28"/>
        </w:rPr>
      </w:pPr>
    </w:p>
    <w:p w14:paraId="06714846" w14:textId="77777777" w:rsidR="00AC0449" w:rsidRDefault="00AC0449" w:rsidP="00AC0449">
      <w:pPr>
        <w:jc w:val="center"/>
        <w:rPr>
          <w:rFonts w:ascii="Times New Roman" w:hAnsi="Times New Roman" w:cs="Times New Roman"/>
          <w:b/>
          <w:bCs/>
          <w:sz w:val="28"/>
          <w:szCs w:val="28"/>
        </w:rPr>
      </w:pPr>
    </w:p>
    <w:p w14:paraId="42EE535D" w14:textId="77777777" w:rsidR="00AC0449" w:rsidRDefault="00AC0449" w:rsidP="00AC0449">
      <w:pPr>
        <w:jc w:val="center"/>
        <w:rPr>
          <w:rFonts w:ascii="Times New Roman" w:hAnsi="Times New Roman" w:cs="Times New Roman"/>
          <w:b/>
          <w:bCs/>
          <w:sz w:val="28"/>
          <w:szCs w:val="28"/>
        </w:rPr>
      </w:pPr>
    </w:p>
    <w:p w14:paraId="4C00EE84" w14:textId="77777777" w:rsidR="00AC0449" w:rsidRDefault="00AC0449" w:rsidP="00AC0449">
      <w:pPr>
        <w:jc w:val="center"/>
        <w:rPr>
          <w:rFonts w:ascii="Times New Roman" w:hAnsi="Times New Roman" w:cs="Times New Roman"/>
          <w:b/>
          <w:bCs/>
          <w:sz w:val="28"/>
          <w:szCs w:val="28"/>
        </w:rPr>
      </w:pPr>
    </w:p>
    <w:p w14:paraId="5ACB2368" w14:textId="77777777" w:rsidR="00AC0449" w:rsidRDefault="00AC0449" w:rsidP="00AC0449">
      <w:pPr>
        <w:jc w:val="center"/>
        <w:rPr>
          <w:rFonts w:ascii="Times New Roman" w:hAnsi="Times New Roman" w:cs="Times New Roman"/>
          <w:b/>
          <w:bCs/>
          <w:sz w:val="28"/>
          <w:szCs w:val="28"/>
        </w:rPr>
      </w:pPr>
    </w:p>
    <w:p w14:paraId="3E1A245F" w14:textId="77777777" w:rsidR="00AC0449" w:rsidRPr="007B1A9C" w:rsidRDefault="00AC0449" w:rsidP="00AC0449">
      <w:pPr>
        <w:jc w:val="center"/>
        <w:rPr>
          <w:rFonts w:ascii="Times New Roman" w:hAnsi="Times New Roman" w:cs="Times New Roman"/>
          <w:b/>
          <w:bCs/>
          <w:sz w:val="28"/>
          <w:szCs w:val="28"/>
        </w:rPr>
      </w:pPr>
    </w:p>
    <w:p w14:paraId="0BF23751" w14:textId="77777777" w:rsidR="00AC0449" w:rsidRPr="007B1A9C" w:rsidRDefault="00AC0449" w:rsidP="00AC0449">
      <w:pPr>
        <w:jc w:val="center"/>
        <w:rPr>
          <w:rFonts w:ascii="Times New Roman" w:hAnsi="Times New Roman" w:cs="Times New Roman"/>
          <w:b/>
          <w:bCs/>
          <w:sz w:val="28"/>
          <w:szCs w:val="28"/>
        </w:rPr>
      </w:pPr>
      <w:r w:rsidRPr="007B1A9C">
        <w:rPr>
          <w:rFonts w:ascii="Times New Roman" w:hAnsi="Times New Roman" w:cs="Times New Roman"/>
          <w:b/>
          <w:bCs/>
          <w:sz w:val="28"/>
          <w:szCs w:val="28"/>
        </w:rPr>
        <w:t>University of Niagara Falls</w:t>
      </w:r>
    </w:p>
    <w:p w14:paraId="6640D9FE" w14:textId="77777777" w:rsidR="00AC0449" w:rsidRDefault="00AC0449" w:rsidP="00AC0449">
      <w:pPr>
        <w:jc w:val="center"/>
        <w:rPr>
          <w:rFonts w:ascii="Times New Roman" w:hAnsi="Times New Roman" w:cs="Times New Roman"/>
          <w:b/>
          <w:bCs/>
        </w:rPr>
      </w:pPr>
    </w:p>
    <w:p w14:paraId="60F7CE9F" w14:textId="77777777" w:rsidR="00AC0449" w:rsidRDefault="00AC0449" w:rsidP="00AC0449">
      <w:pPr>
        <w:jc w:val="center"/>
        <w:rPr>
          <w:rFonts w:ascii="Times New Roman" w:hAnsi="Times New Roman" w:cs="Times New Roman"/>
          <w:b/>
          <w:bCs/>
        </w:rPr>
      </w:pPr>
    </w:p>
    <w:p w14:paraId="51DA0206" w14:textId="30A1E4D1" w:rsidR="00AC0449" w:rsidRPr="00AC0449" w:rsidRDefault="00AC0449" w:rsidP="00AC0449">
      <w:pPr>
        <w:jc w:val="center"/>
        <w:rPr>
          <w:rFonts w:ascii="Times New Roman" w:hAnsi="Times New Roman" w:cs="Times New Roman"/>
          <w:b/>
          <w:bCs/>
        </w:rPr>
      </w:pPr>
      <w:proofErr w:type="gramStart"/>
      <w:r>
        <w:rPr>
          <w:rFonts w:ascii="Times New Roman" w:hAnsi="Times New Roman" w:cs="Times New Roman"/>
          <w:b/>
          <w:bCs/>
        </w:rPr>
        <w:t>August,</w:t>
      </w:r>
      <w:proofErr w:type="gramEnd"/>
      <w:r>
        <w:rPr>
          <w:rFonts w:ascii="Times New Roman" w:hAnsi="Times New Roman" w:cs="Times New Roman"/>
          <w:b/>
          <w:bCs/>
        </w:rPr>
        <w:t xml:space="preserve"> 2026</w:t>
      </w:r>
    </w:p>
    <w:p w14:paraId="59CDA9E5" w14:textId="77777777" w:rsidR="00AC0449" w:rsidRDefault="00AC0449" w:rsidP="00AC0449">
      <w:pPr>
        <w:spacing w:after="160" w:line="278" w:lineRule="auto"/>
        <w:ind w:left="0" w:firstLine="0"/>
        <w:jc w:val="both"/>
        <w:rPr>
          <w:rFonts w:ascii="Times New Roman" w:hAnsi="Times New Roman" w:cs="Times New Roman"/>
          <w:b/>
          <w:bCs/>
          <w:color w:val="auto"/>
          <w:sz w:val="24"/>
        </w:rPr>
      </w:pPr>
      <w:r>
        <w:br w:type="page"/>
      </w:r>
      <w:r w:rsidR="00000000" w:rsidRPr="00AC0449">
        <w:rPr>
          <w:rFonts w:ascii="Times New Roman" w:hAnsi="Times New Roman" w:cs="Times New Roman"/>
          <w:b/>
          <w:bCs/>
          <w:color w:val="auto"/>
          <w:sz w:val="24"/>
        </w:rPr>
        <w:lastRenderedPageBreak/>
        <w:t>Dataset Description</w:t>
      </w:r>
    </w:p>
    <w:p w14:paraId="5EEFFDF7" w14:textId="77777777" w:rsidR="00AC0449" w:rsidRDefault="00000000" w:rsidP="00AC0449">
      <w:pPr>
        <w:spacing w:after="160" w:line="278" w:lineRule="auto"/>
        <w:ind w:left="0" w:firstLine="0"/>
        <w:jc w:val="both"/>
        <w:rPr>
          <w:rFonts w:ascii="Times New Roman" w:hAnsi="Times New Roman" w:cs="Times New Roman"/>
          <w:color w:val="auto"/>
          <w:sz w:val="24"/>
        </w:rPr>
      </w:pPr>
      <w:r w:rsidRPr="00AC0449">
        <w:rPr>
          <w:rFonts w:ascii="Times New Roman" w:hAnsi="Times New Roman" w:cs="Times New Roman"/>
          <w:color w:val="auto"/>
          <w:sz w:val="24"/>
        </w:rPr>
        <w:t>The source data models hospital and clinic activity as a set of eight files: one fact table (</w:t>
      </w:r>
      <w:proofErr w:type="spellStart"/>
      <w:r w:rsidRPr="00AC0449">
        <w:rPr>
          <w:rFonts w:ascii="Times New Roman" w:hAnsi="Times New Roman" w:cs="Times New Roman"/>
          <w:color w:val="auto"/>
          <w:sz w:val="24"/>
        </w:rPr>
        <w:t>FactEncounter</w:t>
      </w:r>
      <w:proofErr w:type="spellEnd"/>
      <w:r w:rsidRPr="00AC0449">
        <w:rPr>
          <w:rFonts w:ascii="Times New Roman" w:hAnsi="Times New Roman" w:cs="Times New Roman"/>
          <w:color w:val="auto"/>
          <w:sz w:val="24"/>
        </w:rPr>
        <w:t xml:space="preserve">, 1,500 rows) and </w:t>
      </w:r>
      <w:proofErr w:type="gramStart"/>
      <w:r w:rsidRPr="00AC0449">
        <w:rPr>
          <w:rFonts w:ascii="Times New Roman" w:hAnsi="Times New Roman" w:cs="Times New Roman"/>
          <w:color w:val="auto"/>
          <w:sz w:val="24"/>
        </w:rPr>
        <w:t>seven dimension</w:t>
      </w:r>
      <w:proofErr w:type="gramEnd"/>
      <w:r w:rsidRPr="00AC0449">
        <w:rPr>
          <w:rFonts w:ascii="Times New Roman" w:hAnsi="Times New Roman" w:cs="Times New Roman"/>
          <w:color w:val="auto"/>
          <w:sz w:val="24"/>
        </w:rPr>
        <w:t xml:space="preserve"> tables (Date, Patient, Provider, Facility, Diagnosis, Procedure, and Payer). Each row in </w:t>
      </w:r>
      <w:proofErr w:type="spellStart"/>
      <w:r w:rsidRPr="00AC0449">
        <w:rPr>
          <w:rFonts w:ascii="Times New Roman" w:hAnsi="Times New Roman" w:cs="Times New Roman"/>
          <w:color w:val="auto"/>
          <w:sz w:val="24"/>
        </w:rPr>
        <w:t>FactEncounter</w:t>
      </w:r>
      <w:proofErr w:type="spellEnd"/>
      <w:r w:rsidRPr="00AC0449">
        <w:rPr>
          <w:rFonts w:ascii="Times New Roman" w:hAnsi="Times New Roman" w:cs="Times New Roman"/>
          <w:color w:val="auto"/>
          <w:sz w:val="24"/>
        </w:rPr>
        <w:t xml:space="preserve"> represents a single patient encounter and carries the billing amounts, length of stay, and a readmission flag, alongside foreign keys to every dimension. The dimensions describe 479 distinct patients, 10 facilities across four states, 40 providers, 20 diagnosis codes grouped into Acute or Chronic, and 15 procedures grouped into Lab, Surgery, or Imaging.</w:t>
      </w:r>
    </w:p>
    <w:p w14:paraId="050F8E87" w14:textId="77777777" w:rsidR="00AC0449" w:rsidRDefault="00000000" w:rsidP="00AC0449">
      <w:pPr>
        <w:spacing w:after="160" w:line="278" w:lineRule="auto"/>
        <w:ind w:left="0" w:firstLine="0"/>
        <w:jc w:val="both"/>
        <w:rPr>
          <w:rFonts w:ascii="Times New Roman" w:hAnsi="Times New Roman" w:cs="Times New Roman"/>
          <w:b/>
          <w:bCs/>
          <w:color w:val="auto"/>
          <w:sz w:val="24"/>
        </w:rPr>
      </w:pPr>
      <w:r w:rsidRPr="00AC0449">
        <w:rPr>
          <w:rFonts w:ascii="Times New Roman" w:hAnsi="Times New Roman" w:cs="Times New Roman"/>
          <w:b/>
          <w:bCs/>
          <w:color w:val="auto"/>
          <w:sz w:val="24"/>
        </w:rPr>
        <w:t>Summary of ETL Steps (Power Query)</w:t>
      </w:r>
    </w:p>
    <w:p w14:paraId="2CD867B9" w14:textId="77777777" w:rsidR="00AC0449" w:rsidRDefault="00AC0449" w:rsidP="00AC0449">
      <w:pPr>
        <w:spacing w:after="160" w:line="278" w:lineRule="auto"/>
        <w:ind w:left="0" w:firstLine="0"/>
        <w:jc w:val="both"/>
        <w:rPr>
          <w:rFonts w:ascii="Times New Roman" w:hAnsi="Times New Roman" w:cs="Times New Roman"/>
          <w:color w:val="auto"/>
          <w:sz w:val="24"/>
        </w:rPr>
      </w:pPr>
      <w:r w:rsidRPr="00AC0449">
        <w:rPr>
          <w:rFonts w:ascii="Times New Roman" w:hAnsi="Times New Roman" w:cs="Times New Roman"/>
          <w:color w:val="auto"/>
          <w:sz w:val="24"/>
        </w:rPr>
        <w:t>First, I</w:t>
      </w:r>
      <w:r>
        <w:rPr>
          <w:rFonts w:ascii="Times New Roman" w:hAnsi="Times New Roman" w:cs="Times New Roman"/>
          <w:b/>
          <w:bCs/>
          <w:color w:val="auto"/>
          <w:sz w:val="24"/>
        </w:rPr>
        <w:t xml:space="preserve"> </w:t>
      </w:r>
      <w:r w:rsidR="00000000" w:rsidRPr="00AC0449">
        <w:rPr>
          <w:rFonts w:ascii="Times New Roman" w:hAnsi="Times New Roman" w:cs="Times New Roman"/>
          <w:color w:val="auto"/>
          <w:sz w:val="24"/>
        </w:rPr>
        <w:t xml:space="preserve">Imported all eight tables and renamed each for readability (e.g. </w:t>
      </w:r>
      <w:proofErr w:type="spellStart"/>
      <w:r w:rsidR="00000000" w:rsidRPr="00AC0449">
        <w:rPr>
          <w:rFonts w:ascii="Times New Roman" w:hAnsi="Times New Roman" w:cs="Times New Roman"/>
          <w:color w:val="auto"/>
          <w:sz w:val="24"/>
        </w:rPr>
        <w:t>DimDate</w:t>
      </w:r>
      <w:proofErr w:type="spellEnd"/>
      <w:r w:rsidR="00000000" w:rsidRPr="00AC0449">
        <w:rPr>
          <w:rFonts w:ascii="Times New Roman" w:hAnsi="Times New Roman" w:cs="Times New Roman"/>
          <w:color w:val="auto"/>
          <w:sz w:val="24"/>
        </w:rPr>
        <w:t xml:space="preserve"> to Calendar Table, </w:t>
      </w:r>
      <w:proofErr w:type="spellStart"/>
      <w:r w:rsidR="00000000" w:rsidRPr="00AC0449">
        <w:rPr>
          <w:rFonts w:ascii="Times New Roman" w:hAnsi="Times New Roman" w:cs="Times New Roman"/>
          <w:color w:val="auto"/>
          <w:sz w:val="24"/>
        </w:rPr>
        <w:t>DimPatient</w:t>
      </w:r>
      <w:proofErr w:type="spellEnd"/>
      <w:r w:rsidR="00000000" w:rsidRPr="00AC0449">
        <w:rPr>
          <w:rFonts w:ascii="Times New Roman" w:hAnsi="Times New Roman" w:cs="Times New Roman"/>
          <w:color w:val="auto"/>
          <w:sz w:val="24"/>
        </w:rPr>
        <w:t xml:space="preserve"> to Patient Table, </w:t>
      </w:r>
      <w:proofErr w:type="spellStart"/>
      <w:r w:rsidR="00000000" w:rsidRPr="00AC0449">
        <w:rPr>
          <w:rFonts w:ascii="Times New Roman" w:hAnsi="Times New Roman" w:cs="Times New Roman"/>
          <w:color w:val="auto"/>
          <w:sz w:val="24"/>
        </w:rPr>
        <w:t>DimFacility</w:t>
      </w:r>
      <w:proofErr w:type="spellEnd"/>
      <w:r w:rsidR="00000000" w:rsidRPr="00AC0449">
        <w:rPr>
          <w:rFonts w:ascii="Times New Roman" w:hAnsi="Times New Roman" w:cs="Times New Roman"/>
          <w:color w:val="auto"/>
          <w:sz w:val="24"/>
        </w:rPr>
        <w:t xml:space="preserve"> to Facility Table), so </w:t>
      </w:r>
      <w:r>
        <w:rPr>
          <w:rFonts w:ascii="Times New Roman" w:hAnsi="Times New Roman" w:cs="Times New Roman"/>
          <w:color w:val="auto"/>
          <w:sz w:val="24"/>
        </w:rPr>
        <w:t>it could be interpreted easily</w:t>
      </w:r>
      <w:r w:rsidR="00000000" w:rsidRPr="00AC0449">
        <w:rPr>
          <w:rFonts w:ascii="Times New Roman" w:hAnsi="Times New Roman" w:cs="Times New Roman"/>
          <w:color w:val="auto"/>
          <w:sz w:val="24"/>
        </w:rPr>
        <w:t>.</w:t>
      </w:r>
    </w:p>
    <w:p w14:paraId="4A0D58A2" w14:textId="77777777" w:rsidR="00AC0449" w:rsidRDefault="00000000" w:rsidP="00AC0449">
      <w:pPr>
        <w:spacing w:after="160" w:line="278" w:lineRule="auto"/>
        <w:ind w:left="0" w:firstLine="0"/>
        <w:jc w:val="both"/>
        <w:rPr>
          <w:rFonts w:ascii="Times New Roman" w:hAnsi="Times New Roman" w:cs="Times New Roman"/>
          <w:color w:val="auto"/>
          <w:sz w:val="24"/>
        </w:rPr>
      </w:pPr>
      <w:r w:rsidRPr="00AC0449">
        <w:rPr>
          <w:rFonts w:ascii="Times New Roman" w:hAnsi="Times New Roman" w:cs="Times New Roman"/>
          <w:color w:val="auto"/>
          <w:sz w:val="24"/>
        </w:rPr>
        <w:t xml:space="preserve">Profiled every table using the column quality and column distribution tools. This is where the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corruption surfaced: roughly a quarter of encounters carried a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that does not correspond to a real calendar date.</w:t>
      </w:r>
      <w:r w:rsidR="00AC0449">
        <w:rPr>
          <w:rFonts w:ascii="Times New Roman" w:hAnsi="Times New Roman" w:cs="Times New Roman"/>
          <w:color w:val="auto"/>
          <w:sz w:val="24"/>
        </w:rPr>
        <w:t xml:space="preserve"> I r</w:t>
      </w:r>
      <w:r w:rsidRPr="00AC0449">
        <w:rPr>
          <w:rFonts w:ascii="Times New Roman" w:hAnsi="Times New Roman" w:cs="Times New Roman"/>
          <w:color w:val="auto"/>
          <w:sz w:val="24"/>
        </w:rPr>
        <w:t xml:space="preserve">ebuilt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from </w:t>
      </w:r>
      <w:proofErr w:type="spellStart"/>
      <w:r w:rsidRPr="00AC0449">
        <w:rPr>
          <w:rFonts w:ascii="Times New Roman" w:hAnsi="Times New Roman" w:cs="Times New Roman"/>
          <w:color w:val="auto"/>
          <w:sz w:val="24"/>
        </w:rPr>
        <w:t>AdmissionDateID</w:t>
      </w:r>
      <w:proofErr w:type="spellEnd"/>
      <w:r w:rsidRPr="00AC0449">
        <w:rPr>
          <w:rFonts w:ascii="Times New Roman" w:hAnsi="Times New Roman" w:cs="Times New Roman"/>
          <w:color w:val="auto"/>
          <w:sz w:val="24"/>
        </w:rPr>
        <w:t xml:space="preserve"> and </w:t>
      </w:r>
      <w:proofErr w:type="spellStart"/>
      <w:r w:rsidRPr="00AC0449">
        <w:rPr>
          <w:rFonts w:ascii="Times New Roman" w:hAnsi="Times New Roman" w:cs="Times New Roman"/>
          <w:color w:val="auto"/>
          <w:sz w:val="24"/>
        </w:rPr>
        <w:t>LengthOfStay</w:t>
      </w:r>
      <w:proofErr w:type="spellEnd"/>
      <w:r w:rsidRPr="00AC0449">
        <w:rPr>
          <w:rFonts w:ascii="Times New Roman" w:hAnsi="Times New Roman" w:cs="Times New Roman"/>
          <w:color w:val="auto"/>
          <w:sz w:val="24"/>
        </w:rPr>
        <w:t xml:space="preserve"> using </w:t>
      </w:r>
      <w:proofErr w:type="spellStart"/>
      <w:r w:rsidRPr="00AC0449">
        <w:rPr>
          <w:rFonts w:ascii="Times New Roman" w:hAnsi="Times New Roman" w:cs="Times New Roman"/>
          <w:color w:val="auto"/>
          <w:sz w:val="24"/>
        </w:rPr>
        <w:t>Date.AddDays</w:t>
      </w:r>
      <w:proofErr w:type="spellEnd"/>
      <w:r w:rsidRPr="00AC0449">
        <w:rPr>
          <w:rFonts w:ascii="Times New Roman" w:hAnsi="Times New Roman" w:cs="Times New Roman"/>
          <w:color w:val="auto"/>
          <w:sz w:val="24"/>
        </w:rPr>
        <w:t xml:space="preserve">, then converted the result back to the </w:t>
      </w:r>
      <w:proofErr w:type="spellStart"/>
      <w:r w:rsidRPr="00AC0449">
        <w:rPr>
          <w:rFonts w:ascii="Times New Roman" w:hAnsi="Times New Roman" w:cs="Times New Roman"/>
          <w:color w:val="auto"/>
          <w:sz w:val="24"/>
        </w:rPr>
        <w:t>yyyymmdd</w:t>
      </w:r>
      <w:proofErr w:type="spellEnd"/>
      <w:r w:rsidRPr="00AC0449">
        <w:rPr>
          <w:rFonts w:ascii="Times New Roman" w:hAnsi="Times New Roman" w:cs="Times New Roman"/>
          <w:color w:val="auto"/>
          <w:sz w:val="24"/>
        </w:rPr>
        <w:t xml:space="preserve"> integer key so it still joins to the Calendar table. This replaced the corrupted values without discarding the underlying admission or stay data.</w:t>
      </w:r>
    </w:p>
    <w:p w14:paraId="0E3E9602" w14:textId="77777777" w:rsidR="00AC0449" w:rsidRDefault="00AC0449" w:rsidP="00AC0449">
      <w:pPr>
        <w:spacing w:after="160" w:line="278" w:lineRule="auto"/>
        <w:ind w:left="0" w:firstLine="0"/>
        <w:jc w:val="both"/>
        <w:rPr>
          <w:rFonts w:ascii="Times New Roman" w:hAnsi="Times New Roman" w:cs="Times New Roman"/>
          <w:color w:val="auto"/>
          <w:sz w:val="24"/>
        </w:rPr>
      </w:pPr>
      <w:r>
        <w:rPr>
          <w:rFonts w:ascii="Times New Roman" w:hAnsi="Times New Roman" w:cs="Times New Roman"/>
          <w:color w:val="auto"/>
          <w:sz w:val="24"/>
        </w:rPr>
        <w:t>I also a</w:t>
      </w:r>
      <w:r w:rsidR="00000000" w:rsidRPr="00AC0449">
        <w:rPr>
          <w:rFonts w:ascii="Times New Roman" w:hAnsi="Times New Roman" w:cs="Times New Roman"/>
          <w:color w:val="auto"/>
          <w:sz w:val="24"/>
        </w:rPr>
        <w:t>dded calculated columns to the Calendar table</w:t>
      </w:r>
      <w:r>
        <w:rPr>
          <w:rFonts w:ascii="Times New Roman" w:hAnsi="Times New Roman" w:cs="Times New Roman"/>
          <w:color w:val="auto"/>
          <w:sz w:val="24"/>
        </w:rPr>
        <w:t xml:space="preserve"> “</w:t>
      </w:r>
      <w:r w:rsidR="00000000" w:rsidRPr="00AC0449">
        <w:rPr>
          <w:rFonts w:ascii="Times New Roman" w:hAnsi="Times New Roman" w:cs="Times New Roman"/>
          <w:color w:val="auto"/>
          <w:sz w:val="24"/>
        </w:rPr>
        <w:t>Start of the Year, Start of the Quarter, Start of the Month, Month Name, and Week of the Year</w:t>
      </w:r>
      <w:r>
        <w:rPr>
          <w:rFonts w:ascii="Times New Roman" w:hAnsi="Times New Roman" w:cs="Times New Roman"/>
          <w:color w:val="auto"/>
          <w:sz w:val="24"/>
        </w:rPr>
        <w:t xml:space="preserve">” </w:t>
      </w:r>
      <w:r w:rsidR="00000000" w:rsidRPr="00AC0449">
        <w:rPr>
          <w:rFonts w:ascii="Times New Roman" w:hAnsi="Times New Roman" w:cs="Times New Roman"/>
          <w:color w:val="auto"/>
          <w:sz w:val="24"/>
        </w:rPr>
        <w:t>using the built-in Date functions in Power Query.</w:t>
      </w:r>
    </w:p>
    <w:p w14:paraId="33D41E30" w14:textId="77777777" w:rsidR="00AC0449" w:rsidRDefault="00AC0449" w:rsidP="00AC0449">
      <w:pPr>
        <w:spacing w:after="160" w:line="278" w:lineRule="auto"/>
        <w:ind w:left="0" w:firstLine="0"/>
        <w:jc w:val="both"/>
        <w:rPr>
          <w:rFonts w:ascii="Times New Roman" w:hAnsi="Times New Roman" w:cs="Times New Roman"/>
          <w:color w:val="auto"/>
          <w:sz w:val="24"/>
        </w:rPr>
      </w:pPr>
      <w:r>
        <w:rPr>
          <w:rFonts w:ascii="Times New Roman" w:hAnsi="Times New Roman" w:cs="Times New Roman"/>
          <w:color w:val="auto"/>
          <w:sz w:val="24"/>
        </w:rPr>
        <w:t>I c</w:t>
      </w:r>
      <w:r w:rsidR="00000000" w:rsidRPr="00AC0449">
        <w:rPr>
          <w:rFonts w:ascii="Times New Roman" w:hAnsi="Times New Roman" w:cs="Times New Roman"/>
          <w:color w:val="auto"/>
          <w:sz w:val="24"/>
        </w:rPr>
        <w:t xml:space="preserve">reated Patient Profile in the Patient table by combining Gender, </w:t>
      </w:r>
      <w:proofErr w:type="spellStart"/>
      <w:r w:rsidR="00000000" w:rsidRPr="00AC0449">
        <w:rPr>
          <w:rFonts w:ascii="Times New Roman" w:hAnsi="Times New Roman" w:cs="Times New Roman"/>
          <w:color w:val="auto"/>
          <w:sz w:val="24"/>
        </w:rPr>
        <w:t>AgeGroup</w:t>
      </w:r>
      <w:proofErr w:type="spellEnd"/>
      <w:r w:rsidR="00000000" w:rsidRPr="00AC0449">
        <w:rPr>
          <w:rFonts w:ascii="Times New Roman" w:hAnsi="Times New Roman" w:cs="Times New Roman"/>
          <w:color w:val="auto"/>
          <w:sz w:val="24"/>
        </w:rPr>
        <w:t>, and State with a comma separator, giving a single readable descriptor per patient for use in tooltips and matrix rows.</w:t>
      </w:r>
    </w:p>
    <w:p w14:paraId="156AA328" w14:textId="77777777" w:rsidR="00AC0449" w:rsidRDefault="00AC0449" w:rsidP="00AC0449">
      <w:pPr>
        <w:spacing w:after="160" w:line="278" w:lineRule="auto"/>
        <w:ind w:left="0" w:firstLine="0"/>
        <w:jc w:val="both"/>
        <w:rPr>
          <w:rFonts w:ascii="Times New Roman" w:hAnsi="Times New Roman" w:cs="Times New Roman"/>
          <w:color w:val="auto"/>
          <w:sz w:val="24"/>
        </w:rPr>
      </w:pPr>
      <w:r>
        <w:rPr>
          <w:rFonts w:ascii="Times New Roman" w:hAnsi="Times New Roman" w:cs="Times New Roman"/>
          <w:color w:val="auto"/>
          <w:sz w:val="24"/>
        </w:rPr>
        <w:t>I c</w:t>
      </w:r>
      <w:r w:rsidR="00000000" w:rsidRPr="00AC0449">
        <w:rPr>
          <w:rFonts w:ascii="Times New Roman" w:hAnsi="Times New Roman" w:cs="Times New Roman"/>
          <w:color w:val="auto"/>
          <w:sz w:val="24"/>
        </w:rPr>
        <w:t xml:space="preserve">onverted the numeric </w:t>
      </w:r>
      <w:proofErr w:type="spellStart"/>
      <w:r w:rsidR="00000000" w:rsidRPr="00AC0449">
        <w:rPr>
          <w:rFonts w:ascii="Times New Roman" w:hAnsi="Times New Roman" w:cs="Times New Roman"/>
          <w:color w:val="auto"/>
          <w:sz w:val="24"/>
        </w:rPr>
        <w:t>ReadmissionFlag</w:t>
      </w:r>
      <w:proofErr w:type="spellEnd"/>
      <w:r w:rsidR="00000000" w:rsidRPr="00AC0449">
        <w:rPr>
          <w:rFonts w:ascii="Times New Roman" w:hAnsi="Times New Roman" w:cs="Times New Roman"/>
          <w:color w:val="auto"/>
          <w:sz w:val="24"/>
        </w:rPr>
        <w:t xml:space="preserve"> into a readable Readmission Category column (Yes for 1, No for 0) using a conditional column.</w:t>
      </w:r>
    </w:p>
    <w:p w14:paraId="70AB5C35" w14:textId="5D638479" w:rsidR="00A51DFE" w:rsidRPr="00AC0449" w:rsidRDefault="00AC0449" w:rsidP="00AC0449">
      <w:pPr>
        <w:spacing w:after="160" w:line="278" w:lineRule="auto"/>
        <w:ind w:left="0" w:firstLine="0"/>
        <w:jc w:val="both"/>
        <w:rPr>
          <w:rFonts w:ascii="Times New Roman" w:hAnsi="Times New Roman" w:cs="Times New Roman"/>
          <w:color w:val="auto"/>
          <w:sz w:val="24"/>
        </w:rPr>
      </w:pPr>
      <w:r>
        <w:rPr>
          <w:rFonts w:ascii="Times New Roman" w:hAnsi="Times New Roman" w:cs="Times New Roman"/>
          <w:color w:val="auto"/>
          <w:sz w:val="24"/>
        </w:rPr>
        <w:t>I c</w:t>
      </w:r>
      <w:r w:rsidR="00000000" w:rsidRPr="00AC0449">
        <w:rPr>
          <w:rFonts w:ascii="Times New Roman" w:hAnsi="Times New Roman" w:cs="Times New Roman"/>
          <w:color w:val="auto"/>
          <w:sz w:val="24"/>
        </w:rPr>
        <w:t>hecked every table for missing values, empty strings, and inconsistent types; none of the dimension tables required further cleaning beyond correct type assignment (whole number keys, text categories).</w:t>
      </w:r>
    </w:p>
    <w:p w14:paraId="6B3BF6FD" w14:textId="77777777" w:rsidR="00AC0449" w:rsidRDefault="00000000" w:rsidP="00AC0449">
      <w:pPr>
        <w:ind w:left="0" w:firstLine="0"/>
        <w:jc w:val="both"/>
        <w:rPr>
          <w:rFonts w:ascii="Times New Roman" w:hAnsi="Times New Roman" w:cs="Times New Roman"/>
          <w:b/>
          <w:bCs/>
          <w:color w:val="auto"/>
          <w:sz w:val="24"/>
        </w:rPr>
      </w:pPr>
      <w:r w:rsidRPr="00AC0449">
        <w:rPr>
          <w:rFonts w:ascii="Times New Roman" w:hAnsi="Times New Roman" w:cs="Times New Roman"/>
          <w:b/>
          <w:bCs/>
          <w:color w:val="auto"/>
          <w:sz w:val="24"/>
        </w:rPr>
        <w:t>Data Model</w:t>
      </w:r>
    </w:p>
    <w:p w14:paraId="2B058288" w14:textId="5805A29B" w:rsidR="00A51DFE" w:rsidRPr="00AC0449" w:rsidRDefault="00000000" w:rsidP="00AC0449">
      <w:pPr>
        <w:ind w:left="0" w:firstLine="0"/>
        <w:jc w:val="both"/>
        <w:rPr>
          <w:rFonts w:ascii="Times New Roman" w:hAnsi="Times New Roman" w:cs="Times New Roman"/>
          <w:color w:val="auto"/>
          <w:sz w:val="24"/>
        </w:rPr>
      </w:pPr>
      <w:r w:rsidRPr="00AC0449">
        <w:rPr>
          <w:rFonts w:ascii="Times New Roman" w:hAnsi="Times New Roman" w:cs="Times New Roman"/>
          <w:color w:val="auto"/>
          <w:sz w:val="24"/>
        </w:rPr>
        <w:t xml:space="preserve">The model follows a star schema. </w:t>
      </w:r>
      <w:proofErr w:type="spellStart"/>
      <w:r w:rsidRPr="00AC0449">
        <w:rPr>
          <w:rFonts w:ascii="Times New Roman" w:hAnsi="Times New Roman" w:cs="Times New Roman"/>
          <w:color w:val="auto"/>
          <w:sz w:val="24"/>
        </w:rPr>
        <w:t>FactEncounter</w:t>
      </w:r>
      <w:proofErr w:type="spellEnd"/>
      <w:r w:rsidRPr="00AC0449">
        <w:rPr>
          <w:rFonts w:ascii="Times New Roman" w:hAnsi="Times New Roman" w:cs="Times New Roman"/>
          <w:color w:val="auto"/>
          <w:sz w:val="24"/>
        </w:rPr>
        <w:t xml:space="preserve"> sits at the centre and connects to every dimension through single-direction, one-to-many relationships on the surrogate keys (</w:t>
      </w:r>
      <w:proofErr w:type="spellStart"/>
      <w:r w:rsidRPr="00AC0449">
        <w:rPr>
          <w:rFonts w:ascii="Times New Roman" w:hAnsi="Times New Roman" w:cs="Times New Roman"/>
          <w:color w:val="auto"/>
          <w:sz w:val="24"/>
        </w:rPr>
        <w:t>PatientID</w:t>
      </w:r>
      <w:proofErr w:type="spellEnd"/>
      <w:r w:rsidRPr="00AC0449">
        <w:rPr>
          <w:rFonts w:ascii="Times New Roman" w:hAnsi="Times New Roman" w:cs="Times New Roman"/>
          <w:color w:val="auto"/>
          <w:sz w:val="24"/>
        </w:rPr>
        <w:t xml:space="preserve">, </w:t>
      </w:r>
      <w:proofErr w:type="spellStart"/>
      <w:r w:rsidRPr="00AC0449">
        <w:rPr>
          <w:rFonts w:ascii="Times New Roman" w:hAnsi="Times New Roman" w:cs="Times New Roman"/>
          <w:color w:val="auto"/>
          <w:sz w:val="24"/>
        </w:rPr>
        <w:t>ProviderID</w:t>
      </w:r>
      <w:proofErr w:type="spellEnd"/>
      <w:r w:rsidRPr="00AC0449">
        <w:rPr>
          <w:rFonts w:ascii="Times New Roman" w:hAnsi="Times New Roman" w:cs="Times New Roman"/>
          <w:color w:val="auto"/>
          <w:sz w:val="24"/>
        </w:rPr>
        <w:t xml:space="preserve">, </w:t>
      </w:r>
      <w:proofErr w:type="spellStart"/>
      <w:r w:rsidRPr="00AC0449">
        <w:rPr>
          <w:rFonts w:ascii="Times New Roman" w:hAnsi="Times New Roman" w:cs="Times New Roman"/>
          <w:color w:val="auto"/>
          <w:sz w:val="24"/>
        </w:rPr>
        <w:t>FacilityID</w:t>
      </w:r>
      <w:proofErr w:type="spellEnd"/>
      <w:r w:rsidRPr="00AC0449">
        <w:rPr>
          <w:rFonts w:ascii="Times New Roman" w:hAnsi="Times New Roman" w:cs="Times New Roman"/>
          <w:color w:val="auto"/>
          <w:sz w:val="24"/>
        </w:rPr>
        <w:t xml:space="preserve">, </w:t>
      </w:r>
      <w:proofErr w:type="spellStart"/>
      <w:r w:rsidRPr="00AC0449">
        <w:rPr>
          <w:rFonts w:ascii="Times New Roman" w:hAnsi="Times New Roman" w:cs="Times New Roman"/>
          <w:color w:val="auto"/>
          <w:sz w:val="24"/>
        </w:rPr>
        <w:t>DiagnosisID</w:t>
      </w:r>
      <w:proofErr w:type="spellEnd"/>
      <w:r w:rsidRPr="00AC0449">
        <w:rPr>
          <w:rFonts w:ascii="Times New Roman" w:hAnsi="Times New Roman" w:cs="Times New Roman"/>
          <w:color w:val="auto"/>
          <w:sz w:val="24"/>
        </w:rPr>
        <w:t xml:space="preserve">, </w:t>
      </w:r>
      <w:proofErr w:type="spellStart"/>
      <w:r w:rsidRPr="00AC0449">
        <w:rPr>
          <w:rFonts w:ascii="Times New Roman" w:hAnsi="Times New Roman" w:cs="Times New Roman"/>
          <w:color w:val="auto"/>
          <w:sz w:val="24"/>
        </w:rPr>
        <w:t>ProcedureID</w:t>
      </w:r>
      <w:proofErr w:type="spellEnd"/>
      <w:r w:rsidRPr="00AC0449">
        <w:rPr>
          <w:rFonts w:ascii="Times New Roman" w:hAnsi="Times New Roman" w:cs="Times New Roman"/>
          <w:color w:val="auto"/>
          <w:sz w:val="24"/>
        </w:rPr>
        <w:t xml:space="preserve">, </w:t>
      </w:r>
      <w:proofErr w:type="spellStart"/>
      <w:r w:rsidRPr="00AC0449">
        <w:rPr>
          <w:rFonts w:ascii="Times New Roman" w:hAnsi="Times New Roman" w:cs="Times New Roman"/>
          <w:color w:val="auto"/>
          <w:sz w:val="24"/>
        </w:rPr>
        <w:t>PayerID</w:t>
      </w:r>
      <w:proofErr w:type="spellEnd"/>
      <w:r w:rsidRPr="00AC0449">
        <w:rPr>
          <w:rFonts w:ascii="Times New Roman" w:hAnsi="Times New Roman" w:cs="Times New Roman"/>
          <w:color w:val="auto"/>
          <w:sz w:val="24"/>
        </w:rPr>
        <w:t xml:space="preserve">). The Calendar table </w:t>
      </w:r>
      <w:proofErr w:type="gramStart"/>
      <w:r w:rsidRPr="00AC0449">
        <w:rPr>
          <w:rFonts w:ascii="Times New Roman" w:hAnsi="Times New Roman" w:cs="Times New Roman"/>
          <w:color w:val="auto"/>
          <w:sz w:val="24"/>
        </w:rPr>
        <w:t>connects on</w:t>
      </w:r>
      <w:proofErr w:type="gramEnd"/>
      <w:r w:rsidRPr="00AC0449">
        <w:rPr>
          <w:rFonts w:ascii="Times New Roman" w:hAnsi="Times New Roman" w:cs="Times New Roman"/>
          <w:color w:val="auto"/>
          <w:sz w:val="24"/>
        </w:rPr>
        <w:t xml:space="preserve"> </w:t>
      </w:r>
      <w:proofErr w:type="spellStart"/>
      <w:r w:rsidRPr="00AC0449">
        <w:rPr>
          <w:rFonts w:ascii="Times New Roman" w:hAnsi="Times New Roman" w:cs="Times New Roman"/>
          <w:color w:val="auto"/>
          <w:sz w:val="24"/>
        </w:rPr>
        <w:t>AdmissionDateID</w:t>
      </w:r>
      <w:proofErr w:type="spellEnd"/>
      <w:r w:rsidRPr="00AC0449">
        <w:rPr>
          <w:rFonts w:ascii="Times New Roman" w:hAnsi="Times New Roman" w:cs="Times New Roman"/>
          <w:color w:val="auto"/>
          <w:sz w:val="24"/>
        </w:rPr>
        <w:t xml:space="preserve"> as the active relationship, which drives all time-based visuals and time-intelligence measures. A second relationship from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to Calendar is kept inactive, since a fact table can only actively relate to a date table once, and is invoked explicitly with USERELATIONSHIP where a discharge-based view is needed. Calendar is marked as an official Date Table on </w:t>
      </w:r>
      <w:proofErr w:type="spellStart"/>
      <w:r w:rsidRPr="00AC0449">
        <w:rPr>
          <w:rFonts w:ascii="Times New Roman" w:hAnsi="Times New Roman" w:cs="Times New Roman"/>
          <w:color w:val="auto"/>
          <w:sz w:val="24"/>
        </w:rPr>
        <w:t>FullDate</w:t>
      </w:r>
      <w:proofErr w:type="spellEnd"/>
      <w:r w:rsidRPr="00AC0449">
        <w:rPr>
          <w:rFonts w:ascii="Times New Roman" w:hAnsi="Times New Roman" w:cs="Times New Roman"/>
          <w:color w:val="auto"/>
          <w:sz w:val="24"/>
        </w:rPr>
        <w:t>, which enables the built-in time-intelligence functions used in Section 4.</w:t>
      </w:r>
    </w:p>
    <w:p w14:paraId="0D6D6045"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noProof/>
          <w:color w:val="auto"/>
          <w:sz w:val="24"/>
        </w:rPr>
        <w:lastRenderedPageBreak/>
        <w:drawing>
          <wp:inline distT="0" distB="0" distL="0" distR="0" wp14:anchorId="525303F5" wp14:editId="55CB9D47">
            <wp:extent cx="5120640" cy="330708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5120640" cy="3307080"/>
                    </a:xfrm>
                    <a:prstGeom prst="rect">
                      <a:avLst/>
                    </a:prstGeom>
                  </pic:spPr>
                </pic:pic>
              </a:graphicData>
            </a:graphic>
          </wp:inline>
        </w:drawing>
      </w:r>
    </w:p>
    <w:p w14:paraId="3812E7C5"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b/>
          <w:bCs/>
          <w:color w:val="auto"/>
          <w:sz w:val="24"/>
        </w:rPr>
        <w:t>Figure 1.</w:t>
      </w:r>
      <w:r w:rsidRPr="00AC0449">
        <w:rPr>
          <w:rFonts w:ascii="Times New Roman" w:hAnsi="Times New Roman" w:cs="Times New Roman"/>
          <w:color w:val="auto"/>
          <w:sz w:val="24"/>
        </w:rPr>
        <w:t xml:space="preserve"> Star schema in Power BI Model view: </w:t>
      </w:r>
      <w:proofErr w:type="spellStart"/>
      <w:r w:rsidRPr="00AC0449">
        <w:rPr>
          <w:rFonts w:ascii="Times New Roman" w:hAnsi="Times New Roman" w:cs="Times New Roman"/>
          <w:color w:val="auto"/>
          <w:sz w:val="24"/>
        </w:rPr>
        <w:t>FactEncounter</w:t>
      </w:r>
      <w:proofErr w:type="spellEnd"/>
      <w:r w:rsidRPr="00AC0449">
        <w:rPr>
          <w:rFonts w:ascii="Times New Roman" w:hAnsi="Times New Roman" w:cs="Times New Roman"/>
          <w:color w:val="auto"/>
          <w:sz w:val="24"/>
        </w:rPr>
        <w:t xml:space="preserve"> (Encounter) at the centre, </w:t>
      </w:r>
      <w:proofErr w:type="gramStart"/>
      <w:r w:rsidRPr="00AC0449">
        <w:rPr>
          <w:rFonts w:ascii="Times New Roman" w:hAnsi="Times New Roman" w:cs="Times New Roman"/>
          <w:color w:val="auto"/>
          <w:sz w:val="24"/>
        </w:rPr>
        <w:t>six dimension</w:t>
      </w:r>
      <w:proofErr w:type="gramEnd"/>
      <w:r w:rsidRPr="00AC0449">
        <w:rPr>
          <w:rFonts w:ascii="Times New Roman" w:hAnsi="Times New Roman" w:cs="Times New Roman"/>
          <w:color w:val="auto"/>
          <w:sz w:val="24"/>
        </w:rPr>
        <w:t xml:space="preserve"> tables and the Calendar date table on the edges.</w:t>
      </w:r>
    </w:p>
    <w:p w14:paraId="48524CF4" w14:textId="77777777" w:rsidR="00A51DFE" w:rsidRPr="00AC0449" w:rsidRDefault="00000000" w:rsidP="00AC0449">
      <w:pPr>
        <w:jc w:val="both"/>
        <w:rPr>
          <w:rFonts w:ascii="Times New Roman" w:hAnsi="Times New Roman" w:cs="Times New Roman"/>
          <w:b/>
          <w:bCs/>
          <w:color w:val="auto"/>
          <w:sz w:val="24"/>
        </w:rPr>
      </w:pPr>
      <w:r w:rsidRPr="00AC0449">
        <w:rPr>
          <w:rFonts w:ascii="Times New Roman" w:hAnsi="Times New Roman" w:cs="Times New Roman"/>
          <w:b/>
          <w:bCs/>
          <w:color w:val="auto"/>
          <w:sz w:val="24"/>
        </w:rPr>
        <w:t>DAX Measures</w:t>
      </w:r>
    </w:p>
    <w:p w14:paraId="185F050F"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Twenty-five measures were built, covering every required family with margin to spare: 8 Math and statistical, 5 Counting, 4 Logical and conditional, 4 using CALCULATE to modify filter context, and 4 Time intelligence measures. The full list with purpose and logic is in Table 1.</w:t>
      </w:r>
    </w:p>
    <w:tbl>
      <w:tblPr>
        <w:tblStyle w:val="TableGrid0"/>
        <w:tblW w:w="0" w:type="auto"/>
        <w:tblLook w:val="04A0" w:firstRow="1" w:lastRow="0" w:firstColumn="1" w:lastColumn="0" w:noHBand="0" w:noVBand="1"/>
      </w:tblPr>
      <w:tblGrid>
        <w:gridCol w:w="616"/>
        <w:gridCol w:w="2306"/>
        <w:gridCol w:w="1776"/>
        <w:gridCol w:w="5372"/>
      </w:tblGrid>
      <w:tr w:rsidR="00A51DFE" w:rsidRPr="00AC0449" w14:paraId="791A51A6" w14:textId="77777777" w:rsidTr="00C0604C">
        <w:trPr>
          <w:trHeight w:val="360"/>
        </w:trPr>
        <w:tc>
          <w:tcPr>
            <w:tcW w:w="0" w:type="auto"/>
          </w:tcPr>
          <w:p w14:paraId="1051D0D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w:t>
            </w:r>
          </w:p>
        </w:tc>
        <w:tc>
          <w:tcPr>
            <w:tcW w:w="0" w:type="auto"/>
          </w:tcPr>
          <w:p w14:paraId="2DC4968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Measure</w:t>
            </w:r>
          </w:p>
        </w:tc>
        <w:tc>
          <w:tcPr>
            <w:tcW w:w="0" w:type="auto"/>
          </w:tcPr>
          <w:p w14:paraId="69CF8026" w14:textId="7FCCA9A6" w:rsidR="00A51DFE" w:rsidRPr="00AC0449" w:rsidRDefault="00C0604C" w:rsidP="00C0604C">
            <w:pPr>
              <w:spacing w:after="0"/>
              <w:jc w:val="both"/>
              <w:rPr>
                <w:rFonts w:ascii="Times New Roman" w:hAnsi="Times New Roman" w:cs="Times New Roman"/>
                <w:color w:val="auto"/>
                <w:sz w:val="24"/>
              </w:rPr>
            </w:pPr>
            <w:r>
              <w:rPr>
                <w:rFonts w:ascii="Times New Roman" w:hAnsi="Times New Roman" w:cs="Times New Roman"/>
                <w:color w:val="auto"/>
                <w:sz w:val="24"/>
              </w:rPr>
              <w:t>Type</w:t>
            </w:r>
          </w:p>
        </w:tc>
        <w:tc>
          <w:tcPr>
            <w:tcW w:w="0" w:type="auto"/>
          </w:tcPr>
          <w:p w14:paraId="58741A1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Purpose and logic</w:t>
            </w:r>
          </w:p>
        </w:tc>
      </w:tr>
      <w:tr w:rsidR="00A51DFE" w:rsidRPr="00AC0449" w14:paraId="7606D5DB" w14:textId="77777777" w:rsidTr="00C0604C">
        <w:trPr>
          <w:trHeight w:val="360"/>
        </w:trPr>
        <w:tc>
          <w:tcPr>
            <w:tcW w:w="0" w:type="auto"/>
          </w:tcPr>
          <w:p w14:paraId="01BB575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w:t>
            </w:r>
          </w:p>
        </w:tc>
        <w:tc>
          <w:tcPr>
            <w:tcW w:w="0" w:type="auto"/>
          </w:tcPr>
          <w:p w14:paraId="0B11D51C"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Total Encounters</w:t>
            </w:r>
          </w:p>
        </w:tc>
        <w:tc>
          <w:tcPr>
            <w:tcW w:w="0" w:type="auto"/>
          </w:tcPr>
          <w:p w14:paraId="4629515D"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Counting</w:t>
            </w:r>
          </w:p>
        </w:tc>
        <w:tc>
          <w:tcPr>
            <w:tcW w:w="0" w:type="auto"/>
          </w:tcPr>
          <w:p w14:paraId="3A23447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COUNTROWS of the fact table; total hospital activity volume.</w:t>
            </w:r>
          </w:p>
        </w:tc>
      </w:tr>
      <w:tr w:rsidR="00A51DFE" w:rsidRPr="00AC0449" w14:paraId="731A53A1" w14:textId="77777777" w:rsidTr="00C0604C">
        <w:trPr>
          <w:trHeight w:val="360"/>
        </w:trPr>
        <w:tc>
          <w:tcPr>
            <w:tcW w:w="0" w:type="auto"/>
          </w:tcPr>
          <w:p w14:paraId="7F473515"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w:t>
            </w:r>
          </w:p>
        </w:tc>
        <w:tc>
          <w:tcPr>
            <w:tcW w:w="0" w:type="auto"/>
          </w:tcPr>
          <w:p w14:paraId="69CC50A6"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Total Charges</w:t>
            </w:r>
          </w:p>
        </w:tc>
        <w:tc>
          <w:tcPr>
            <w:tcW w:w="0" w:type="auto"/>
          </w:tcPr>
          <w:p w14:paraId="5E3EF168"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2FBFFB59"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SUM of gross amounts billed across all encounters.</w:t>
            </w:r>
          </w:p>
        </w:tc>
      </w:tr>
      <w:tr w:rsidR="00A51DFE" w:rsidRPr="00AC0449" w14:paraId="190E2126" w14:textId="77777777" w:rsidTr="00C0604C">
        <w:trPr>
          <w:trHeight w:val="360"/>
        </w:trPr>
        <w:tc>
          <w:tcPr>
            <w:tcW w:w="0" w:type="auto"/>
          </w:tcPr>
          <w:p w14:paraId="5407409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3</w:t>
            </w:r>
          </w:p>
        </w:tc>
        <w:tc>
          <w:tcPr>
            <w:tcW w:w="0" w:type="auto"/>
          </w:tcPr>
          <w:p w14:paraId="35450F4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Total Cost</w:t>
            </w:r>
          </w:p>
        </w:tc>
        <w:tc>
          <w:tcPr>
            <w:tcW w:w="0" w:type="auto"/>
          </w:tcPr>
          <w:p w14:paraId="3567383C"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53E526C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SUM of the cost incurred to deliver those encounters.</w:t>
            </w:r>
          </w:p>
        </w:tc>
      </w:tr>
      <w:tr w:rsidR="00A51DFE" w:rsidRPr="00AC0449" w14:paraId="7C078CEF" w14:textId="77777777" w:rsidTr="00C0604C">
        <w:trPr>
          <w:trHeight w:val="360"/>
        </w:trPr>
        <w:tc>
          <w:tcPr>
            <w:tcW w:w="0" w:type="auto"/>
          </w:tcPr>
          <w:p w14:paraId="4E1A7BC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4</w:t>
            </w:r>
          </w:p>
        </w:tc>
        <w:tc>
          <w:tcPr>
            <w:tcW w:w="0" w:type="auto"/>
          </w:tcPr>
          <w:p w14:paraId="690A89D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Distinct Patients</w:t>
            </w:r>
          </w:p>
        </w:tc>
        <w:tc>
          <w:tcPr>
            <w:tcW w:w="0" w:type="auto"/>
          </w:tcPr>
          <w:p w14:paraId="5457823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Counting</w:t>
            </w:r>
          </w:p>
        </w:tc>
        <w:tc>
          <w:tcPr>
            <w:tcW w:w="0" w:type="auto"/>
          </w:tcPr>
          <w:p w14:paraId="3C2BEBF3"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 xml:space="preserve">DISTINCTCOUNT of </w:t>
            </w:r>
            <w:proofErr w:type="spellStart"/>
            <w:r w:rsidRPr="00AC0449">
              <w:rPr>
                <w:rFonts w:ascii="Times New Roman" w:hAnsi="Times New Roman" w:cs="Times New Roman"/>
                <w:color w:val="auto"/>
                <w:sz w:val="24"/>
              </w:rPr>
              <w:t>PatientID</w:t>
            </w:r>
            <w:proofErr w:type="spellEnd"/>
            <w:r w:rsidRPr="00AC0449">
              <w:rPr>
                <w:rFonts w:ascii="Times New Roman" w:hAnsi="Times New Roman" w:cs="Times New Roman"/>
                <w:color w:val="auto"/>
                <w:sz w:val="24"/>
              </w:rPr>
              <w:t xml:space="preserve"> so repeat visitors are not double counted.</w:t>
            </w:r>
          </w:p>
        </w:tc>
      </w:tr>
      <w:tr w:rsidR="00A51DFE" w:rsidRPr="00AC0449" w14:paraId="18F743E1" w14:textId="77777777" w:rsidTr="00C0604C">
        <w:trPr>
          <w:trHeight w:val="360"/>
        </w:trPr>
        <w:tc>
          <w:tcPr>
            <w:tcW w:w="0" w:type="auto"/>
          </w:tcPr>
          <w:p w14:paraId="48B6ADD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5</w:t>
            </w:r>
          </w:p>
        </w:tc>
        <w:tc>
          <w:tcPr>
            <w:tcW w:w="0" w:type="auto"/>
          </w:tcPr>
          <w:p w14:paraId="233855F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Avg Length of Stay</w:t>
            </w:r>
          </w:p>
        </w:tc>
        <w:tc>
          <w:tcPr>
            <w:tcW w:w="0" w:type="auto"/>
          </w:tcPr>
          <w:p w14:paraId="4345DEE9"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6A855ABF"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AVERAGE stay duration in days, an operational efficiency indicator.</w:t>
            </w:r>
          </w:p>
        </w:tc>
      </w:tr>
      <w:tr w:rsidR="00A51DFE" w:rsidRPr="00AC0449" w14:paraId="24C58DEC" w14:textId="77777777" w:rsidTr="00C0604C">
        <w:trPr>
          <w:trHeight w:val="360"/>
        </w:trPr>
        <w:tc>
          <w:tcPr>
            <w:tcW w:w="0" w:type="auto"/>
          </w:tcPr>
          <w:p w14:paraId="60F3D73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6</w:t>
            </w:r>
          </w:p>
        </w:tc>
        <w:tc>
          <w:tcPr>
            <w:tcW w:w="0" w:type="auto"/>
          </w:tcPr>
          <w:p w14:paraId="0593657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Median Charge</w:t>
            </w:r>
          </w:p>
        </w:tc>
        <w:tc>
          <w:tcPr>
            <w:tcW w:w="0" w:type="auto"/>
          </w:tcPr>
          <w:p w14:paraId="02A7767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6D77B77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MEDIAN charge, unaffected by extreme values unlike the mean.</w:t>
            </w:r>
          </w:p>
        </w:tc>
      </w:tr>
      <w:tr w:rsidR="00A51DFE" w:rsidRPr="00AC0449" w14:paraId="2C5BBCEE" w14:textId="77777777" w:rsidTr="00C0604C">
        <w:trPr>
          <w:trHeight w:val="360"/>
        </w:trPr>
        <w:tc>
          <w:tcPr>
            <w:tcW w:w="0" w:type="auto"/>
          </w:tcPr>
          <w:p w14:paraId="49E26AB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7</w:t>
            </w:r>
          </w:p>
        </w:tc>
        <w:tc>
          <w:tcPr>
            <w:tcW w:w="0" w:type="auto"/>
          </w:tcPr>
          <w:p w14:paraId="0E25532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Charge Std Dev</w:t>
            </w:r>
          </w:p>
        </w:tc>
        <w:tc>
          <w:tcPr>
            <w:tcW w:w="0" w:type="auto"/>
          </w:tcPr>
          <w:p w14:paraId="48F433D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5B74D6A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STDEV.P of charges; shows how tightly billing clusters.</w:t>
            </w:r>
          </w:p>
        </w:tc>
      </w:tr>
      <w:tr w:rsidR="00A51DFE" w:rsidRPr="00AC0449" w14:paraId="4725071D" w14:textId="77777777" w:rsidTr="00C0604C">
        <w:trPr>
          <w:trHeight w:val="360"/>
        </w:trPr>
        <w:tc>
          <w:tcPr>
            <w:tcW w:w="0" w:type="auto"/>
          </w:tcPr>
          <w:p w14:paraId="566BBE6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lastRenderedPageBreak/>
              <w:t>8</w:t>
            </w:r>
          </w:p>
        </w:tc>
        <w:tc>
          <w:tcPr>
            <w:tcW w:w="0" w:type="auto"/>
          </w:tcPr>
          <w:p w14:paraId="7E73EA8D"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Avg Charge per Encounter</w:t>
            </w:r>
          </w:p>
        </w:tc>
        <w:tc>
          <w:tcPr>
            <w:tcW w:w="0" w:type="auto"/>
          </w:tcPr>
          <w:p w14:paraId="3FFA1676"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783C94C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Total Charges divided by encounter count, a per-case revenue figure.</w:t>
            </w:r>
          </w:p>
        </w:tc>
      </w:tr>
      <w:tr w:rsidR="00A51DFE" w:rsidRPr="00AC0449" w14:paraId="1C43DF7B" w14:textId="77777777" w:rsidTr="00C0604C">
        <w:trPr>
          <w:trHeight w:val="360"/>
        </w:trPr>
        <w:tc>
          <w:tcPr>
            <w:tcW w:w="0" w:type="auto"/>
          </w:tcPr>
          <w:p w14:paraId="728EB59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9</w:t>
            </w:r>
          </w:p>
        </w:tc>
        <w:tc>
          <w:tcPr>
            <w:tcW w:w="0" w:type="auto"/>
          </w:tcPr>
          <w:p w14:paraId="67D8EAFF"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Contribution Margin</w:t>
            </w:r>
          </w:p>
        </w:tc>
        <w:tc>
          <w:tcPr>
            <w:tcW w:w="0" w:type="auto"/>
          </w:tcPr>
          <w:p w14:paraId="07BC18C6"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560F192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Total Charges minus Total Cost; gross profit in dollars.</w:t>
            </w:r>
          </w:p>
        </w:tc>
      </w:tr>
      <w:tr w:rsidR="00A51DFE" w:rsidRPr="00AC0449" w14:paraId="5C7C7EFE" w14:textId="77777777" w:rsidTr="00C0604C">
        <w:trPr>
          <w:trHeight w:val="360"/>
        </w:trPr>
        <w:tc>
          <w:tcPr>
            <w:tcW w:w="0" w:type="auto"/>
          </w:tcPr>
          <w:p w14:paraId="72E13903"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10</w:t>
            </w:r>
          </w:p>
        </w:tc>
        <w:tc>
          <w:tcPr>
            <w:tcW w:w="0" w:type="auto"/>
          </w:tcPr>
          <w:p w14:paraId="4555254C"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Margin %</w:t>
            </w:r>
          </w:p>
        </w:tc>
        <w:tc>
          <w:tcPr>
            <w:tcW w:w="0" w:type="auto"/>
          </w:tcPr>
          <w:p w14:paraId="6E849C2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Math/stat</w:t>
            </w:r>
          </w:p>
        </w:tc>
        <w:tc>
          <w:tcPr>
            <w:tcW w:w="0" w:type="auto"/>
          </w:tcPr>
          <w:p w14:paraId="7067E30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Contribution Margin as a share of Total Charges.</w:t>
            </w:r>
          </w:p>
        </w:tc>
      </w:tr>
      <w:tr w:rsidR="00A51DFE" w:rsidRPr="00AC0449" w14:paraId="0DA485CA" w14:textId="77777777" w:rsidTr="00C0604C">
        <w:trPr>
          <w:trHeight w:val="360"/>
        </w:trPr>
        <w:tc>
          <w:tcPr>
            <w:tcW w:w="0" w:type="auto"/>
          </w:tcPr>
          <w:p w14:paraId="2F20CA30"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11</w:t>
            </w:r>
          </w:p>
        </w:tc>
        <w:tc>
          <w:tcPr>
            <w:tcW w:w="0" w:type="auto"/>
          </w:tcPr>
          <w:p w14:paraId="17F96D3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Readmitted Encounters</w:t>
            </w:r>
          </w:p>
        </w:tc>
        <w:tc>
          <w:tcPr>
            <w:tcW w:w="0" w:type="auto"/>
          </w:tcPr>
          <w:p w14:paraId="56DF2E98"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Counting</w:t>
            </w:r>
          </w:p>
        </w:tc>
        <w:tc>
          <w:tcPr>
            <w:tcW w:w="0" w:type="auto"/>
          </w:tcPr>
          <w:p w14:paraId="4B0B5AB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 xml:space="preserve">COUNTROWS filtered to </w:t>
            </w:r>
            <w:proofErr w:type="spellStart"/>
            <w:r w:rsidRPr="00AC0449">
              <w:rPr>
                <w:rFonts w:ascii="Times New Roman" w:hAnsi="Times New Roman" w:cs="Times New Roman"/>
                <w:color w:val="auto"/>
                <w:sz w:val="24"/>
              </w:rPr>
              <w:t>ReadmissionFlag</w:t>
            </w:r>
            <w:proofErr w:type="spellEnd"/>
            <w:r w:rsidRPr="00AC0449">
              <w:rPr>
                <w:rFonts w:ascii="Times New Roman" w:hAnsi="Times New Roman" w:cs="Times New Roman"/>
                <w:color w:val="auto"/>
                <w:sz w:val="24"/>
              </w:rPr>
              <w:t xml:space="preserve"> = 1.</w:t>
            </w:r>
          </w:p>
        </w:tc>
      </w:tr>
      <w:tr w:rsidR="00A51DFE" w:rsidRPr="00AC0449" w14:paraId="62B4EA2B" w14:textId="77777777" w:rsidTr="00C0604C">
        <w:trPr>
          <w:trHeight w:val="360"/>
        </w:trPr>
        <w:tc>
          <w:tcPr>
            <w:tcW w:w="0" w:type="auto"/>
          </w:tcPr>
          <w:p w14:paraId="7BAD3F4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12</w:t>
            </w:r>
          </w:p>
        </w:tc>
        <w:tc>
          <w:tcPr>
            <w:tcW w:w="0" w:type="auto"/>
          </w:tcPr>
          <w:p w14:paraId="406200D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Encounters per Patient</w:t>
            </w:r>
          </w:p>
        </w:tc>
        <w:tc>
          <w:tcPr>
            <w:tcW w:w="0" w:type="auto"/>
          </w:tcPr>
          <w:p w14:paraId="0AC6A41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Counting</w:t>
            </w:r>
          </w:p>
        </w:tc>
        <w:tc>
          <w:tcPr>
            <w:tcW w:w="0" w:type="auto"/>
          </w:tcPr>
          <w:p w14:paraId="0192402F"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 xml:space="preserve">Total Encounters divided by Distinct Patients; </w:t>
            </w:r>
            <w:proofErr w:type="spellStart"/>
            <w:r w:rsidRPr="00AC0449">
              <w:rPr>
                <w:rFonts w:ascii="Times New Roman" w:hAnsi="Times New Roman" w:cs="Times New Roman"/>
                <w:color w:val="auto"/>
                <w:sz w:val="24"/>
              </w:rPr>
              <w:t>utilisation</w:t>
            </w:r>
            <w:proofErr w:type="spellEnd"/>
            <w:r w:rsidRPr="00AC0449">
              <w:rPr>
                <w:rFonts w:ascii="Times New Roman" w:hAnsi="Times New Roman" w:cs="Times New Roman"/>
                <w:color w:val="auto"/>
                <w:sz w:val="24"/>
              </w:rPr>
              <w:t xml:space="preserve"> intensity.</w:t>
            </w:r>
          </w:p>
        </w:tc>
      </w:tr>
      <w:tr w:rsidR="00A51DFE" w:rsidRPr="00AC0449" w14:paraId="06A8E1E3" w14:textId="77777777" w:rsidTr="00C0604C">
        <w:trPr>
          <w:trHeight w:val="360"/>
        </w:trPr>
        <w:tc>
          <w:tcPr>
            <w:tcW w:w="0" w:type="auto"/>
          </w:tcPr>
          <w:p w14:paraId="51885C1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13</w:t>
            </w:r>
          </w:p>
        </w:tc>
        <w:tc>
          <w:tcPr>
            <w:tcW w:w="0" w:type="auto"/>
          </w:tcPr>
          <w:p w14:paraId="77410BC8"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Active Facilities</w:t>
            </w:r>
          </w:p>
        </w:tc>
        <w:tc>
          <w:tcPr>
            <w:tcW w:w="0" w:type="auto"/>
          </w:tcPr>
          <w:p w14:paraId="156DF16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Counting</w:t>
            </w:r>
          </w:p>
        </w:tc>
        <w:tc>
          <w:tcPr>
            <w:tcW w:w="0" w:type="auto"/>
          </w:tcPr>
          <w:p w14:paraId="35D34FC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 xml:space="preserve">DISTINCTCOUNT of </w:t>
            </w:r>
            <w:proofErr w:type="spellStart"/>
            <w:r w:rsidRPr="00AC0449">
              <w:rPr>
                <w:rFonts w:ascii="Times New Roman" w:hAnsi="Times New Roman" w:cs="Times New Roman"/>
                <w:color w:val="auto"/>
                <w:sz w:val="24"/>
              </w:rPr>
              <w:t>FacilityID</w:t>
            </w:r>
            <w:proofErr w:type="spellEnd"/>
            <w:r w:rsidRPr="00AC0449">
              <w:rPr>
                <w:rFonts w:ascii="Times New Roman" w:hAnsi="Times New Roman" w:cs="Times New Roman"/>
                <w:color w:val="auto"/>
                <w:sz w:val="24"/>
              </w:rPr>
              <w:t xml:space="preserve"> appearing in the fact table.</w:t>
            </w:r>
          </w:p>
        </w:tc>
      </w:tr>
      <w:tr w:rsidR="00A51DFE" w:rsidRPr="00AC0449" w14:paraId="79430F38" w14:textId="77777777" w:rsidTr="00C0604C">
        <w:trPr>
          <w:trHeight w:val="360"/>
        </w:trPr>
        <w:tc>
          <w:tcPr>
            <w:tcW w:w="0" w:type="auto"/>
          </w:tcPr>
          <w:p w14:paraId="17EE6B5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14</w:t>
            </w:r>
          </w:p>
        </w:tc>
        <w:tc>
          <w:tcPr>
            <w:tcW w:w="0" w:type="auto"/>
          </w:tcPr>
          <w:p w14:paraId="309923C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Readmission Rate</w:t>
            </w:r>
          </w:p>
        </w:tc>
        <w:tc>
          <w:tcPr>
            <w:tcW w:w="0" w:type="auto"/>
          </w:tcPr>
          <w:p w14:paraId="7DFE591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Logical</w:t>
            </w:r>
          </w:p>
        </w:tc>
        <w:tc>
          <w:tcPr>
            <w:tcW w:w="0" w:type="auto"/>
          </w:tcPr>
          <w:p w14:paraId="21ACB25B" w14:textId="77777777" w:rsidR="00A51DFE" w:rsidRPr="00AC0449" w:rsidRDefault="00000000" w:rsidP="00C0604C">
            <w:pPr>
              <w:spacing w:after="0"/>
              <w:jc w:val="both"/>
              <w:rPr>
                <w:rFonts w:ascii="Times New Roman" w:hAnsi="Times New Roman" w:cs="Times New Roman"/>
                <w:color w:val="auto"/>
                <w:sz w:val="24"/>
              </w:rPr>
            </w:pPr>
            <w:proofErr w:type="gramStart"/>
            <w:r w:rsidRPr="00AC0449">
              <w:rPr>
                <w:rFonts w:ascii="Times New Roman" w:hAnsi="Times New Roman" w:cs="Times New Roman"/>
                <w:color w:val="auto"/>
                <w:sz w:val="24"/>
              </w:rPr>
              <w:t>DIVIDE(</w:t>
            </w:r>
            <w:proofErr w:type="gramEnd"/>
            <w:r w:rsidRPr="00AC0449">
              <w:rPr>
                <w:rFonts w:ascii="Times New Roman" w:hAnsi="Times New Roman" w:cs="Times New Roman"/>
                <w:color w:val="auto"/>
                <w:sz w:val="24"/>
              </w:rPr>
              <w:t>Readmitted, Total Encounters) to handle a zero denominator safely.</w:t>
            </w:r>
          </w:p>
        </w:tc>
      </w:tr>
      <w:tr w:rsidR="00A51DFE" w:rsidRPr="00AC0449" w14:paraId="6FC9E9FA" w14:textId="77777777" w:rsidTr="00C0604C">
        <w:trPr>
          <w:trHeight w:val="360"/>
        </w:trPr>
        <w:tc>
          <w:tcPr>
            <w:tcW w:w="0" w:type="auto"/>
          </w:tcPr>
          <w:p w14:paraId="1CABC019"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15</w:t>
            </w:r>
          </w:p>
        </w:tc>
        <w:tc>
          <w:tcPr>
            <w:tcW w:w="0" w:type="auto"/>
          </w:tcPr>
          <w:p w14:paraId="03F5302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Margin Status</w:t>
            </w:r>
          </w:p>
        </w:tc>
        <w:tc>
          <w:tcPr>
            <w:tcW w:w="0" w:type="auto"/>
          </w:tcPr>
          <w:p w14:paraId="70456DC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Logical</w:t>
            </w:r>
          </w:p>
        </w:tc>
        <w:tc>
          <w:tcPr>
            <w:tcW w:w="0" w:type="auto"/>
          </w:tcPr>
          <w:p w14:paraId="329095A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SWITCH(</w:t>
            </w:r>
            <w:proofErr w:type="gramStart"/>
            <w:r w:rsidRPr="00AC0449">
              <w:rPr>
                <w:rFonts w:ascii="Times New Roman" w:hAnsi="Times New Roman" w:cs="Times New Roman"/>
                <w:color w:val="auto"/>
                <w:sz w:val="24"/>
              </w:rPr>
              <w:t>TRUE(</w:t>
            </w:r>
            <w:proofErr w:type="gramEnd"/>
            <w:r w:rsidRPr="00AC0449">
              <w:rPr>
                <w:rFonts w:ascii="Times New Roman" w:hAnsi="Times New Roman" w:cs="Times New Roman"/>
                <w:color w:val="auto"/>
                <w:sz w:val="24"/>
              </w:rPr>
              <w:t>)) bands margin into Above Target, On Target, Below Target.</w:t>
            </w:r>
          </w:p>
        </w:tc>
      </w:tr>
      <w:tr w:rsidR="00A51DFE" w:rsidRPr="00AC0449" w14:paraId="6F68C1BB" w14:textId="77777777" w:rsidTr="00C0604C">
        <w:trPr>
          <w:trHeight w:val="360"/>
        </w:trPr>
        <w:tc>
          <w:tcPr>
            <w:tcW w:w="0" w:type="auto"/>
          </w:tcPr>
          <w:p w14:paraId="3022128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16</w:t>
            </w:r>
          </w:p>
        </w:tc>
        <w:tc>
          <w:tcPr>
            <w:tcW w:w="0" w:type="auto"/>
          </w:tcPr>
          <w:p w14:paraId="262CD44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Readmission Alert</w:t>
            </w:r>
          </w:p>
        </w:tc>
        <w:tc>
          <w:tcPr>
            <w:tcW w:w="0" w:type="auto"/>
          </w:tcPr>
          <w:p w14:paraId="20D87379"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Logical</w:t>
            </w:r>
          </w:p>
        </w:tc>
        <w:tc>
          <w:tcPr>
            <w:tcW w:w="0" w:type="auto"/>
          </w:tcPr>
          <w:p w14:paraId="2AD2ADF8"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IF flags any grouping exceeding an 18% readmission rate.</w:t>
            </w:r>
          </w:p>
        </w:tc>
      </w:tr>
      <w:tr w:rsidR="00A51DFE" w:rsidRPr="00AC0449" w14:paraId="376D736F" w14:textId="77777777" w:rsidTr="00C0604C">
        <w:trPr>
          <w:trHeight w:val="360"/>
        </w:trPr>
        <w:tc>
          <w:tcPr>
            <w:tcW w:w="0" w:type="auto"/>
          </w:tcPr>
          <w:p w14:paraId="20DD1D7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17</w:t>
            </w:r>
          </w:p>
        </w:tc>
        <w:tc>
          <w:tcPr>
            <w:tcW w:w="0" w:type="auto"/>
          </w:tcPr>
          <w:p w14:paraId="5DBF514A" w14:textId="77777777" w:rsidR="00A51DFE" w:rsidRPr="00AC0449" w:rsidRDefault="00000000" w:rsidP="00C0604C">
            <w:pPr>
              <w:spacing w:after="0"/>
              <w:jc w:val="both"/>
              <w:rPr>
                <w:rFonts w:ascii="Times New Roman" w:hAnsi="Times New Roman" w:cs="Times New Roman"/>
                <w:color w:val="auto"/>
                <w:sz w:val="24"/>
              </w:rPr>
            </w:pPr>
            <w:proofErr w:type="gramStart"/>
            <w:r w:rsidRPr="00AC0449">
              <w:rPr>
                <w:rFonts w:ascii="Times New Roman" w:hAnsi="Times New Roman" w:cs="Times New Roman"/>
                <w:color w:val="auto"/>
                <w:sz w:val="24"/>
              </w:rPr>
              <w:t>High Cost</w:t>
            </w:r>
            <w:proofErr w:type="gramEnd"/>
            <w:r w:rsidRPr="00AC0449">
              <w:rPr>
                <w:rFonts w:ascii="Times New Roman" w:hAnsi="Times New Roman" w:cs="Times New Roman"/>
                <w:color w:val="auto"/>
                <w:sz w:val="24"/>
              </w:rPr>
              <w:t xml:space="preserve"> Encounters</w:t>
            </w:r>
          </w:p>
        </w:tc>
        <w:tc>
          <w:tcPr>
            <w:tcW w:w="0" w:type="auto"/>
          </w:tcPr>
          <w:p w14:paraId="0F9E6A8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Logical</w:t>
            </w:r>
          </w:p>
        </w:tc>
        <w:tc>
          <w:tcPr>
            <w:tcW w:w="0" w:type="auto"/>
          </w:tcPr>
          <w:p w14:paraId="4B69DDC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Counts encounters above the 75th-percentile charge ($36,506).</w:t>
            </w:r>
          </w:p>
        </w:tc>
      </w:tr>
      <w:tr w:rsidR="00A51DFE" w:rsidRPr="00AC0449" w14:paraId="7E622A15" w14:textId="77777777" w:rsidTr="00C0604C">
        <w:trPr>
          <w:trHeight w:val="360"/>
        </w:trPr>
        <w:tc>
          <w:tcPr>
            <w:tcW w:w="0" w:type="auto"/>
          </w:tcPr>
          <w:p w14:paraId="7CF22AE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18</w:t>
            </w:r>
          </w:p>
        </w:tc>
        <w:tc>
          <w:tcPr>
            <w:tcW w:w="0" w:type="auto"/>
          </w:tcPr>
          <w:p w14:paraId="71641DD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Hospital Charges</w:t>
            </w:r>
          </w:p>
        </w:tc>
        <w:tc>
          <w:tcPr>
            <w:tcW w:w="0" w:type="auto"/>
          </w:tcPr>
          <w:p w14:paraId="28D9466D"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CALCULATE</w:t>
            </w:r>
          </w:p>
        </w:tc>
        <w:tc>
          <w:tcPr>
            <w:tcW w:w="0" w:type="auto"/>
          </w:tcPr>
          <w:p w14:paraId="326F998B"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Filter context modified to hospital facilities only.</w:t>
            </w:r>
          </w:p>
        </w:tc>
      </w:tr>
      <w:tr w:rsidR="00A51DFE" w:rsidRPr="00AC0449" w14:paraId="56E9B05A" w14:textId="77777777" w:rsidTr="00C0604C">
        <w:trPr>
          <w:trHeight w:val="360"/>
        </w:trPr>
        <w:tc>
          <w:tcPr>
            <w:tcW w:w="0" w:type="auto"/>
          </w:tcPr>
          <w:p w14:paraId="16F55780"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w:t>
            </w:r>
          </w:p>
        </w:tc>
        <w:tc>
          <w:tcPr>
            <w:tcW w:w="0" w:type="auto"/>
          </w:tcPr>
          <w:p w14:paraId="5D2A845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Measure</w:t>
            </w:r>
          </w:p>
        </w:tc>
        <w:tc>
          <w:tcPr>
            <w:tcW w:w="0" w:type="auto"/>
          </w:tcPr>
          <w:p w14:paraId="432307D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Family</w:t>
            </w:r>
          </w:p>
        </w:tc>
        <w:tc>
          <w:tcPr>
            <w:tcW w:w="0" w:type="auto"/>
          </w:tcPr>
          <w:p w14:paraId="31EFC873"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Purpose and logic</w:t>
            </w:r>
          </w:p>
        </w:tc>
      </w:tr>
      <w:tr w:rsidR="00A51DFE" w:rsidRPr="00AC0449" w14:paraId="6BB325B5" w14:textId="77777777" w:rsidTr="00C0604C">
        <w:trPr>
          <w:trHeight w:val="360"/>
        </w:trPr>
        <w:tc>
          <w:tcPr>
            <w:tcW w:w="0" w:type="auto"/>
          </w:tcPr>
          <w:p w14:paraId="5E1F5EF6"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19</w:t>
            </w:r>
          </w:p>
        </w:tc>
        <w:tc>
          <w:tcPr>
            <w:tcW w:w="0" w:type="auto"/>
          </w:tcPr>
          <w:p w14:paraId="748ADD4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Clinic Charges</w:t>
            </w:r>
          </w:p>
        </w:tc>
        <w:tc>
          <w:tcPr>
            <w:tcW w:w="0" w:type="auto"/>
          </w:tcPr>
          <w:p w14:paraId="0E57EBCD"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CALCULATE</w:t>
            </w:r>
          </w:p>
        </w:tc>
        <w:tc>
          <w:tcPr>
            <w:tcW w:w="0" w:type="auto"/>
          </w:tcPr>
          <w:p w14:paraId="5DFDC67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Filter context modified to clinic facilities only.</w:t>
            </w:r>
          </w:p>
        </w:tc>
      </w:tr>
      <w:tr w:rsidR="00A51DFE" w:rsidRPr="00AC0449" w14:paraId="4D2F90E9" w14:textId="77777777" w:rsidTr="00C0604C">
        <w:trPr>
          <w:trHeight w:val="360"/>
        </w:trPr>
        <w:tc>
          <w:tcPr>
            <w:tcW w:w="0" w:type="auto"/>
          </w:tcPr>
          <w:p w14:paraId="52BA7B3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20</w:t>
            </w:r>
          </w:p>
        </w:tc>
        <w:tc>
          <w:tcPr>
            <w:tcW w:w="0" w:type="auto"/>
          </w:tcPr>
          <w:p w14:paraId="57163E4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 of Total Charges</w:t>
            </w:r>
          </w:p>
        </w:tc>
        <w:tc>
          <w:tcPr>
            <w:tcW w:w="0" w:type="auto"/>
          </w:tcPr>
          <w:p w14:paraId="0B5F29D2"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CALCULATE</w:t>
            </w:r>
          </w:p>
        </w:tc>
        <w:tc>
          <w:tcPr>
            <w:tcW w:w="0" w:type="auto"/>
          </w:tcPr>
          <w:p w14:paraId="5CD40779"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CALCULATE with ALL removes the facility filter for a share-of-total.</w:t>
            </w:r>
          </w:p>
        </w:tc>
      </w:tr>
      <w:tr w:rsidR="00A51DFE" w:rsidRPr="00AC0449" w14:paraId="51EED83C" w14:textId="77777777" w:rsidTr="00C0604C">
        <w:trPr>
          <w:trHeight w:val="360"/>
        </w:trPr>
        <w:tc>
          <w:tcPr>
            <w:tcW w:w="0" w:type="auto"/>
          </w:tcPr>
          <w:p w14:paraId="34D72053"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21</w:t>
            </w:r>
          </w:p>
        </w:tc>
        <w:tc>
          <w:tcPr>
            <w:tcW w:w="0" w:type="auto"/>
          </w:tcPr>
          <w:p w14:paraId="3BFFD649"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Chronic Readmission Rate</w:t>
            </w:r>
          </w:p>
        </w:tc>
        <w:tc>
          <w:tcPr>
            <w:tcW w:w="0" w:type="auto"/>
          </w:tcPr>
          <w:p w14:paraId="60CC88F5"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CALCULATE</w:t>
            </w:r>
          </w:p>
        </w:tc>
        <w:tc>
          <w:tcPr>
            <w:tcW w:w="0" w:type="auto"/>
          </w:tcPr>
          <w:p w14:paraId="21AF0210"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Readmission Rate applied within a Chronic diagnosis filter.</w:t>
            </w:r>
          </w:p>
        </w:tc>
      </w:tr>
      <w:tr w:rsidR="00A51DFE" w:rsidRPr="00AC0449" w14:paraId="2B4933F4" w14:textId="77777777" w:rsidTr="00C0604C">
        <w:trPr>
          <w:trHeight w:val="360"/>
        </w:trPr>
        <w:tc>
          <w:tcPr>
            <w:tcW w:w="0" w:type="auto"/>
          </w:tcPr>
          <w:p w14:paraId="52EA4705"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22</w:t>
            </w:r>
          </w:p>
        </w:tc>
        <w:tc>
          <w:tcPr>
            <w:tcW w:w="0" w:type="auto"/>
          </w:tcPr>
          <w:p w14:paraId="00B360C3"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Charges YTD</w:t>
            </w:r>
          </w:p>
        </w:tc>
        <w:tc>
          <w:tcPr>
            <w:tcW w:w="0" w:type="auto"/>
          </w:tcPr>
          <w:p w14:paraId="7C93D96D"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Time intel.</w:t>
            </w:r>
          </w:p>
        </w:tc>
        <w:tc>
          <w:tcPr>
            <w:tcW w:w="0" w:type="auto"/>
          </w:tcPr>
          <w:p w14:paraId="4F091A7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TOTALYTD accumulates charges from the start of the calendar year.</w:t>
            </w:r>
          </w:p>
        </w:tc>
      </w:tr>
      <w:tr w:rsidR="00A51DFE" w:rsidRPr="00AC0449" w14:paraId="753EA717" w14:textId="77777777" w:rsidTr="00C0604C">
        <w:trPr>
          <w:trHeight w:val="360"/>
        </w:trPr>
        <w:tc>
          <w:tcPr>
            <w:tcW w:w="0" w:type="auto"/>
          </w:tcPr>
          <w:p w14:paraId="325AE09F"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23</w:t>
            </w:r>
          </w:p>
        </w:tc>
        <w:tc>
          <w:tcPr>
            <w:tcW w:w="0" w:type="auto"/>
          </w:tcPr>
          <w:p w14:paraId="63680A7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Charges PY</w:t>
            </w:r>
          </w:p>
        </w:tc>
        <w:tc>
          <w:tcPr>
            <w:tcW w:w="0" w:type="auto"/>
          </w:tcPr>
          <w:p w14:paraId="2965E40D"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Time intel.</w:t>
            </w:r>
          </w:p>
        </w:tc>
        <w:tc>
          <w:tcPr>
            <w:tcW w:w="0" w:type="auto"/>
          </w:tcPr>
          <w:p w14:paraId="44EA8D61"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SAMEPERIODLASTYEAR shifts filter context back one year.</w:t>
            </w:r>
          </w:p>
        </w:tc>
      </w:tr>
      <w:tr w:rsidR="00A51DFE" w:rsidRPr="00AC0449" w14:paraId="10D448DD" w14:textId="77777777" w:rsidTr="00C0604C">
        <w:trPr>
          <w:trHeight w:val="360"/>
        </w:trPr>
        <w:tc>
          <w:tcPr>
            <w:tcW w:w="0" w:type="auto"/>
          </w:tcPr>
          <w:p w14:paraId="7F9D09EC"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24</w:t>
            </w:r>
          </w:p>
        </w:tc>
        <w:tc>
          <w:tcPr>
            <w:tcW w:w="0" w:type="auto"/>
          </w:tcPr>
          <w:p w14:paraId="4692AA9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Charges YoY %</w:t>
            </w:r>
          </w:p>
        </w:tc>
        <w:tc>
          <w:tcPr>
            <w:tcW w:w="0" w:type="auto"/>
          </w:tcPr>
          <w:p w14:paraId="03A6D5BF"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Time intel.</w:t>
            </w:r>
          </w:p>
        </w:tc>
        <w:tc>
          <w:tcPr>
            <w:tcW w:w="0" w:type="auto"/>
          </w:tcPr>
          <w:p w14:paraId="3262BC08"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Compares current to prior-year charges as a growth percentage.</w:t>
            </w:r>
          </w:p>
        </w:tc>
      </w:tr>
      <w:tr w:rsidR="00A51DFE" w:rsidRPr="00AC0449" w14:paraId="3F40F9BD" w14:textId="77777777" w:rsidTr="00C0604C">
        <w:trPr>
          <w:trHeight w:val="360"/>
        </w:trPr>
        <w:tc>
          <w:tcPr>
            <w:tcW w:w="0" w:type="auto"/>
          </w:tcPr>
          <w:p w14:paraId="3AFC047A"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25</w:t>
            </w:r>
          </w:p>
        </w:tc>
        <w:tc>
          <w:tcPr>
            <w:tcW w:w="0" w:type="auto"/>
          </w:tcPr>
          <w:p w14:paraId="71448D04"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Encounters Rolling 90 Days</w:t>
            </w:r>
          </w:p>
        </w:tc>
        <w:tc>
          <w:tcPr>
            <w:tcW w:w="0" w:type="auto"/>
          </w:tcPr>
          <w:p w14:paraId="6DE2C457"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Time intel.</w:t>
            </w:r>
          </w:p>
        </w:tc>
        <w:tc>
          <w:tcPr>
            <w:tcW w:w="0" w:type="auto"/>
          </w:tcPr>
          <w:p w14:paraId="2F934168" w14:textId="77777777" w:rsidR="00A51DFE" w:rsidRPr="00AC0449" w:rsidRDefault="00000000" w:rsidP="00C0604C">
            <w:pPr>
              <w:spacing w:after="0"/>
              <w:jc w:val="both"/>
              <w:rPr>
                <w:rFonts w:ascii="Times New Roman" w:hAnsi="Times New Roman" w:cs="Times New Roman"/>
                <w:color w:val="auto"/>
                <w:sz w:val="24"/>
              </w:rPr>
            </w:pPr>
            <w:r w:rsidRPr="00AC0449">
              <w:rPr>
                <w:rFonts w:ascii="Times New Roman" w:hAnsi="Times New Roman" w:cs="Times New Roman"/>
                <w:color w:val="auto"/>
                <w:sz w:val="24"/>
              </w:rPr>
              <w:t>DATESINPERIOD gives a trailing 90-day count, smoothing short-term noise.</w:t>
            </w:r>
          </w:p>
        </w:tc>
      </w:tr>
    </w:tbl>
    <w:p w14:paraId="3AB9A206" w14:textId="6D155110"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 xml:space="preserve">Table 1. All 25 DAX measures, grouped by required function </w:t>
      </w:r>
      <w:r w:rsidR="00C0604C">
        <w:rPr>
          <w:rFonts w:ascii="Times New Roman" w:hAnsi="Times New Roman" w:cs="Times New Roman"/>
          <w:color w:val="auto"/>
          <w:sz w:val="24"/>
        </w:rPr>
        <w:t>type</w:t>
      </w:r>
      <w:r w:rsidRPr="00AC0449">
        <w:rPr>
          <w:rFonts w:ascii="Times New Roman" w:hAnsi="Times New Roman" w:cs="Times New Roman"/>
          <w:color w:val="auto"/>
          <w:sz w:val="24"/>
        </w:rPr>
        <w:t>.</w:t>
      </w:r>
    </w:p>
    <w:p w14:paraId="08F741ED" w14:textId="77777777" w:rsidR="00C0604C" w:rsidRDefault="00C0604C" w:rsidP="00AC0449">
      <w:pPr>
        <w:jc w:val="both"/>
        <w:rPr>
          <w:rFonts w:ascii="Times New Roman" w:hAnsi="Times New Roman" w:cs="Times New Roman"/>
          <w:color w:val="auto"/>
          <w:sz w:val="24"/>
        </w:rPr>
      </w:pPr>
    </w:p>
    <w:p w14:paraId="7E899C43" w14:textId="65D3C9F2" w:rsidR="00A51DFE" w:rsidRPr="00C0604C" w:rsidRDefault="00000000" w:rsidP="00AC0449">
      <w:pPr>
        <w:jc w:val="both"/>
        <w:rPr>
          <w:rFonts w:ascii="Times New Roman" w:hAnsi="Times New Roman" w:cs="Times New Roman"/>
          <w:b/>
          <w:bCs/>
          <w:color w:val="auto"/>
          <w:sz w:val="24"/>
        </w:rPr>
      </w:pPr>
      <w:r w:rsidRPr="00C0604C">
        <w:rPr>
          <w:rFonts w:ascii="Times New Roman" w:hAnsi="Times New Roman" w:cs="Times New Roman"/>
          <w:b/>
          <w:bCs/>
          <w:color w:val="auto"/>
          <w:sz w:val="24"/>
        </w:rPr>
        <w:lastRenderedPageBreak/>
        <w:t>Actionable Insights</w:t>
      </w:r>
    </w:p>
    <w:p w14:paraId="003CBF9D"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Discharge dates were unreliable for a quarter of all encounters.</w:t>
      </w:r>
    </w:p>
    <w:p w14:paraId="358F9485"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 xml:space="preserve">Profiling </w:t>
      </w:r>
      <w:proofErr w:type="spellStart"/>
      <w:r w:rsidRPr="00AC0449">
        <w:rPr>
          <w:rFonts w:ascii="Times New Roman" w:hAnsi="Times New Roman" w:cs="Times New Roman"/>
          <w:color w:val="auto"/>
          <w:sz w:val="24"/>
        </w:rPr>
        <w:t>FactEncounter</w:t>
      </w:r>
      <w:proofErr w:type="spellEnd"/>
      <w:r w:rsidRPr="00AC0449">
        <w:rPr>
          <w:rFonts w:ascii="Times New Roman" w:hAnsi="Times New Roman" w:cs="Times New Roman"/>
          <w:color w:val="auto"/>
          <w:sz w:val="24"/>
        </w:rPr>
        <w:t xml:space="preserve"> found 373 of 1,500 rows (24.9%) with a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that did not correspond to a real calendar date, for example 20211040 (month 10, day 40). Every affected row still had a valid </w:t>
      </w:r>
      <w:proofErr w:type="spellStart"/>
      <w:r w:rsidRPr="00AC0449">
        <w:rPr>
          <w:rFonts w:ascii="Times New Roman" w:hAnsi="Times New Roman" w:cs="Times New Roman"/>
          <w:color w:val="auto"/>
          <w:sz w:val="24"/>
        </w:rPr>
        <w:t>AdmissionDateID</w:t>
      </w:r>
      <w:proofErr w:type="spellEnd"/>
      <w:r w:rsidRPr="00AC0449">
        <w:rPr>
          <w:rFonts w:ascii="Times New Roman" w:hAnsi="Times New Roman" w:cs="Times New Roman"/>
          <w:color w:val="auto"/>
          <w:sz w:val="24"/>
        </w:rPr>
        <w:t xml:space="preserve"> and </w:t>
      </w:r>
      <w:proofErr w:type="spellStart"/>
      <w:r w:rsidRPr="00AC0449">
        <w:rPr>
          <w:rFonts w:ascii="Times New Roman" w:hAnsi="Times New Roman" w:cs="Times New Roman"/>
          <w:color w:val="auto"/>
          <w:sz w:val="24"/>
        </w:rPr>
        <w:t>LengthOfStay</w:t>
      </w:r>
      <w:proofErr w:type="spellEnd"/>
      <w:r w:rsidRPr="00AC0449">
        <w:rPr>
          <w:rFonts w:ascii="Times New Roman" w:hAnsi="Times New Roman" w:cs="Times New Roman"/>
          <w:color w:val="auto"/>
          <w:sz w:val="24"/>
        </w:rPr>
        <w:t xml:space="preserve">, so the fix was to regenerate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with </w:t>
      </w:r>
      <w:proofErr w:type="spellStart"/>
      <w:r w:rsidRPr="00AC0449">
        <w:rPr>
          <w:rFonts w:ascii="Times New Roman" w:hAnsi="Times New Roman" w:cs="Times New Roman"/>
          <w:color w:val="auto"/>
          <w:sz w:val="24"/>
        </w:rPr>
        <w:t>Date.AddDays</w:t>
      </w:r>
      <w:proofErr w:type="spellEnd"/>
      <w:r w:rsidRPr="00AC0449">
        <w:rPr>
          <w:rFonts w:ascii="Times New Roman" w:hAnsi="Times New Roman" w:cs="Times New Roman"/>
          <w:color w:val="auto"/>
          <w:sz w:val="24"/>
        </w:rPr>
        <w:t xml:space="preserve"> rather than drop the rows. Any report built on the original discharge dates before this fix would have understated activity for one in four encounters.</w:t>
      </w:r>
    </w:p>
    <w:p w14:paraId="60418BC8" w14:textId="57607A9A" w:rsidR="00A51DFE" w:rsidRPr="002F1F64" w:rsidRDefault="00000000" w:rsidP="00AC0449">
      <w:pPr>
        <w:jc w:val="both"/>
        <w:rPr>
          <w:rFonts w:ascii="Times New Roman" w:hAnsi="Times New Roman" w:cs="Times New Roman"/>
          <w:b/>
          <w:bCs/>
          <w:color w:val="auto"/>
          <w:sz w:val="24"/>
        </w:rPr>
      </w:pPr>
      <w:r w:rsidRPr="002F1F64">
        <w:rPr>
          <w:rFonts w:ascii="Times New Roman" w:hAnsi="Times New Roman" w:cs="Times New Roman"/>
          <w:b/>
          <w:bCs/>
          <w:color w:val="auto"/>
          <w:sz w:val="24"/>
        </w:rPr>
        <w:t>Imaging procedures readmit patients at nearly one and a half times the rate of Lab work.</w:t>
      </w:r>
    </w:p>
    <w:p w14:paraId="4D9C5B3C"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Imaging carries a 20.1% readmission rate versus 14.1% for Surgery and 13.9% for Lab, visible on the Clinical Overview page. By specialty, Pediatrics (18.0%) and Cardiology (16.9%) sit above the 18% alert threshold band, while Internal Medicine (12.9%) is the most stable. This points to Imaging follow-up protocols as the first place to investigate for readmission reduction.</w:t>
      </w:r>
    </w:p>
    <w:p w14:paraId="0264F600" w14:textId="77777777" w:rsidR="00A51DFE" w:rsidRPr="002F1F64" w:rsidRDefault="00000000" w:rsidP="00AC0449">
      <w:pPr>
        <w:jc w:val="both"/>
        <w:rPr>
          <w:rFonts w:ascii="Times New Roman" w:hAnsi="Times New Roman" w:cs="Times New Roman"/>
          <w:b/>
          <w:bCs/>
          <w:color w:val="auto"/>
          <w:sz w:val="24"/>
        </w:rPr>
      </w:pPr>
      <w:r w:rsidRPr="002F1F64">
        <w:rPr>
          <w:rFonts w:ascii="Times New Roman" w:hAnsi="Times New Roman" w:cs="Times New Roman"/>
          <w:b/>
          <w:bCs/>
          <w:color w:val="auto"/>
          <w:sz w:val="24"/>
        </w:rPr>
        <w:t>Margin percentage is essentially flat across facility type, but volume is not.</w:t>
      </w:r>
    </w:p>
    <w:p w14:paraId="763E125F"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Clinics and Hospitals both convert charges to margin at about 39.6-39.7%, so the Margin % measure alone does not distinguish them. Clinics process more encounters (787 vs 713) and bill more total charges ($19.1M vs $17.2M), so the volume difference, not efficiency, is what separates the two facility types financially.</w:t>
      </w:r>
    </w:p>
    <w:p w14:paraId="4653C571" w14:textId="77777777" w:rsidR="00A51DFE" w:rsidRPr="002F1F64" w:rsidRDefault="00000000" w:rsidP="00AC0449">
      <w:pPr>
        <w:jc w:val="both"/>
        <w:rPr>
          <w:rFonts w:ascii="Times New Roman" w:hAnsi="Times New Roman" w:cs="Times New Roman"/>
          <w:b/>
          <w:bCs/>
          <w:color w:val="auto"/>
          <w:sz w:val="24"/>
        </w:rPr>
      </w:pPr>
      <w:r w:rsidRPr="002F1F64">
        <w:rPr>
          <w:rFonts w:ascii="Times New Roman" w:hAnsi="Times New Roman" w:cs="Times New Roman"/>
          <w:b/>
          <w:bCs/>
          <w:color w:val="auto"/>
          <w:sz w:val="24"/>
        </w:rPr>
        <w:t>Lab work drives almost half of total billing despite being the lowest-readmission category.</w:t>
      </w:r>
    </w:p>
    <w:p w14:paraId="16CA656E"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Lab procedures account for 44.9% of the $36.29M in total charges, ahead of Surgery (33.8%) and Imaging (21.3%). Combined with the readmission finding above, Lab is both the safest and the most revenue-significant procedure category, while Imaging is smaller in volume but carries disproportionate clinical risk.</w:t>
      </w:r>
    </w:p>
    <w:p w14:paraId="6DA1FD95" w14:textId="77777777" w:rsidR="00A51DFE" w:rsidRPr="002F1F64" w:rsidRDefault="00000000" w:rsidP="00AC0449">
      <w:pPr>
        <w:jc w:val="both"/>
        <w:rPr>
          <w:rFonts w:ascii="Times New Roman" w:hAnsi="Times New Roman" w:cs="Times New Roman"/>
          <w:b/>
          <w:bCs/>
          <w:color w:val="auto"/>
          <w:sz w:val="24"/>
        </w:rPr>
      </w:pPr>
      <w:r w:rsidRPr="002F1F64">
        <w:rPr>
          <w:rFonts w:ascii="Times New Roman" w:hAnsi="Times New Roman" w:cs="Times New Roman"/>
          <w:b/>
          <w:bCs/>
          <w:color w:val="auto"/>
          <w:sz w:val="24"/>
        </w:rPr>
        <w:t xml:space="preserve">Revenue is </w:t>
      </w:r>
      <w:proofErr w:type="gramStart"/>
      <w:r w:rsidRPr="002F1F64">
        <w:rPr>
          <w:rFonts w:ascii="Times New Roman" w:hAnsi="Times New Roman" w:cs="Times New Roman"/>
          <w:b/>
          <w:bCs/>
          <w:color w:val="auto"/>
          <w:sz w:val="24"/>
        </w:rPr>
        <w:t>fairly evenly</w:t>
      </w:r>
      <w:proofErr w:type="gramEnd"/>
      <w:r w:rsidRPr="002F1F64">
        <w:rPr>
          <w:rFonts w:ascii="Times New Roman" w:hAnsi="Times New Roman" w:cs="Times New Roman"/>
          <w:b/>
          <w:bCs/>
          <w:color w:val="auto"/>
          <w:sz w:val="24"/>
        </w:rPr>
        <w:t xml:space="preserve"> spread across states, with New York narrowly leading.</w:t>
      </w:r>
    </w:p>
    <w:p w14:paraId="7A8A280C"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NY facilities bill $10.97M (30.2% of total), IL $10.79M, CA $7.48M, and FL $7.04M. No single state dominates the portfolio, which the bar chart on the Executive Overview page confirms visually; this reduces concentration risk if any one state's facility performance were to decline.</w:t>
      </w:r>
    </w:p>
    <w:p w14:paraId="212F5C5B" w14:textId="77777777" w:rsidR="00A51DFE" w:rsidRPr="002F1F64" w:rsidRDefault="00000000" w:rsidP="00AC0449">
      <w:pPr>
        <w:jc w:val="both"/>
        <w:rPr>
          <w:rFonts w:ascii="Times New Roman" w:hAnsi="Times New Roman" w:cs="Times New Roman"/>
          <w:b/>
          <w:bCs/>
          <w:color w:val="auto"/>
          <w:sz w:val="24"/>
        </w:rPr>
      </w:pPr>
      <w:r w:rsidRPr="002F1F64">
        <w:rPr>
          <w:rFonts w:ascii="Times New Roman" w:hAnsi="Times New Roman" w:cs="Times New Roman"/>
          <w:b/>
          <w:bCs/>
          <w:color w:val="auto"/>
          <w:sz w:val="24"/>
        </w:rPr>
        <w:t>Limitations and Optimization</w:t>
      </w:r>
    </w:p>
    <w:p w14:paraId="30F6DC9C" w14:textId="77777777" w:rsidR="00A51DFE" w:rsidRPr="00AC0449" w:rsidRDefault="00000000" w:rsidP="00AC0449">
      <w:pPr>
        <w:jc w:val="both"/>
        <w:rPr>
          <w:rFonts w:ascii="Times New Roman" w:hAnsi="Times New Roman" w:cs="Times New Roman"/>
          <w:color w:val="auto"/>
          <w:sz w:val="24"/>
        </w:rPr>
      </w:pPr>
      <w:r w:rsidRPr="00AC0449">
        <w:rPr>
          <w:rFonts w:ascii="Times New Roman" w:hAnsi="Times New Roman" w:cs="Times New Roman"/>
          <w:color w:val="auto"/>
          <w:sz w:val="24"/>
        </w:rPr>
        <w:t xml:space="preserve">Limitation: the dataset is a flat, static extract with no slowly-changing-dimension history, so patient or facility attributes (e.g. state, age group) are treated as always having been true, which is a simplification for any patient who moved or aged into a new bracket. The corrected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is also a modelled estimate (Admission + </w:t>
      </w:r>
      <w:proofErr w:type="spellStart"/>
      <w:r w:rsidRPr="00AC0449">
        <w:rPr>
          <w:rFonts w:ascii="Times New Roman" w:hAnsi="Times New Roman" w:cs="Times New Roman"/>
          <w:color w:val="auto"/>
          <w:sz w:val="24"/>
        </w:rPr>
        <w:t>LengthOfStay</w:t>
      </w:r>
      <w:proofErr w:type="spellEnd"/>
      <w:r w:rsidRPr="00AC0449">
        <w:rPr>
          <w:rFonts w:ascii="Times New Roman" w:hAnsi="Times New Roman" w:cs="Times New Roman"/>
          <w:color w:val="auto"/>
          <w:sz w:val="24"/>
        </w:rPr>
        <w:t>), not the original source value, so any downstream discharge-based reporting inherits that assumption.</w:t>
      </w:r>
    </w:p>
    <w:p w14:paraId="097A2671" w14:textId="77777777" w:rsidR="00A51DFE" w:rsidRPr="00AC0449" w:rsidRDefault="00000000" w:rsidP="00AC0449">
      <w:pPr>
        <w:jc w:val="both"/>
        <w:rPr>
          <w:rFonts w:ascii="Times New Roman" w:hAnsi="Times New Roman" w:cs="Times New Roman"/>
          <w:color w:val="auto"/>
          <w:sz w:val="24"/>
        </w:rPr>
      </w:pPr>
      <w:r w:rsidRPr="002F1F64">
        <w:rPr>
          <w:rFonts w:ascii="Times New Roman" w:hAnsi="Times New Roman" w:cs="Times New Roman"/>
          <w:b/>
          <w:bCs/>
          <w:color w:val="auto"/>
          <w:sz w:val="24"/>
        </w:rPr>
        <w:lastRenderedPageBreak/>
        <w:t>Optimization applied:</w:t>
      </w:r>
      <w:r w:rsidRPr="00AC0449">
        <w:rPr>
          <w:rFonts w:ascii="Times New Roman" w:hAnsi="Times New Roman" w:cs="Times New Roman"/>
          <w:color w:val="auto"/>
          <w:sz w:val="24"/>
        </w:rPr>
        <w:t xml:space="preserve"> Calendar was marked as an official Date Table with a single active relationship to </w:t>
      </w:r>
      <w:proofErr w:type="spellStart"/>
      <w:r w:rsidRPr="00AC0449">
        <w:rPr>
          <w:rFonts w:ascii="Times New Roman" w:hAnsi="Times New Roman" w:cs="Times New Roman"/>
          <w:color w:val="auto"/>
          <w:sz w:val="24"/>
        </w:rPr>
        <w:t>FactEncounter</w:t>
      </w:r>
      <w:proofErr w:type="spellEnd"/>
      <w:r w:rsidRPr="00AC0449">
        <w:rPr>
          <w:rFonts w:ascii="Times New Roman" w:hAnsi="Times New Roman" w:cs="Times New Roman"/>
          <w:color w:val="auto"/>
          <w:sz w:val="24"/>
        </w:rPr>
        <w:t xml:space="preserve"> on </w:t>
      </w:r>
      <w:proofErr w:type="spellStart"/>
      <w:r w:rsidRPr="00AC0449">
        <w:rPr>
          <w:rFonts w:ascii="Times New Roman" w:hAnsi="Times New Roman" w:cs="Times New Roman"/>
          <w:color w:val="auto"/>
          <w:sz w:val="24"/>
        </w:rPr>
        <w:t>AdmissionDateID</w:t>
      </w:r>
      <w:proofErr w:type="spellEnd"/>
      <w:r w:rsidRPr="00AC0449">
        <w:rPr>
          <w:rFonts w:ascii="Times New Roman" w:hAnsi="Times New Roman" w:cs="Times New Roman"/>
          <w:color w:val="auto"/>
          <w:sz w:val="24"/>
        </w:rPr>
        <w:t xml:space="preserve">, leaving the </w:t>
      </w:r>
      <w:proofErr w:type="spellStart"/>
      <w:r w:rsidRPr="00AC0449">
        <w:rPr>
          <w:rFonts w:ascii="Times New Roman" w:hAnsi="Times New Roman" w:cs="Times New Roman"/>
          <w:color w:val="auto"/>
          <w:sz w:val="24"/>
        </w:rPr>
        <w:t>DischargeDateID</w:t>
      </w:r>
      <w:proofErr w:type="spellEnd"/>
      <w:r w:rsidRPr="00AC0449">
        <w:rPr>
          <w:rFonts w:ascii="Times New Roman" w:hAnsi="Times New Roman" w:cs="Times New Roman"/>
          <w:color w:val="auto"/>
          <w:sz w:val="24"/>
        </w:rPr>
        <w:t xml:space="preserve"> relationship inactive. This keeps the default filter path unambiguous for every time-based visual and measure, avoids the circular-filter risk of two simultaneous active date relationships, and still lets the small number of discharge-based analyses reach Calendar on demand through USERELATIONSHIP, so a second date table was not needed.</w:t>
      </w:r>
    </w:p>
    <w:sectPr w:rsidR="00A51DFE" w:rsidRPr="00AC0449" w:rsidSect="00AC0449">
      <w:footerReference w:type="default" r:id="rId8"/>
      <w:pgSz w:w="12240" w:h="15840"/>
      <w:pgMar w:top="1440" w:right="1080" w:bottom="1440" w:left="1080" w:header="720" w:footer="72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3CF2" w14:textId="77777777" w:rsidR="00FD49DD" w:rsidRDefault="00FD49DD" w:rsidP="002F1F64">
      <w:pPr>
        <w:spacing w:after="0" w:line="240" w:lineRule="auto"/>
      </w:pPr>
      <w:r>
        <w:separator/>
      </w:r>
    </w:p>
  </w:endnote>
  <w:endnote w:type="continuationSeparator" w:id="0">
    <w:p w14:paraId="24E20ACF" w14:textId="77777777" w:rsidR="00FD49DD" w:rsidRDefault="00FD49DD" w:rsidP="002F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686302"/>
      <w:docPartObj>
        <w:docPartGallery w:val="Page Numbers (Bottom of Page)"/>
        <w:docPartUnique/>
      </w:docPartObj>
    </w:sdtPr>
    <w:sdtEndPr>
      <w:rPr>
        <w:noProof/>
      </w:rPr>
    </w:sdtEndPr>
    <w:sdtContent>
      <w:p w14:paraId="60A3F132" w14:textId="3F1F1A6A" w:rsidR="002F1F64" w:rsidRDefault="002F1F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B648D" w14:textId="77777777" w:rsidR="002F1F64" w:rsidRDefault="002F1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7064" w14:textId="77777777" w:rsidR="00FD49DD" w:rsidRDefault="00FD49DD" w:rsidP="002F1F64">
      <w:pPr>
        <w:spacing w:after="0" w:line="240" w:lineRule="auto"/>
      </w:pPr>
      <w:r>
        <w:separator/>
      </w:r>
    </w:p>
  </w:footnote>
  <w:footnote w:type="continuationSeparator" w:id="0">
    <w:p w14:paraId="0E973F01" w14:textId="77777777" w:rsidR="00FD49DD" w:rsidRDefault="00FD49DD" w:rsidP="002F1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02C36"/>
    <w:multiLevelType w:val="hybridMultilevel"/>
    <w:tmpl w:val="92007448"/>
    <w:lvl w:ilvl="0" w:tplc="4AF86446">
      <w:start w:val="1"/>
      <w:numFmt w:val="decimal"/>
      <w:pStyle w:val="Heading1"/>
      <w:lvlText w:val="%1."/>
      <w:lvlJc w:val="left"/>
      <w:pPr>
        <w:ind w:left="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1" w:tplc="6A721804">
      <w:start w:val="1"/>
      <w:numFmt w:val="lowerLetter"/>
      <w:lvlText w:val="%2"/>
      <w:lvlJc w:val="left"/>
      <w:pPr>
        <w:ind w:left="116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2" w:tplc="B65C97C6">
      <w:start w:val="1"/>
      <w:numFmt w:val="lowerRoman"/>
      <w:lvlText w:val="%3"/>
      <w:lvlJc w:val="left"/>
      <w:pPr>
        <w:ind w:left="188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3" w:tplc="F0CC40FC">
      <w:start w:val="1"/>
      <w:numFmt w:val="decimal"/>
      <w:lvlText w:val="%4"/>
      <w:lvlJc w:val="left"/>
      <w:pPr>
        <w:ind w:left="260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4" w:tplc="625E1A1C">
      <w:start w:val="1"/>
      <w:numFmt w:val="lowerLetter"/>
      <w:lvlText w:val="%5"/>
      <w:lvlJc w:val="left"/>
      <w:pPr>
        <w:ind w:left="332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5" w:tplc="2B7CA3FE">
      <w:start w:val="1"/>
      <w:numFmt w:val="lowerRoman"/>
      <w:lvlText w:val="%6"/>
      <w:lvlJc w:val="left"/>
      <w:pPr>
        <w:ind w:left="404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6" w:tplc="BDD62BCA">
      <w:start w:val="1"/>
      <w:numFmt w:val="decimal"/>
      <w:lvlText w:val="%7"/>
      <w:lvlJc w:val="left"/>
      <w:pPr>
        <w:ind w:left="476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7" w:tplc="6ED42744">
      <w:start w:val="1"/>
      <w:numFmt w:val="lowerLetter"/>
      <w:lvlText w:val="%8"/>
      <w:lvlJc w:val="left"/>
      <w:pPr>
        <w:ind w:left="548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8" w:tplc="A8C2CB28">
      <w:start w:val="1"/>
      <w:numFmt w:val="lowerRoman"/>
      <w:lvlText w:val="%9"/>
      <w:lvlJc w:val="left"/>
      <w:pPr>
        <w:ind w:left="620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abstractNum>
  <w:abstractNum w:abstractNumId="1" w15:restartNumberingAfterBreak="0">
    <w:nsid w:val="39843B42"/>
    <w:multiLevelType w:val="hybridMultilevel"/>
    <w:tmpl w:val="4022A1EC"/>
    <w:lvl w:ilvl="0" w:tplc="4E3247CE">
      <w:start w:val="1"/>
      <w:numFmt w:val="bullet"/>
      <w:lvlText w:val="●"/>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10C0E6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2CA8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D2EF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8C45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2A785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6E01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E653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E4993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A93605"/>
    <w:multiLevelType w:val="hybridMultilevel"/>
    <w:tmpl w:val="2C1CABF2"/>
    <w:lvl w:ilvl="0" w:tplc="E4D8D220">
      <w:start w:val="1"/>
      <w:numFmt w:val="decimal"/>
      <w:lvlText w:val="%1."/>
      <w:lvlJc w:val="left"/>
      <w:pPr>
        <w:ind w:left="379"/>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1" w:tplc="A05202A8">
      <w:start w:val="1"/>
      <w:numFmt w:val="lowerLetter"/>
      <w:lvlText w:val="%2"/>
      <w:lvlJc w:val="left"/>
      <w:pPr>
        <w:ind w:left="108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2" w:tplc="353474E4">
      <w:start w:val="1"/>
      <w:numFmt w:val="lowerRoman"/>
      <w:lvlText w:val="%3"/>
      <w:lvlJc w:val="left"/>
      <w:pPr>
        <w:ind w:left="180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3" w:tplc="F25686B0">
      <w:start w:val="1"/>
      <w:numFmt w:val="decimal"/>
      <w:lvlText w:val="%4"/>
      <w:lvlJc w:val="left"/>
      <w:pPr>
        <w:ind w:left="252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4" w:tplc="748ED870">
      <w:start w:val="1"/>
      <w:numFmt w:val="lowerLetter"/>
      <w:lvlText w:val="%5"/>
      <w:lvlJc w:val="left"/>
      <w:pPr>
        <w:ind w:left="324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5" w:tplc="E60AB3BC">
      <w:start w:val="1"/>
      <w:numFmt w:val="lowerRoman"/>
      <w:lvlText w:val="%6"/>
      <w:lvlJc w:val="left"/>
      <w:pPr>
        <w:ind w:left="396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6" w:tplc="C32C1638">
      <w:start w:val="1"/>
      <w:numFmt w:val="decimal"/>
      <w:lvlText w:val="%7"/>
      <w:lvlJc w:val="left"/>
      <w:pPr>
        <w:ind w:left="468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7" w:tplc="DDEA1930">
      <w:start w:val="1"/>
      <w:numFmt w:val="lowerLetter"/>
      <w:lvlText w:val="%8"/>
      <w:lvlJc w:val="left"/>
      <w:pPr>
        <w:ind w:left="540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lvl w:ilvl="8" w:tplc="C7A0DA00">
      <w:start w:val="1"/>
      <w:numFmt w:val="lowerRoman"/>
      <w:lvlText w:val="%9"/>
      <w:lvlJc w:val="left"/>
      <w:pPr>
        <w:ind w:left="6120"/>
      </w:pPr>
      <w:rPr>
        <w:rFonts w:ascii="Arial" w:eastAsia="Arial" w:hAnsi="Arial" w:cs="Arial"/>
        <w:b/>
        <w:bCs/>
        <w:i w:val="0"/>
        <w:strike w:val="0"/>
        <w:dstrike w:val="0"/>
        <w:color w:val="2E7D8C"/>
        <w:sz w:val="21"/>
        <w:szCs w:val="21"/>
        <w:u w:val="none" w:color="000000"/>
        <w:bdr w:val="none" w:sz="0" w:space="0" w:color="auto"/>
        <w:shd w:val="clear" w:color="auto" w:fill="auto"/>
        <w:vertAlign w:val="baseline"/>
      </w:rPr>
    </w:lvl>
  </w:abstractNum>
  <w:num w:numId="1" w16cid:durableId="1919554176">
    <w:abstractNumId w:val="1"/>
  </w:num>
  <w:num w:numId="2" w16cid:durableId="1739744672">
    <w:abstractNumId w:val="2"/>
  </w:num>
  <w:num w:numId="3" w16cid:durableId="33950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DFE"/>
    <w:rsid w:val="002F1F64"/>
    <w:rsid w:val="00A51DFE"/>
    <w:rsid w:val="00AC0449"/>
    <w:rsid w:val="00C0604C"/>
    <w:rsid w:val="00F46C67"/>
    <w:rsid w:val="00FD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99F04"/>
  <w15:docId w15:val="{843B39EA-B7ED-4B80-8F83-AE6E49A8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96" w:lineRule="auto"/>
      <w:ind w:left="17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3"/>
      </w:numPr>
      <w:spacing w:after="143" w:line="259" w:lineRule="auto"/>
      <w:ind w:left="170" w:hanging="10"/>
      <w:outlineLvl w:val="0"/>
    </w:pPr>
    <w:rPr>
      <w:rFonts w:ascii="Arial" w:eastAsia="Arial" w:hAnsi="Arial" w:cs="Arial"/>
      <w:b/>
      <w:color w:val="1F3864"/>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1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F64"/>
    <w:rPr>
      <w:rFonts w:ascii="Arial" w:eastAsia="Arial" w:hAnsi="Arial" w:cs="Arial"/>
      <w:color w:val="000000"/>
      <w:sz w:val="19"/>
    </w:rPr>
  </w:style>
  <w:style w:type="paragraph" w:styleId="Footer">
    <w:name w:val="footer"/>
    <w:basedOn w:val="Normal"/>
    <w:link w:val="FooterChar"/>
    <w:uiPriority w:val="99"/>
    <w:unhideWhenUsed/>
    <w:rsid w:val="002F1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F64"/>
    <w:rPr>
      <w:rFonts w:ascii="Arial" w:eastAsia="Arial" w:hAnsi="Arial" w:cs="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Israel Ose Obokohwo</cp:lastModifiedBy>
  <cp:revision>3</cp:revision>
  <dcterms:created xsi:type="dcterms:W3CDTF">2026-08-16T17:17:00Z</dcterms:created>
  <dcterms:modified xsi:type="dcterms:W3CDTF">2026-08-16T17:20:00Z</dcterms:modified>
</cp:coreProperties>
</file>