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drawing>
          <wp:inline distT="0" distB="0" distL="0" distR="0">
            <wp:extent cx="600075" cy="86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FAE8A"/>
          <w:sz w:val="20"/>
          <w:szCs w:val="20"/>
        </w:rPr>
        <w:t xml:space="preserve">CENTRAL DE MAPAS</w:t>
      </w:r>
    </w:p>
    <w:p>
      <w:pPr>
        <w:spacing w:after="60"/>
        <w:jc w:val="center"/>
      </w:pPr>
      <w:r>
        <w:rPr>
          <w:b/>
          <w:bCs/>
          <w:color w:val="12233F"/>
          <w:sz w:val="44"/>
          <w:szCs w:val="44"/>
        </w:rPr>
        <w:t xml:space="preserve">Guia rápido de uso</w:t>
      </w:r>
    </w:p>
    <w:p>
      <w:pPr>
        <w:spacing w:after="400"/>
        <w:jc w:val="center"/>
      </w:pPr>
      <w:r>
        <w:rPr>
          <w:color w:val="5B6472"/>
          <w:sz w:val="24"/>
          <w:szCs w:val="24"/>
        </w:rPr>
        <w:t xml:space="preserve">Buscar mapas, montar o PDF e imprimir em poucos cliques.</w:t>
      </w:r>
    </w:p>
    <w:p>
      <w:pPr>
        <w:spacing w:after="160"/>
      </w:pPr>
      <w:r>
        <w:rPr>
          <w:color w:val="222222"/>
          <w:sz w:val="23"/>
          <w:szCs w:val="23"/>
        </w:rPr>
        <w:t xml:space="preserve">A Central de Mapas é o aplicativo que substitui a busca manual de mapas nas pastas do computador. O uso é dividido em dois passos, escolhidos pela abinha no topo da tela: “1 Buscar mapas” e “2 Gerar PDF e imprimir”.</w:t>
      </w:r>
    </w:p>
    <w:p>
      <w:pPr>
        <w:pStyle w:val="Heading1"/>
        <w:pBdr>
          <w:bottom w:val="single" w:color="1FAE8A" w:sz="6" w:space="4"/>
        </w:pBdr>
        <w:spacing w:after="120" w:before="300"/>
      </w:pPr>
      <w:r>
        <w:rPr>
          <w:b/>
          <w:bCs/>
          <w:color w:val="12233F"/>
          <w:sz w:val="30"/>
          <w:szCs w:val="30"/>
        </w:rPr>
        <w:t xml:space="preserve">Passo 1 — Buscar mapas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22222"/>
          <w:sz w:val="23"/>
          <w:szCs w:val="23"/>
        </w:rPr>
        <w:t xml:space="preserve">Onde estão os mapas? — selecione a pasta onde os mapas ficam guardados (a busca entra em todas as subpastas sozinha).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22222"/>
          <w:sz w:val="23"/>
          <w:szCs w:val="23"/>
        </w:rPr>
        <w:t xml:space="preserve">Quais mapas você procura? — digite os códigos das zonas separados por ponto e vírgula ( ; ), vírgula ( , ) ou um em cada linha.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22222"/>
          <w:sz w:val="23"/>
          <w:szCs w:val="23"/>
        </w:rPr>
        <w:t xml:space="preserve">Para onde deseja copiar? — selecione a pasta de destino, onde os mapas encontrados serão reunidos.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22222"/>
          <w:sz w:val="23"/>
          <w:szCs w:val="23"/>
        </w:rPr>
        <w:t xml:space="preserve">Clique em “Buscar versões mais recentes” para localizar os arquivos mais atualizados de cada código informado.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22222"/>
          <w:sz w:val="23"/>
          <w:szCs w:val="23"/>
        </w:rPr>
        <w:t xml:space="preserve">Clique em “Salvar arquivos na pasta destino” para copiar os arquivos encontrados — a própria pasta de destino abre na tela automaticamente ao final, para conferência.</w:t>
      </w:r>
    </w:p>
    <w:p>
      <w:pPr>
        <w:spacing w:after="40"/>
        <w:jc w:val="center"/>
      </w:pPr>
      <w:r>
        <w:drawing>
          <wp:inline distT="0" distB="0" distL="0" distR="0">
            <wp:extent cx="447675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60"/>
        <w:jc w:val="center"/>
      </w:pPr>
      <w:r>
        <w:rPr>
          <w:i/>
          <w:iCs/>
          <w:color w:val="5B6472"/>
          <w:sz w:val="19"/>
          <w:szCs w:val="19"/>
        </w:rPr>
        <w:t xml:space="preserve">Tela do Passo 1: pasta de origem, códigos buscados e pasta de destino.</w:t>
      </w:r>
    </w:p>
    <w:tbl>
      <w:tblPr>
        <w:tblW w:type="dxa" w:w="9360"/>
        <w:tblBorders>
          <w:top w:val="single" w:color="1FAE8A" w:sz="4"/>
          <w:left w:val="single" w:color="1FAE8A" w:sz="4"/>
          <w:bottom w:val="single" w:color="1FAE8A" w:sz="4"/>
          <w:right w:val="single" w:color="1FAE8A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9F9F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b/>
                <w:bCs/>
                <w:color w:val="12233F"/>
                <w:sz w:val="22"/>
                <w:szCs w:val="22"/>
              </w:rPr>
              <w:t xml:space="preserve">Dica: </w:t>
            </w:r>
            <w:r>
              <w:rPr>
                <w:color w:val="222222"/>
                <w:sz w:val="22"/>
                <w:szCs w:val="22"/>
              </w:rPr>
              <w:t xml:space="preserve">sempre que abrir o aplicativo, clique primeiro em “Limpar pasta de destino”. Isso evita que mapas de uma busca anterior se misturem com a busca atual.</w:t>
            </w:r>
          </w:p>
        </w:tc>
      </w:tr>
    </w:tbl>
    <w:p>
      <w:pPr>
        <w:spacing w:after="0" w:before="200"/>
      </w:pPr>
    </w:p>
    <w:p>
      <w:pPr>
        <w:spacing w:after="40"/>
        <w:jc w:val="center"/>
      </w:pPr>
      <w:r>
        <w:drawing>
          <wp:inline distT="0" distB="0" distL="0" distR="0">
            <wp:extent cx="1571625" cy="28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60"/>
        <w:jc w:val="center"/>
      </w:pPr>
      <w:r>
        <w:rPr>
          <w:i/>
          <w:iCs/>
          <w:color w:val="5B6472"/>
          <w:sz w:val="19"/>
          <w:szCs w:val="19"/>
        </w:rPr>
        <w:t xml:space="preserve">Botão “Limpar pasta de destino”, logo abaixo do campo de destino.</w:t>
      </w:r>
    </w:p>
    <w:p>
      <w:pPr>
        <w:pStyle w:val="Heading1"/>
        <w:pBdr>
          <w:bottom w:val="single" w:color="1FAE8A" w:sz="6" w:space="4"/>
        </w:pBdr>
        <w:spacing w:after="120" w:before="300"/>
      </w:pPr>
      <w:r>
        <w:rPr>
          <w:b/>
          <w:bCs/>
          <w:color w:val="12233F"/>
          <w:sz w:val="30"/>
          <w:szCs w:val="30"/>
        </w:rPr>
        <w:t xml:space="preserve">Resultado da busca</w:t>
      </w:r>
    </w:p>
    <w:p>
      <w:pPr>
        <w:spacing w:after="160"/>
      </w:pPr>
      <w:r>
        <w:rPr>
          <w:color w:val="222222"/>
          <w:sz w:val="23"/>
          <w:szCs w:val="23"/>
        </w:rPr>
        <w:t xml:space="preserve">Depois de clicar em “Buscar versões mais recentes”, a tabela mostra o código de cada zona encontrada e a data da sua última modificação — assim dá para conferir se a versão é realmente a mais atual antes de copiar.</w:t>
      </w:r>
    </w:p>
    <w:p>
      <w:pPr>
        <w:spacing w:after="40"/>
        <w:jc w:val="center"/>
      </w:pPr>
      <w:r>
        <w:drawing>
          <wp:inline distT="0" distB="0" distL="0" distR="0">
            <wp:extent cx="4095750" cy="1781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60"/>
        <w:jc w:val="center"/>
      </w:pPr>
      <w:r>
        <w:rPr>
          <w:i/>
          <w:iCs/>
          <w:color w:val="5B6472"/>
          <w:sz w:val="19"/>
          <w:szCs w:val="19"/>
        </w:rPr>
        <w:t xml:space="preserve">Tabela de resultados: termo buscado e data da última modificação.</w:t>
      </w:r>
    </w:p>
    <w:p>
      <w:pPr>
        <w:pStyle w:val="Heading1"/>
        <w:pBdr>
          <w:bottom w:val="single" w:color="1FAE8A" w:sz="6" w:space="4"/>
        </w:pBdr>
        <w:spacing w:after="120" w:before="300"/>
      </w:pPr>
      <w:r>
        <w:rPr>
          <w:b/>
          <w:bCs/>
          <w:color w:val="12233F"/>
          <w:sz w:val="30"/>
          <w:szCs w:val="30"/>
        </w:rPr>
        <w:t xml:space="preserve">Passo 2 — Gerar PDF e imprimir</w:t>
      </w:r>
    </w:p>
    <w:p>
      <w:pPr>
        <w:spacing w:after="160"/>
      </w:pPr>
      <w:r>
        <w:rPr>
          <w:color w:val="222222"/>
          <w:sz w:val="23"/>
          <w:szCs w:val="23"/>
        </w:rPr>
        <w:t xml:space="preserve">Clique na aba “2 Gerar PDF e imprimir” para avançar.</w:t>
      </w:r>
    </w:p>
    <w:p>
      <w:pPr>
        <w:spacing w:after="40"/>
        <w:jc w:val="center"/>
      </w:pPr>
      <w:r>
        <w:drawing>
          <wp:inline distT="0" distB="0" distL="0" distR="0">
            <wp:extent cx="1857375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60"/>
        <w:jc w:val="center"/>
      </w:pPr>
      <w:r>
        <w:rPr>
          <w:i/>
          <w:iCs/>
          <w:color w:val="5B6472"/>
          <w:sz w:val="19"/>
          <w:szCs w:val="19"/>
        </w:rPr>
        <w:t xml:space="preserve">Aba de navegação entre os dois passos.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22222"/>
          <w:sz w:val="23"/>
          <w:szCs w:val="23"/>
        </w:rPr>
        <w:t xml:space="preserve">De onde vêm os arquivos? — já vem preenchido com a pasta usada no Passo 1.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22222"/>
          <w:sz w:val="23"/>
          <w:szCs w:val="23"/>
        </w:rPr>
        <w:t xml:space="preserve">Gerar PDF único — junta todas as imagens e PDFs da pasta em um único arquivo, em ordem alfabética.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22222"/>
          <w:sz w:val="23"/>
          <w:szCs w:val="23"/>
        </w:rPr>
        <w:t xml:space="preserve">Abrir no navegador — permite revisar o PDF gerado antes de imprimir.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22222"/>
          <w:sz w:val="23"/>
          <w:szCs w:val="23"/>
        </w:rPr>
        <w:t xml:space="preserve">Imprimir — envia o PDF direto para a impressora.</w:t>
      </w:r>
    </w:p>
    <w:p>
      <w:pPr>
        <w:spacing w:after="40"/>
        <w:jc w:val="center"/>
      </w:pPr>
      <w:r>
        <w:drawing>
          <wp:inline distT="0" distB="0" distL="0" distR="0">
            <wp:extent cx="447675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60"/>
        <w:jc w:val="center"/>
      </w:pPr>
      <w:r>
        <w:rPr>
          <w:i/>
          <w:iCs/>
          <w:color w:val="5B6472"/>
          <w:sz w:val="19"/>
          <w:szCs w:val="19"/>
        </w:rPr>
        <w:t xml:space="preserve">Tela do Passo 2: geração do PDF único e impressão.</w:t>
      </w:r>
    </w:p>
    <w:p>
      <w:pPr>
        <w:pStyle w:val="Heading1"/>
        <w:pBdr>
          <w:bottom w:val="single" w:color="1FAE8A" w:sz="6" w:space="4"/>
        </w:pBdr>
        <w:spacing w:after="120" w:before="300"/>
      </w:pPr>
      <w:r>
        <w:rPr>
          <w:b/>
          <w:bCs/>
          <w:color w:val="12233F"/>
          <w:sz w:val="30"/>
          <w:szCs w:val="30"/>
        </w:rPr>
        <w:t xml:space="preserve">Dúvidas?</w:t>
      </w:r>
    </w:p>
    <w:p>
      <w:pPr>
        <w:spacing w:after="160"/>
      </w:pPr>
      <w:r>
        <w:rPr>
          <w:color w:val="222222"/>
          <w:sz w:val="23"/>
          <w:szCs w:val="23"/>
        </w:rPr>
        <w:t xml:space="preserve">No canto superior direito do aplicativo há o botão “Como usar”, que abre as instruções completas a qualquer momento, direto na tela — sem precisar deste guia em mãos.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bc9aa1845791c5e3b74ebb9d3ca8eb704b76f8e.png"/><Relationship Id="rId8" Type="http://schemas.openxmlformats.org/officeDocument/2006/relationships/image" Target="media/c38a59655a87176c1efa08447d97c0b0593d4e0e.png"/><Relationship Id="rId9" Type="http://schemas.openxmlformats.org/officeDocument/2006/relationships/image" Target="media/1285231dd8fdb1ea1bdecda53063afd80b8e6917.png"/><Relationship Id="rId10" Type="http://schemas.openxmlformats.org/officeDocument/2006/relationships/image" Target="media/7aba9a26ab6bcdbfd0a9929be4eb6ace7a9dbc47.png"/><Relationship Id="rId11" Type="http://schemas.openxmlformats.org/officeDocument/2006/relationships/image" Target="media/55ab84bd61530c4ffe9d81159035f34a39c7ef25.png"/><Relationship Id="rId12" Type="http://schemas.openxmlformats.org/officeDocument/2006/relationships/image" Target="media/d4398fe1eda39bc72c959699a792b1d6e6dd7f83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2026-09-04T18:10:28.519Z</dcterms:created>
  <dcterms:modified xsi:type="dcterms:W3CDTF">2026-09-04T18:10:28.542Z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