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— Solution Report</w:t>
      </w:r>
    </w:p>
    <w:p>
      <w:pPr>
        <w:spacing w:after="120"/>
      </w:pPr>
      <w:r>
        <w:rPr>
          <w:b w:val="0"/>
          <w:i/>
          <w:sz w:val="19"/>
        </w:rPr>
        <w:t>Machine Learning Engineer assessment · trained on train-test.csv (48,000 loads, Jan–Oct 2025).</w:t>
      </w:r>
    </w:p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1. Summary</w:t>
      </w:r>
    </w:p>
    <w:p>
      <w:pPr>
        <w:spacing w:after="120"/>
      </w:pPr>
      <w:r>
        <w:rPr>
          <w:b w:val="0"/>
          <w:i w:val="0"/>
        </w:rPr>
        <w:t>The target posted_rate is close to a deterministic function of distance (log-log R² = 0.97), so the interesting part of this problem is not model capacity but data quality and getting the residual 2–3% right. The final model is a log-linear regression with:</w:t>
      </w:r>
    </w:p>
    <w:p>
      <w:pPr>
        <w:pStyle w:val="ListBullet"/>
        <w:spacing w:after="60"/>
      </w:pPr>
      <w:r>
        <w:t>log(distance) and log(distance)² — the dominant driver; the log-log relation is slightly convex.</w:t>
      </w:r>
    </w:p>
    <w:p>
      <w:pPr>
        <w:pStyle w:val="ListBullet"/>
        <w:spacing w:after="60"/>
      </w:pPr>
      <w:r>
        <w:t>market_index, quote_signal, log(|weight|), equipment indicators.</w:t>
      </w:r>
    </w:p>
    <w:p>
      <w:pPr>
        <w:pStyle w:val="ListBullet"/>
        <w:spacing w:after="60"/>
      </w:pPr>
      <w:r>
        <w:t>pickup-city and delivery-city fixed effects (up to ±6.5% and remarkably stable in time).</w:t>
      </w:r>
    </w:p>
    <w:p>
      <w:pPr>
        <w:pStyle w:val="ListBullet"/>
        <w:spacing w:after="60"/>
      </w:pPr>
      <w:r>
        <w:t>a linear time trend (t = days since 2025-01-01) that captures a slow drift beyond market_index.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Fitted on 47,323 rows after flagging 677 (1.41%) training targets. The selected batch-inference policy fills null market signals with medians from supplied unlabeled features on that same date. This availability assumption is explicit for the 249 null-market validation loads and for the December chart inputs. The chronological holdout (train Jan–Aug → test Sep–Oct) compares this selected policy with the training-median reference, using the SAME fitted model and evaluation rows: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feature-imputation policy / evaluation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MAE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RMSE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MAPE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same-date batch features / clean ← selected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9,379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$48.13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$73.28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2.07%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0.99716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same-date batch features / ALL ← selected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9,523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$104.08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$632.66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4.58%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0.82813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training-only medians / clean (reference)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9,379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$48.30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$73.54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2.08%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0.99714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training-only medians / ALL (reference)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9,523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$104.27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$632.73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4.58%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0.82809</w:t>
            </w:r>
          </w:p>
        </w:tc>
      </w:tr>
    </w:tbl>
    <w:p>
      <w:pPr>
        <w:spacing w:after="120"/>
      </w:pPr>
      <w:r>
        <w:rPr>
          <w:b w:val="0"/>
          <w:i w:val="0"/>
          <w:sz w:val="19"/>
        </w:rPr>
        <w:t>The selected-policy metrics are regenerated by validation_signal_sensitivity.py; validate.py produces the reference-policy plots and rolling table. The family comparison below likewise uses reference imputation, not the selected-policy metric. Holdout labels enter only the evaluation mask/metrics, never the fit or same-date signal values. Hidden-set accuracy remains unknown.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55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out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Reference-policy holdout: model prediction vs actual daily mean rate (clean rows).</w:t>
      </w:r>
    </w:p>
    <w:p>
      <w:pPr>
        <w:pStyle w:val="Heading1"/>
      </w:pPr>
      <w:r>
        <w:t>2. Data-quality issues found and how I addressed them</w:t>
      </w:r>
    </w:p>
    <w:p>
      <w:pPr>
        <w:pStyle w:val="Heading2"/>
      </w:pPr>
      <w:r>
        <w:t>2.1 Corrupted targets — the single most important finding</w:t>
      </w:r>
    </w:p>
    <w:p>
      <w:pPr>
        <w:spacing w:after="120"/>
      </w:pPr>
      <w:r>
        <w:rPr>
          <w:b w:val="0"/>
          <w:i w:val="0"/>
        </w:rPr>
        <w:t>The symmetric multiplicative structure strongly suggests synthetic target corruption introduced for the challenge; this is an inference, not a known data-generating fact. In 677 rows (1.41%), the apparent target multipliers are far outside the core. Fitting a reference model and looking at actual/expected shows a sharp core (98.6% of rows within ±25% of prediction, σ ≈ 3.9% in log space) plus two well-separated multiplicative tails — ×0.17–×0.51 (337 rows) and ×2.09–×5.75 (340 rows) — near log-symmetric (−431 vs +419 in log space).</w:t>
      </w:r>
    </w:p>
    <w:p>
      <w:pPr>
        <w:pStyle w:val="ListBullet"/>
        <w:spacing w:after="60"/>
      </w:pPr>
      <w:r>
        <w:t>These rows are not predictable from the features: a gradient-boosted classifier on all features scores 5-fold CV AUC = 0.494. The tail is not predictable from these features in this audit, so it should not drive training; that does not guarantee hidden targets are clean.</w:t>
      </w:r>
    </w:p>
    <w:p>
      <w:pPr>
        <w:pStyle w:val="ListBullet"/>
        <w:spacing w:after="60"/>
      </w:pPr>
      <w:r>
        <w:t>Leaving them in does not materially move the coefficients — the two tails are near log-symmetric (−431 vs +419 in log space) — but it inflates all-row RMSE ~9× ($73 → $633) and hides the model's clean-core accuracy. They are detected with a MAD-based robust threshold (|residual| &gt; 6·1.4826·MAD from a simple reference model) and excluded from training. The filter is applied only to labeled training data: validation and December rows are always predicted, never dropped.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78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corru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Residuals of all 48,000 targets against a reference model: clean core + 677 corrupted rows (clipped at ±300%).</w:t>
      </w:r>
    </w:p>
    <w:p>
      <w:pPr>
        <w:pStyle w:val="Heading2"/>
      </w:pPr>
      <w:r>
        <w:t>2.2 Negative weights</w:t>
      </w:r>
    </w:p>
    <w:p>
      <w:pPr>
        <w:spacing w:after="120"/>
      </w:pPr>
      <w:r>
        <w:rPr>
          <w:b w:val="0"/>
          <w:i w:val="0"/>
        </w:rPr>
        <w:t>292 rows have negative weight (down to –47,500 lb) sitting inside a clean 0–47,500 lb distribution. |weight| lands exactly in the valid range, so this is consistent with sign-flip corruption: corrected with abs().</w:t>
      </w:r>
    </w:p>
    <w:p>
      <w:pPr>
        <w:pStyle w:val="Heading2"/>
      </w:pPr>
      <w:r>
        <w:t>2.3 Jittered lane distances and suspect city coordinates</w:t>
      </w:r>
    </w:p>
    <w:p>
      <w:pPr>
        <w:spacing w:after="120"/>
      </w:pPr>
      <w:r>
        <w:rPr>
          <w:b w:val="0"/>
          <w:i w:val="0"/>
        </w:rPr>
        <w:t>Two further quirks, both investigated and deliberately left as-is:</w:t>
      </w:r>
    </w:p>
    <w:p>
      <w:pPr>
        <w:pStyle w:val="ListBullet"/>
        <w:spacing w:after="60"/>
      </w:pPr>
      <w:r>
        <w:t>The same pickup→delivery lane reports distances with a median CV of 1.8%. Replacing them with a lane median has no measurable effect on fit (R² 0.99644 → 0.99644), so no repair was applied.</w:t>
      </w:r>
    </w:p>
    <w:p>
      <w:pPr>
        <w:pStyle w:val="ListBullet"/>
        <w:spacing w:after="60"/>
      </w:pPr>
      <w:r>
        <w:t>City coordinates are displaced from real city locations: compared against the public GeoName city list with an automated, reproducible match (highest-population exact-name rule, 64/64 cities matched), the median error is ~127 miles and only 3 cities sit within 10 miles — far beyond the usual city-centre ambiguity (Boston and Providence even share a clipped longitude of −69.5). Whether this is deliberate corruption or a preprocessing artifact remains an inference; the displacement itself is a measured property of the data. I also tested whether the rate was generated from true city-to-city distances: that fits far worse (robust σ 0.183 vs 0.040), so the rate follows the distance column as given. Since no map-based features are used, the coordinates are harmless here.</w:t>
      </w:r>
    </w:p>
    <w:p>
      <w:pPr>
        <w:pStyle w:val="Heading2"/>
      </w:pPr>
      <w:r>
        <w:t>2.4 Missing values</w:t>
      </w:r>
    </w:p>
    <w:p>
      <w:pPr>
        <w:spacing w:after="120"/>
      </w:pPr>
      <w:r>
        <w:rPr>
          <w:b w:val="0"/>
          <w:i w:val="0"/>
        </w:rPr>
        <w:t>In the labeled training split, missing weight (0.62%) and market_index (0.78%) use training-partition medians. At inference, validation has 249/12,000 null market_index values: each is filled from supplied same-date validation FEATURE medians if available (otherwise the stored training median); missing weights still use the training median. No validation targets are read. This batch-feature availability assumption is evaluated against the training-median reference in section 1.</w:t>
      </w:r>
    </w:p>
    <w:p>
      <w:pPr>
        <w:pStyle w:val="Heading1"/>
      </w:pPr>
      <w:r>
        <w:t>3. Validation strategy and data split</w:t>
      </w:r>
    </w:p>
    <w:p>
      <w:pPr>
        <w:spacing w:after="60"/>
      </w:pPr>
      <w:r>
        <w:rPr>
          <w:b w:val="0"/>
          <w:i w:val="0"/>
        </w:rPr>
        <w:t>The task requires predicting future months (validation and December are future periods), so all evaluation here is chronological. For transparency, a random 80/20 split was also measured: it looks only ~5.7% better on clean MAE (46.76 vs 49.58) than the time split — there are 0 exact duplicate rows, and recurring pickup–delivery lanes (47,933 rows) are normal freight traffic, not duplicated feature vectors. All evaluation is therefore time-based:</w:t>
      </w:r>
    </w:p>
    <w:p>
      <w:pPr>
        <w:pStyle w:val="ListNumber"/>
        <w:spacing w:after="60"/>
      </w:pPr>
      <w:r>
        <w:t>train Jan–Aug → test Sep–Oct — a two-month horizon, the closest available analogue of predicting November and December. The rolling metrics and plots below use training-median reference imputation; selected-policy two-month metrics are in section 1.</w:t>
      </w:r>
    </w:p>
    <w:p>
      <w:pPr>
        <w:pStyle w:val="ListNumber"/>
        <w:spacing w:after="60"/>
      </w:pPr>
      <w:r>
        <w:t>rolling-origin: six consecutive folds, each training on everything up to the 1st and testing on the following month. This is how the time-trend treatment was chosen.</w:t>
      </w:r>
    </w:p>
    <w:p>
      <w:pPr>
        <w:pStyle w:val="ListNumber"/>
        <w:spacing w:after="60"/>
      </w:pPr>
      <w:r>
        <w:t>the corruption threshold is estimated inside each fold, never on the test period.</w:t>
      </w:r>
    </w:p>
    <w:p>
      <w:pPr>
        <w:spacing w:after="120"/>
      </w:pPr>
      <w:r>
        <w:rPr>
          <w:b w:val="0"/>
          <w:i w:val="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train ends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test month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n (clean)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MAE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RMSE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MAPE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R²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2025-05-01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2025-06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4,851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$42.67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$60.44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1.82%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0.998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2025-06-01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2025-07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4,720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$48.83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$75.95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1.92%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0.997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2025-07-01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2025-08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4,847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$68.77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$95.40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2.81%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0.995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2025-08-01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2025-09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4,691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$51.55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$72.43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2.20%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0.997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2025-09-01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2025-10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4,606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$55.79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$86.10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2.28%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0.996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2025-10-01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2025-11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4,773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$40.70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$59.12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1.80%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0.998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599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out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Hold-out log residuals (clean rows): centred on zero, 11th–89th percentile ≈ ±2%.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64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out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4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Predicted vs actual on the hold-out, clean rows (log-log axes).</w:t>
      </w:r>
    </w:p>
    <w:p>
      <w:pPr>
        <w:pStyle w:val="Heading1"/>
      </w:pPr>
      <w:r>
        <w:t>4. Model choice — model families compared under future-like validation</w:t>
      </w:r>
    </w:p>
    <w:p>
      <w:pPr>
        <w:spacing w:after="60"/>
      </w:pPr>
      <w:r>
        <w:rPr>
          <w:b w:val="0"/>
          <w:i w:val="0"/>
        </w:rPr>
        <w:t>In the exploratory phase I benchmarked regression, boosting and a hybrid. This first table reports earlier candidate configurations on an out-of-time holdout (not the final fixed-mask audit):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MAE (clean)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RMSE (clean)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R² (clean)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parametric OLS (city FE + trend)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$48.02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$73.12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0.9972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OLS + GBM residual correction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$47.02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$71.75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0.9973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HistGradientBoosting (log target)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$56.77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$85.15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0.9962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HistGradientBoosting (raw $)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$59.26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$87.47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0.9960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HistGradientBoosting (native categoricals)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$53.63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$80.21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0.9966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Reference-imputation family audit, Sep–Oct holdout: every candidate uses the same fixed, model-independent clean mask for evaluation, alongside ALL holdout targets (including the flagged tail). No holdout row is used for fitting; this audit fits the compared candidates without robust target filtering, so linear+time below is not the cleaned shipped pipeline: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family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clean MAE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all-row MAE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all-row R²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linear log-model, no time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$103.45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$158.61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0.81957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linear log-model + time ← chosen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$49.80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$105.71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0.82827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GBM, no time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$94.01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$149.26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0.82096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GBM + time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$95.56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$150.64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0.82167</w:t>
            </w:r>
          </w:p>
        </w:tc>
      </w:tr>
    </w:tbl>
    <w:p>
      <w:pPr>
        <w:spacing w:after="160"/>
      </w:pPr>
      <w:r>
        <w:rPr>
          <w:b w:val="0"/>
          <w:i w:val="0"/>
        </w:rPr>
        <w:t>The complete auditable table (also mean and distance baselines, MAPE and clean R²) is reports/model_family_audit.csv, reproduced by optional model_family_audit.py. In the actual shipped pipeline, training-only target cleaning with reference imputation gives clean MAE $48.30 / all-row MAE $104.27; the selected same-date policy gives clean MAE $48.13 / all-row $104.08 (summary table). All-row numbers matter because hidden targets might also contain corruption; none is removed from validation or December predictions. The hybrid looked marginally better on one exploratory split, but across six rolling folds its average MAE change was −15.8% (worse on 4 of 6); we did not ship it. Among the evaluated models under this out-of-time protocol, the linear log-model with a time trend performed best; this is not a claim that regression is inherently superior to boosting. Hidden-validation accuracy is not available.</w:t>
      </w:r>
    </w:p>
    <w:p>
      <w:pPr>
        <w:pStyle w:val="Heading2"/>
      </w:pPr>
      <w:r>
        <w:t>4.1 The time trend: what it is and why it is safe to extrapolate</w:t>
      </w:r>
    </w:p>
    <w:p>
      <w:pPr>
        <w:spacing w:after="60"/>
      </w:pPr>
      <w:r>
        <w:rPr>
          <w:b w:val="0"/>
          <w:i w:val="0"/>
        </w:rPr>
        <w:t>After accounting for market_index, a slow drift remains. I compared four treatments on the rolling folds and the 2-month hold-out: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time treatment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mean MAE (6 folds)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2-month hold-out MAE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comment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$72.39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$102.78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drifts out of calibration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linear trend on full history  ← chosen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$50.92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$48.02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lowest average MAE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last-level offset (28 days)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$54.87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$68.02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over-reacts to the most recent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linear trend on recent window (120 days)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$51.91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$52.75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similar, slightly worse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A second, complementary comparison — seven rolling two-month windows (closer to the actual two-month forecast horizon), scoring four time treatments on clean rows: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test window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no time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linear (+t)  ← chosen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linear+anchor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anchor-only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Mar–Apr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141.6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138.6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138.5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140.9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Apr–May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264.4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248.3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248.5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264.8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May–Jun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65.6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51.1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52.5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65.5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Jun–Jul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69.9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56.3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56.3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66.5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Jul–Aug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56.9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106.7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115.7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47.3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Aug–Sep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93.3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55.8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49.3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74.4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Sep–Oct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103.5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49.8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56.4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mean, all 7 folds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113.6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100.9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102.5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104.4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mean, last 4 folds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80.9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67.2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69.4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65.0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  <w:sz w:val="20"/>
        </w:rPr>
        <w:t>The linear trend wins 6 of these 7 windows; the single loss is Jul–Aug, where market_index fell and the fitted trend overshot (bias +4.1%). Preferring the most recent windows when judging that trade-off is a deployment assumption (validation and December are future months), stated as such — not a mathematical fact. The 'anchor-only' variant (last-30-day offset, no slope) was measured for comparison but is not part of the shipped pipeline.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At full fit the trend is +0.0213%/day (≈ +7.8%/year) and the model's mean residual over the last 28 days is +0.0001 in log space — i.e. the fitted trend line is exactly at the recent level, which is what makes extrapolating it two months into November–December defensible (with Jul–Aug the known exception).</w:t>
      </w:r>
    </w:p>
    <w:p>
      <w:pPr>
        <w:pStyle w:val="Heading1"/>
      </w:pPr>
      <w:r>
        <w:t>5. Final model</w:t>
      </w:r>
    </w:p>
    <w:p>
      <w:pPr>
        <w:spacing w:after="120"/>
      </w:pPr>
      <w:r>
        <w:rPr>
          <w:b w:val="0"/>
          <w:i w:val="0"/>
          <w:sz w:val="19"/>
        </w:rPr>
        <w:t>log(posted_rate) = 1.0747  +  0.6864·log(distance)  +  0.01430·log(distance)²  +  0.14395·market_index  +  0.01865·quote_signal  +  0.08047·log(|weight|)  +  0.12124·is_reefer  +  0.08032·is_flatbed  +  0.000213·t  +  pickup-city FEs  +  delivery-city FEs</w:t>
      </w:r>
    </w:p>
    <w:p>
      <w:pPr>
        <w:spacing w:after="120"/>
      </w:pPr>
      <w:r>
        <w:rPr>
          <w:b w:val="0"/>
          <w:i w:val="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coefficient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log(distance)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0.6864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+1% distance ≈ +0.69% rate (plus convexity)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log(distance)²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0.01430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long hauls pay slightly more than proportional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market_index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0.14395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+0.1 in market index ≈ +1.44%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quote_signal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0.01865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small but highly significant (t=50)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log(|weight|)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0.08047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heavier loads cost slightly more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Reefer / Flatbed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+12.89% / +8.36%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vs Dry Van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 (days)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0.000213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≈ +7.8%/year drift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city FEs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 to ±6.5%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e.g. Dallas/OKC/Houston up, Syracuse/Buffalo/Detroit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R² = 0.99872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residual σ = 2.3% (robust 2.2%)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  <w:sz w:val="20"/>
        </w:rPr>
        <w:t>City effects were verified as stable over time — the Jan–Aug city effect estimates correlate 0.99 with the Sep–Oct estimates — which is what justifies using them for future months.</w:t>
      </w:r>
    </w:p>
    <w:p>
      <w:pPr>
        <w:spacing w:after="120"/>
      </w:pPr>
      <w:r>
        <w:rPr>
          <w:b w:val="0"/>
          <w:i w:val="0"/>
          <w:sz w:val="20"/>
        </w:rPr>
        <w:t>New markets: validation.csv contains 8 cities never seen in training (12.1% of its rows). Those rows get the prior-mean city effect (mean of the fitted city effects, ≈ +3.2%) rather than the baseline city's 0% — validated by leave-one-city-out ($66.7 clean MAE vs $78.2 for a zeros fallback; oracle $46.6). December chart inputs contain no unseen cities.</w:t>
      </w:r>
    </w:p>
    <w:p>
      <w:pPr>
        <w:pStyle w:val="Heading1"/>
      </w:pPr>
      <w:r>
        <w:t>6. December predictions (scorer output)</w:t>
      </w:r>
    </w:p>
    <w:p>
      <w:pPr>
        <w:spacing w:after="120"/>
      </w:pPr>
      <w:r>
        <w:rPr>
          <w:b w:val="0"/>
          <w:i w:val="0"/>
        </w:rPr>
        <w:t>The fixed December scenario is Lexington → Fort Wayne, 360 miles, Dry Van, 32,000 lb, with only the date changing. december-chart-inputs.csv omits market_index / quote_signal. The SUBMITTED predictions fill each missing signal with the median of that feature among supplied validation.csv rows on the SAME date (all 31 dates matched). No validation target/posting rate is read. This is not target leakage, but it assumes those same-date validation features were available when chart predictions were made. If they are unavailable at inference, training-only medians are the fallback. The 12,000 regular validation predictions also use supplied row features; 249 with null market_index get the same-date supplied validation-feature median (no target). If inference is strictly row-by-row without the day's other feature rows, this assumption does not hold for either prediction file.</w:t>
      </w:r>
    </w:p>
    <w:p>
      <w:pPr>
        <w:spacing w:after="120"/>
      </w:pPr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65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6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Official candidate_december.png — produced by the supplied score.py from the two submitted CSVs.</w:t>
      </w:r>
    </w:p>
    <w:p>
      <w:pPr>
        <w:spacing w:after="120"/>
      </w:pPr>
      <w:r>
        <w:rPr>
          <w:b w:val="0"/>
          <w:i w:val="0"/>
          <w:sz w:val="20"/>
        </w:rPr>
        <w:t>Sensitivity using the SAME frozen model; only the two missing signals change. Same-date-feature medians produce the submitted curve, whose daily waves reflect the available market signal; using training-only medians instead gives a flatter curve with a different peak. Neither the fallback rates nor the chart below were submitted as replacement predictions.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signal source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December mean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range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peak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supplied same-date validation features (submitted)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$839.05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$824.42–$854.51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Dec 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training-only medians (sensitivity)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$853.91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$851.19–$856.65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Dec 31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  <w:t>Same-date minus fallback: −$14.86 mean, $14.86 mean absolute difference, $27.57 maximum absolute difference (up to 3.235% of fallback). Exact daily values and signal medians: reports/december_signal_sensitivity.csv; re-run december_signal_sensitivity.py to regenerate.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04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ember_signal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December feature-availability sensitivity; the official submitted series remains unchanged.</w:t>
      </w:r>
    </w:p>
    <w:p>
      <w:pPr>
        <w:spacing w:after="120"/>
      </w:pPr>
      <w:r>
        <w:rPr>
          <w:b w:val="0"/>
          <w:i/>
          <w:sz w:val="19"/>
        </w:rPr>
        <w:t>The scorer validates CSV structure, required IDs, prediction positivity and creates a chart. Passing it does not measure or establish accuracy against Spotter's hidden validation targets.</w:t>
      </w:r>
    </w:p>
    <w:p>
      <w:pPr>
        <w:pStyle w:val="Heading1"/>
      </w:pPr>
      <w:r>
        <w:t>7. Deliverables and how to reproduce</w:t>
      </w:r>
    </w:p>
    <w:p>
      <w:pPr>
        <w:pStyle w:val="ListBullet"/>
        <w:spacing w:after="60"/>
      </w:pPr>
      <w:r>
        <w:t>freight_rate_model.py — trains on data/train-test.csv and writes the 12,000-row CSV and the 31-row December CSV. Core fit/predict dependencies: pandas and numpy.</w:t>
      </w:r>
    </w:p>
    <w:p>
      <w:pPr>
        <w:pStyle w:val="ListBullet"/>
        <w:spacing w:after="60"/>
      </w:pPr>
      <w:r>
        <w:t>validate.py — reproduces reference-imputation holdout/rolling metrics and charts (matplotlib).</w:t>
      </w:r>
    </w:p>
    <w:p>
      <w:pPr>
        <w:pStyle w:val="ListBullet"/>
        <w:spacing w:after="60"/>
      </w:pPr>
      <w:r>
        <w:t>validation_signal_sensitivity.py — the selected vs reference holdout comparison.</w:t>
      </w:r>
    </w:p>
    <w:p>
      <w:pPr>
        <w:pStyle w:val="ListBullet"/>
        <w:spacing w:after="60"/>
      </w:pPr>
      <w:r>
        <w:t>model_family_audit.py — optional fixed-mask clean/all-row family comparison; requires scikit-learn.</w:t>
      </w:r>
    </w:p>
    <w:p>
      <w:pPr>
        <w:pStyle w:val="ListBullet"/>
        <w:spacing w:after="60"/>
      </w:pPr>
      <w:r>
        <w:t>december_signal_sensitivity.py — reproduces the same-date vs training-median sensitivity without changing either submitted output CSV.</w:t>
      </w:r>
    </w:p>
    <w:p>
      <w:pPr>
        <w:pStyle w:val="ListBullet"/>
        <w:spacing w:after="60"/>
      </w:pPr>
      <w:r>
        <w:t>outputs/ — BOTH final CSVs; reports/ — this DOCX, official scorer chart, diagnostics and sensitivity chart. A Loom video/link still needs to be recorded and supplied by the candidate.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Commands:</w:t>
      </w:r>
    </w:p>
    <w:p>
      <w:r>
        <w:rPr>
          <w:rFonts w:ascii="Consolas" w:hAnsi="Consolas"/>
          <w:sz w:val="18"/>
        </w:rPr>
        <w:t>python freight_rate_model.py --train data/train-test.csv --validation data/validation.csv --template data/validation-predictions-template.csv --december data/december-chart-inputs.csv --out outputs/validation_predictions.csv</w:t>
        <w:br/>
        <w:t>python score.py --predictions outputs/validation_predictions.csv --december-predictions outputs/december-chart-inputs.csv</w:t>
        <w:br/>
        <w:t>python validate.py; python validation_signal_sensitivity.py; python december_signal_sensitivity.py; python make_report.py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