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98C" w:rsidRPr="0031798C" w:rsidRDefault="0031798C" w:rsidP="0031798C">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SOCIAL AND FOOD SECURITY IMPLICATIONS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The integration of circular economy principles with precision agriculture has far-reaching implications for society and global food security. Beyond environmental and economic outcomes, this synergy influences livelihoods, equity, nutrition, rural development, and the resilience of food systems. As the global population continues to grow and climate change intensifies pressure on agricultural systems, these implications are increasingly critical for sustaining food production and social stability.</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Enhancing Food Availability and Stability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One of the most significant food security implications of combining circular economy practices with precision agriculture is improved food availability. Precision agriculture technol</w:t>
      </w:r>
      <w:r>
        <w:rPr>
          <w:rFonts w:ascii="Times New Roman" w:eastAsia="Times New Roman" w:hAnsi="Times New Roman" w:cs="Times New Roman"/>
          <w:sz w:val="24"/>
          <w:szCs w:val="24"/>
        </w:rPr>
        <w:t xml:space="preserve">ogies </w:t>
      </w:r>
      <w:r w:rsidRPr="0031798C">
        <w:rPr>
          <w:rFonts w:ascii="Times New Roman" w:eastAsia="Times New Roman" w:hAnsi="Times New Roman" w:cs="Times New Roman"/>
          <w:sz w:val="24"/>
          <w:szCs w:val="24"/>
        </w:rPr>
        <w:t>such as GPS-guided equipment, sens</w:t>
      </w:r>
      <w:r>
        <w:rPr>
          <w:rFonts w:ascii="Times New Roman" w:eastAsia="Times New Roman" w:hAnsi="Times New Roman" w:cs="Times New Roman"/>
          <w:sz w:val="24"/>
          <w:szCs w:val="24"/>
        </w:rPr>
        <w:t xml:space="preserve">ors, drones, and data analytics </w:t>
      </w:r>
      <w:r w:rsidRPr="0031798C">
        <w:rPr>
          <w:rFonts w:ascii="Times New Roman" w:eastAsia="Times New Roman" w:hAnsi="Times New Roman" w:cs="Times New Roman"/>
          <w:sz w:val="24"/>
          <w:szCs w:val="24"/>
        </w:rPr>
        <w:t>enable farmers to optimize planting, irrigation, fertilization, and harvesting. This precision reduces yield losses caused by pests, diseases, nutrient deficiencies, and climate variability.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When embedded within a circular economy framework, agricultural waste is minimized and resources are continuously reused. Crop residues, animal waste, and food processing by-products are recycled into compost, organic fertilizers, animal feed, or bioenergy. This reduces dependency on imported synthetic inputs and strengthens local food systems, thereby increasing production stability even during economic or supply-chain disruptions.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As a result, food systems become more resilient to shocks such as droughts, price volatility, pandemics, and geopolitical conflicts, contributing directly to national and global food security.</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Improving Food Access and Affordability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Food security is not only about production but also access. Precision agriculture reduces production co</w:t>
      </w:r>
      <w:r>
        <w:rPr>
          <w:rFonts w:ascii="Times New Roman" w:eastAsia="Times New Roman" w:hAnsi="Times New Roman" w:cs="Times New Roman"/>
          <w:sz w:val="24"/>
          <w:szCs w:val="24"/>
        </w:rPr>
        <w:t xml:space="preserve">sts through efficient input use </w:t>
      </w:r>
      <w:r w:rsidRPr="0031798C">
        <w:rPr>
          <w:rFonts w:ascii="Times New Roman" w:eastAsia="Times New Roman" w:hAnsi="Times New Roman" w:cs="Times New Roman"/>
          <w:sz w:val="24"/>
          <w:szCs w:val="24"/>
        </w:rPr>
        <w:t>less water, fewer fertilizers, and reduced fuel consumption. When combined with circular economy strategies such as on-farm input recycling and local resource utilization, farmers can lower operational expenses significantly.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lastRenderedPageBreak/>
        <w:t>Lower production costs can translate into more affordable food prices for consumers, particularly in low-income and food-insecure communities. Additionally, circular value chains encourage localized food production and processing, reducing transportation costs and post-harvest losses. Shorter supply chains make food more accessible to urban and rural populations alike.</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For developing countries, including Nigeria and other Sub-Saharan African nations, this approach can help stabilize food prices and reduce dependence on food imports, improving national food sovereignty.</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Strengthening Rural Livelihoods and Social Inclusion</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circular economy </w:t>
      </w:r>
      <w:r w:rsidRPr="0031798C">
        <w:rPr>
          <w:rFonts w:ascii="Times New Roman" w:eastAsia="Times New Roman" w:hAnsi="Times New Roman" w:cs="Times New Roman"/>
          <w:sz w:val="24"/>
          <w:szCs w:val="24"/>
        </w:rPr>
        <w:t>precision agriculture nexus offers opportunities for rural job creation and social inclusion. Circular agricultural systems create new roles in waste management, composting, biogas production, recycling, data analysis, equipment maintenance, and agribusiness services.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Precision agriculture also empowers farmers with data-driven decision-making, increasing productivity and income. Smallholder farmers, who produce a significant share of the world’s food, stand to benefit when technologies are adapted to their scale and context. Digital platforms, mobile advisory services, and low-cost sensors can democratize access to agricultural knowledge and markets.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women and youth </w:t>
      </w:r>
      <w:r w:rsidRPr="0031798C">
        <w:rPr>
          <w:rFonts w:ascii="Times New Roman" w:eastAsia="Times New Roman" w:hAnsi="Times New Roman" w:cs="Times New Roman"/>
          <w:sz w:val="24"/>
          <w:szCs w:val="24"/>
        </w:rPr>
        <w:t>often marginalized in t</w:t>
      </w:r>
      <w:r>
        <w:rPr>
          <w:rFonts w:ascii="Times New Roman" w:eastAsia="Times New Roman" w:hAnsi="Times New Roman" w:cs="Times New Roman"/>
          <w:sz w:val="24"/>
          <w:szCs w:val="24"/>
        </w:rPr>
        <w:t xml:space="preserve">raditional agricultural systems </w:t>
      </w:r>
      <w:r w:rsidRPr="0031798C">
        <w:rPr>
          <w:rFonts w:ascii="Times New Roman" w:eastAsia="Times New Roman" w:hAnsi="Times New Roman" w:cs="Times New Roman"/>
          <w:sz w:val="24"/>
          <w:szCs w:val="24"/>
        </w:rPr>
        <w:t xml:space="preserve">can benefit from new skill-based opportunities in </w:t>
      </w:r>
      <w:proofErr w:type="spellStart"/>
      <w:r w:rsidRPr="0031798C">
        <w:rPr>
          <w:rFonts w:ascii="Times New Roman" w:eastAsia="Times New Roman" w:hAnsi="Times New Roman" w:cs="Times New Roman"/>
          <w:sz w:val="24"/>
          <w:szCs w:val="24"/>
        </w:rPr>
        <w:t>agri</w:t>
      </w:r>
      <w:proofErr w:type="spellEnd"/>
      <w:r w:rsidRPr="0031798C">
        <w:rPr>
          <w:rFonts w:ascii="Times New Roman" w:eastAsia="Times New Roman" w:hAnsi="Times New Roman" w:cs="Times New Roman"/>
          <w:sz w:val="24"/>
          <w:szCs w:val="24"/>
        </w:rPr>
        <w:t>-technology, data services, and circular value-chain enterprises. This contributes to poverty reduction, reduced rural-urban migration, and improved social equity.</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Nutritional Security and Food Quality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Beyond quantity, food security also encompasses nutritional quality. Precision agriculture allows farmers to manage soil health more effectively by monitoring nutrient levels and applying inputs precisely. Healthier soils lead to more nutrient-dense crops, improving dietary quality for consumers.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lastRenderedPageBreak/>
        <w:t>Circular economy practices further enhance nutritional outcomes by promoting organic soil amendments, reduced chemical residues, and sustainable livestock integration. The reuse of organic waste as compost improves soil micro biomes, which positively affects crop nutritional profiles.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In addition, circular food systems reduce food loss and waste across the supply chain. Surplus produce can be processed, preserved, or redistributed, improving access to nutritious food for vulnerable populations and reducing malnutrition.</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Community Resilience and Food System Sustainability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Communities that adopt circular and precision-based agricultural systems tend to be more resilient. Local resource l</w:t>
      </w:r>
      <w:r>
        <w:rPr>
          <w:rFonts w:ascii="Times New Roman" w:eastAsia="Times New Roman" w:hAnsi="Times New Roman" w:cs="Times New Roman"/>
          <w:sz w:val="24"/>
          <w:szCs w:val="24"/>
        </w:rPr>
        <w:t xml:space="preserve">oops </w:t>
      </w:r>
      <w:r w:rsidRPr="0031798C">
        <w:rPr>
          <w:rFonts w:ascii="Times New Roman" w:eastAsia="Times New Roman" w:hAnsi="Times New Roman" w:cs="Times New Roman"/>
          <w:sz w:val="24"/>
          <w:szCs w:val="24"/>
        </w:rPr>
        <w:t>such as recycling farm w</w:t>
      </w:r>
      <w:r>
        <w:rPr>
          <w:rFonts w:ascii="Times New Roman" w:eastAsia="Times New Roman" w:hAnsi="Times New Roman" w:cs="Times New Roman"/>
          <w:sz w:val="24"/>
          <w:szCs w:val="24"/>
        </w:rPr>
        <w:t xml:space="preserve">aste into energy or fertilizers </w:t>
      </w:r>
      <w:r w:rsidRPr="0031798C">
        <w:rPr>
          <w:rFonts w:ascii="Times New Roman" w:eastAsia="Times New Roman" w:hAnsi="Times New Roman" w:cs="Times New Roman"/>
          <w:sz w:val="24"/>
          <w:szCs w:val="24"/>
        </w:rPr>
        <w:t>reduce external dependencies and strengthen community self-reliance.</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Precision agriculture enhances early warning systems for pests, diseases, and climate risks through real-time monitoring. When combined with circular strategies that maintain soil fertility and ecosystem health, communities are better equipped to adapt to climate change impacts.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This resilience is particularly important for small farming communities facing increasing environmental uncertainty. Sustainable food systems support long-term community well-being, social cohesion, and intergenerational food security.</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t>Ethical and Intergenerational Implications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The circular economy–precision agriculture model aligns strongly with ethical considerations of sustainability and intergenerational justice. By minimizing waste, conserving natural resources, and maintaining soil fertility, current agricultural practices do not compromise the ability of future generations to meet their food needs.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Socially, this model promotes responsible consumption and production patterns, encouraging consumers to value food, reduce waste, and support sustainable agricultural practices. It fosters a culture of stewardship rather than exploitation, reinforcing ethical responsibility across the food system.</w:t>
      </w:r>
    </w:p>
    <w:p w:rsidR="0031798C" w:rsidRPr="0031798C" w:rsidRDefault="0031798C" w:rsidP="0031798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lastRenderedPageBreak/>
        <w:t>Implications for Developing Economies</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In developing economies, where food insecurity remains a major challenge, the social benefits of this integration are particularly pronounced. Precision agricul</w:t>
      </w:r>
      <w:r>
        <w:rPr>
          <w:rFonts w:ascii="Times New Roman" w:eastAsia="Times New Roman" w:hAnsi="Times New Roman" w:cs="Times New Roman"/>
          <w:sz w:val="24"/>
          <w:szCs w:val="24"/>
        </w:rPr>
        <w:t xml:space="preserve">ture tailored to local contexts </w:t>
      </w:r>
      <w:r w:rsidRPr="0031798C">
        <w:rPr>
          <w:rFonts w:ascii="Times New Roman" w:eastAsia="Times New Roman" w:hAnsi="Times New Roman" w:cs="Times New Roman"/>
          <w:sz w:val="24"/>
          <w:szCs w:val="24"/>
        </w:rPr>
        <w:t>such as mobile-based advisory syst</w:t>
      </w:r>
      <w:r>
        <w:rPr>
          <w:rFonts w:ascii="Times New Roman" w:eastAsia="Times New Roman" w:hAnsi="Times New Roman" w:cs="Times New Roman"/>
          <w:sz w:val="24"/>
          <w:szCs w:val="24"/>
        </w:rPr>
        <w:t xml:space="preserve">ems and affordable technologies </w:t>
      </w:r>
      <w:r w:rsidRPr="0031798C">
        <w:rPr>
          <w:rFonts w:ascii="Times New Roman" w:eastAsia="Times New Roman" w:hAnsi="Times New Roman" w:cs="Times New Roman"/>
          <w:sz w:val="24"/>
          <w:szCs w:val="24"/>
        </w:rPr>
        <w:t>can significantly increase smallholder productivity.</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Circular practices reduce reliance on expensive external inputs, making farming more viable for low-income farmers. This enhances household food security, increases income stability, and contributes to broader rural development.</w:t>
      </w:r>
    </w:p>
    <w:p w:rsidR="0031798C" w:rsidRPr="0031798C" w:rsidRDefault="0031798C" w:rsidP="0031798C">
      <w:p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However, equitable implementation is essential. Without inclusive policies and capacity building, technological adoption could widen social inequalities. Therefore, social considerations must remain central to implementation strategies.</w:t>
      </w:r>
    </w:p>
    <w:p w:rsidR="0031798C" w:rsidRDefault="0031798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31798C" w:rsidRPr="0031798C" w:rsidRDefault="0031798C" w:rsidP="0031798C">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31798C">
        <w:rPr>
          <w:rFonts w:ascii="Times New Roman" w:eastAsia="Times New Roman" w:hAnsi="Times New Roman" w:cs="Times New Roman"/>
          <w:b/>
          <w:bCs/>
          <w:sz w:val="24"/>
          <w:szCs w:val="24"/>
        </w:rPr>
        <w:lastRenderedPageBreak/>
        <w:t>REFERE</w:t>
      </w:r>
      <w:bookmarkStart w:id="0" w:name="_GoBack"/>
      <w:bookmarkEnd w:id="0"/>
      <w:r w:rsidRPr="0031798C">
        <w:rPr>
          <w:rFonts w:ascii="Times New Roman" w:eastAsia="Times New Roman" w:hAnsi="Times New Roman" w:cs="Times New Roman"/>
          <w:b/>
          <w:bCs/>
          <w:sz w:val="24"/>
          <w:szCs w:val="24"/>
        </w:rPr>
        <w:t>NCES</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 xml:space="preserve">Food and Agriculture Organization (FAO). (2018). </w:t>
      </w:r>
      <w:r w:rsidRPr="0031798C">
        <w:rPr>
          <w:rFonts w:ascii="Times New Roman" w:eastAsia="Times New Roman" w:hAnsi="Times New Roman" w:cs="Times New Roman"/>
          <w:i/>
          <w:iCs/>
          <w:sz w:val="24"/>
          <w:szCs w:val="24"/>
        </w:rPr>
        <w:t>Sustainable food systems: Concept and framework</w:t>
      </w:r>
      <w:r w:rsidRPr="0031798C">
        <w:rPr>
          <w:rFonts w:ascii="Times New Roman" w:eastAsia="Times New Roman" w:hAnsi="Times New Roman" w:cs="Times New Roman"/>
          <w:sz w:val="24"/>
          <w:szCs w:val="24"/>
        </w:rPr>
        <w:t>. FAO, Rome.</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 xml:space="preserve">World Bank. (2020). </w:t>
      </w:r>
      <w:r w:rsidRPr="0031798C">
        <w:rPr>
          <w:rFonts w:ascii="Times New Roman" w:eastAsia="Times New Roman" w:hAnsi="Times New Roman" w:cs="Times New Roman"/>
          <w:i/>
          <w:iCs/>
          <w:sz w:val="24"/>
          <w:szCs w:val="24"/>
        </w:rPr>
        <w:t>Future of food: Harnessing digital technologies to improve food system outcomes</w:t>
      </w:r>
      <w:r w:rsidRPr="0031798C">
        <w:rPr>
          <w:rFonts w:ascii="Times New Roman" w:eastAsia="Times New Roman" w:hAnsi="Times New Roman" w:cs="Times New Roman"/>
          <w:sz w:val="24"/>
          <w:szCs w:val="24"/>
        </w:rPr>
        <w:t>. World Bank Publications.</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31798C">
        <w:rPr>
          <w:rFonts w:ascii="Times New Roman" w:eastAsia="Times New Roman" w:hAnsi="Times New Roman" w:cs="Times New Roman"/>
          <w:sz w:val="24"/>
          <w:szCs w:val="24"/>
        </w:rPr>
        <w:t>Geissdoerfer</w:t>
      </w:r>
      <w:proofErr w:type="spellEnd"/>
      <w:r w:rsidRPr="0031798C">
        <w:rPr>
          <w:rFonts w:ascii="Times New Roman" w:eastAsia="Times New Roman" w:hAnsi="Times New Roman" w:cs="Times New Roman"/>
          <w:sz w:val="24"/>
          <w:szCs w:val="24"/>
        </w:rPr>
        <w:t xml:space="preserve">, M., </w:t>
      </w:r>
      <w:proofErr w:type="spellStart"/>
      <w:r w:rsidRPr="0031798C">
        <w:rPr>
          <w:rFonts w:ascii="Times New Roman" w:eastAsia="Times New Roman" w:hAnsi="Times New Roman" w:cs="Times New Roman"/>
          <w:sz w:val="24"/>
          <w:szCs w:val="24"/>
        </w:rPr>
        <w:t>Savaget</w:t>
      </w:r>
      <w:proofErr w:type="spellEnd"/>
      <w:r w:rsidRPr="0031798C">
        <w:rPr>
          <w:rFonts w:ascii="Times New Roman" w:eastAsia="Times New Roman" w:hAnsi="Times New Roman" w:cs="Times New Roman"/>
          <w:sz w:val="24"/>
          <w:szCs w:val="24"/>
        </w:rPr>
        <w:t xml:space="preserve">, P., </w:t>
      </w:r>
      <w:proofErr w:type="spellStart"/>
      <w:r w:rsidRPr="0031798C">
        <w:rPr>
          <w:rFonts w:ascii="Times New Roman" w:eastAsia="Times New Roman" w:hAnsi="Times New Roman" w:cs="Times New Roman"/>
          <w:sz w:val="24"/>
          <w:szCs w:val="24"/>
        </w:rPr>
        <w:t>Bocken</w:t>
      </w:r>
      <w:proofErr w:type="spellEnd"/>
      <w:r w:rsidRPr="0031798C">
        <w:rPr>
          <w:rFonts w:ascii="Times New Roman" w:eastAsia="Times New Roman" w:hAnsi="Times New Roman" w:cs="Times New Roman"/>
          <w:sz w:val="24"/>
          <w:szCs w:val="24"/>
        </w:rPr>
        <w:t xml:space="preserve">, N. M. P., &amp; </w:t>
      </w:r>
      <w:proofErr w:type="spellStart"/>
      <w:r w:rsidRPr="0031798C">
        <w:rPr>
          <w:rFonts w:ascii="Times New Roman" w:eastAsia="Times New Roman" w:hAnsi="Times New Roman" w:cs="Times New Roman"/>
          <w:sz w:val="24"/>
          <w:szCs w:val="24"/>
        </w:rPr>
        <w:t>Hultink</w:t>
      </w:r>
      <w:proofErr w:type="spellEnd"/>
      <w:r w:rsidRPr="0031798C">
        <w:rPr>
          <w:rFonts w:ascii="Times New Roman" w:eastAsia="Times New Roman" w:hAnsi="Times New Roman" w:cs="Times New Roman"/>
          <w:sz w:val="24"/>
          <w:szCs w:val="24"/>
        </w:rPr>
        <w:t xml:space="preserve">, E. J. (2017). The Circular Economy – A new sustainability paradigm. </w:t>
      </w:r>
      <w:r w:rsidRPr="0031798C">
        <w:rPr>
          <w:rFonts w:ascii="Times New Roman" w:eastAsia="Times New Roman" w:hAnsi="Times New Roman" w:cs="Times New Roman"/>
          <w:i/>
          <w:iCs/>
          <w:sz w:val="24"/>
          <w:szCs w:val="24"/>
        </w:rPr>
        <w:t>Journal of Cleaner Production</w:t>
      </w:r>
      <w:r w:rsidRPr="0031798C">
        <w:rPr>
          <w:rFonts w:ascii="Times New Roman" w:eastAsia="Times New Roman" w:hAnsi="Times New Roman" w:cs="Times New Roman"/>
          <w:sz w:val="24"/>
          <w:szCs w:val="24"/>
        </w:rPr>
        <w:t>, 143, 757–768.</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 xml:space="preserve">Pretty, J., </w:t>
      </w:r>
      <w:proofErr w:type="spellStart"/>
      <w:r w:rsidRPr="0031798C">
        <w:rPr>
          <w:rFonts w:ascii="Times New Roman" w:eastAsia="Times New Roman" w:hAnsi="Times New Roman" w:cs="Times New Roman"/>
          <w:sz w:val="24"/>
          <w:szCs w:val="24"/>
        </w:rPr>
        <w:t>Toulmin</w:t>
      </w:r>
      <w:proofErr w:type="spellEnd"/>
      <w:r w:rsidRPr="0031798C">
        <w:rPr>
          <w:rFonts w:ascii="Times New Roman" w:eastAsia="Times New Roman" w:hAnsi="Times New Roman" w:cs="Times New Roman"/>
          <w:sz w:val="24"/>
          <w:szCs w:val="24"/>
        </w:rPr>
        <w:t xml:space="preserve">, C., &amp; Williams, S. (2011). Sustainable intensification in African agriculture. </w:t>
      </w:r>
      <w:r w:rsidRPr="0031798C">
        <w:rPr>
          <w:rFonts w:ascii="Times New Roman" w:eastAsia="Times New Roman" w:hAnsi="Times New Roman" w:cs="Times New Roman"/>
          <w:i/>
          <w:iCs/>
          <w:sz w:val="24"/>
          <w:szCs w:val="24"/>
        </w:rPr>
        <w:t>International Journal of Agricultural Sustainability</w:t>
      </w:r>
      <w:r w:rsidRPr="0031798C">
        <w:rPr>
          <w:rFonts w:ascii="Times New Roman" w:eastAsia="Times New Roman" w:hAnsi="Times New Roman" w:cs="Times New Roman"/>
          <w:sz w:val="24"/>
          <w:szCs w:val="24"/>
        </w:rPr>
        <w:t>, 9(1), 5–24.</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31798C">
        <w:rPr>
          <w:rFonts w:ascii="Times New Roman" w:eastAsia="Times New Roman" w:hAnsi="Times New Roman" w:cs="Times New Roman"/>
          <w:sz w:val="24"/>
          <w:szCs w:val="24"/>
        </w:rPr>
        <w:t>Rosegrant</w:t>
      </w:r>
      <w:proofErr w:type="spellEnd"/>
      <w:r w:rsidRPr="0031798C">
        <w:rPr>
          <w:rFonts w:ascii="Times New Roman" w:eastAsia="Times New Roman" w:hAnsi="Times New Roman" w:cs="Times New Roman"/>
          <w:sz w:val="24"/>
          <w:szCs w:val="24"/>
        </w:rPr>
        <w:t xml:space="preserve">, M. W., &amp; Cline, S. A. (2003). Global food security: Challenges and policies. </w:t>
      </w:r>
      <w:r w:rsidRPr="0031798C">
        <w:rPr>
          <w:rFonts w:ascii="Times New Roman" w:eastAsia="Times New Roman" w:hAnsi="Times New Roman" w:cs="Times New Roman"/>
          <w:i/>
          <w:iCs/>
          <w:sz w:val="24"/>
          <w:szCs w:val="24"/>
        </w:rPr>
        <w:t>Science</w:t>
      </w:r>
      <w:r w:rsidRPr="0031798C">
        <w:rPr>
          <w:rFonts w:ascii="Times New Roman" w:eastAsia="Times New Roman" w:hAnsi="Times New Roman" w:cs="Times New Roman"/>
          <w:sz w:val="24"/>
          <w:szCs w:val="24"/>
        </w:rPr>
        <w:t>, 302(5652), 1917–1919.</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 xml:space="preserve">United Nations. (2019). </w:t>
      </w:r>
      <w:r w:rsidRPr="0031798C">
        <w:rPr>
          <w:rFonts w:ascii="Times New Roman" w:eastAsia="Times New Roman" w:hAnsi="Times New Roman" w:cs="Times New Roman"/>
          <w:i/>
          <w:iCs/>
          <w:sz w:val="24"/>
          <w:szCs w:val="24"/>
        </w:rPr>
        <w:t>Global Sustainable Development Report</w:t>
      </w:r>
      <w:r w:rsidRPr="0031798C">
        <w:rPr>
          <w:rFonts w:ascii="Times New Roman" w:eastAsia="Times New Roman" w:hAnsi="Times New Roman" w:cs="Times New Roman"/>
          <w:sz w:val="24"/>
          <w:szCs w:val="24"/>
        </w:rPr>
        <w:t>. United Nations, New York.</w:t>
      </w:r>
    </w:p>
    <w:p w:rsidR="0031798C" w:rsidRPr="0031798C" w:rsidRDefault="0031798C" w:rsidP="0031798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31798C">
        <w:rPr>
          <w:rFonts w:ascii="Times New Roman" w:eastAsia="Times New Roman" w:hAnsi="Times New Roman" w:cs="Times New Roman"/>
          <w:sz w:val="24"/>
          <w:szCs w:val="24"/>
        </w:rPr>
        <w:t xml:space="preserve">Basso, B., &amp; </w:t>
      </w:r>
      <w:proofErr w:type="spellStart"/>
      <w:r w:rsidRPr="0031798C">
        <w:rPr>
          <w:rFonts w:ascii="Times New Roman" w:eastAsia="Times New Roman" w:hAnsi="Times New Roman" w:cs="Times New Roman"/>
          <w:sz w:val="24"/>
          <w:szCs w:val="24"/>
        </w:rPr>
        <w:t>Antle</w:t>
      </w:r>
      <w:proofErr w:type="spellEnd"/>
      <w:r w:rsidRPr="0031798C">
        <w:rPr>
          <w:rFonts w:ascii="Times New Roman" w:eastAsia="Times New Roman" w:hAnsi="Times New Roman" w:cs="Times New Roman"/>
          <w:sz w:val="24"/>
          <w:szCs w:val="24"/>
        </w:rPr>
        <w:t xml:space="preserve">, J. (2020). Digital agriculture to design sustainable agricultural systems. </w:t>
      </w:r>
      <w:r w:rsidRPr="0031798C">
        <w:rPr>
          <w:rFonts w:ascii="Times New Roman" w:eastAsia="Times New Roman" w:hAnsi="Times New Roman" w:cs="Times New Roman"/>
          <w:i/>
          <w:iCs/>
          <w:sz w:val="24"/>
          <w:szCs w:val="24"/>
        </w:rPr>
        <w:t>Nature Sustainability</w:t>
      </w:r>
      <w:r w:rsidRPr="0031798C">
        <w:rPr>
          <w:rFonts w:ascii="Times New Roman" w:eastAsia="Times New Roman" w:hAnsi="Times New Roman" w:cs="Times New Roman"/>
          <w:sz w:val="24"/>
          <w:szCs w:val="24"/>
        </w:rPr>
        <w:t>, 3, 254–256.</w:t>
      </w:r>
    </w:p>
    <w:p w:rsidR="00F963AA" w:rsidRPr="0031798C" w:rsidRDefault="00F963AA" w:rsidP="0031798C">
      <w:pPr>
        <w:spacing w:line="360" w:lineRule="auto"/>
        <w:jc w:val="both"/>
        <w:rPr>
          <w:sz w:val="24"/>
          <w:szCs w:val="24"/>
        </w:rPr>
      </w:pPr>
    </w:p>
    <w:sectPr w:rsidR="00F963AA" w:rsidRPr="00317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4E6323"/>
    <w:multiLevelType w:val="multilevel"/>
    <w:tmpl w:val="E612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98C"/>
    <w:rsid w:val="0031798C"/>
    <w:rsid w:val="00F96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90A90F-ED25-4445-9A78-6C247E42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79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79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798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798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79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179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55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1158</Words>
  <Characters>6603</Characters>
  <Application>Microsoft Office Word</Application>
  <DocSecurity>0</DocSecurity>
  <Lines>55</Lines>
  <Paragraphs>15</Paragraphs>
  <ScaleCrop>false</ScaleCrop>
  <Company/>
  <LinksUpToDate>false</LinksUpToDate>
  <CharactersWithSpaces>7746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2025-12-29T17:50:00Z</dcterms:created>
  <dcterms:modified xsi:type="dcterms:W3CDTF">2025-12-29T17:55:00Z</dcterms:modified>
</cp:coreProperties>
</file>