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E73B3" w14:textId="1018246C" w:rsidR="00A377A4" w:rsidRPr="00A377A4" w:rsidRDefault="00A377A4" w:rsidP="00A377A4">
      <w:pPr>
        <w:rPr>
          <w:rFonts w:ascii="Arial" w:hAnsi="Arial" w:cs="Arial"/>
          <w:b/>
          <w:bCs/>
          <w:kern w:val="36"/>
          <w:sz w:val="22"/>
          <w:szCs w:val="22"/>
        </w:rPr>
      </w:pPr>
      <w:r w:rsidRPr="00A377A4">
        <w:rPr>
          <w:rFonts w:ascii="Arial" w:hAnsi="Arial" w:cs="Arial"/>
          <w:b/>
          <w:bCs/>
          <w:kern w:val="36"/>
          <w:sz w:val="22"/>
          <w:szCs w:val="22"/>
        </w:rPr>
        <w:t>Abstract</w:t>
      </w:r>
    </w:p>
    <w:p w14:paraId="093A06F9" w14:textId="77777777" w:rsidR="00A377A4" w:rsidRDefault="00A377A4" w:rsidP="00A377A4">
      <w:pPr>
        <w:rPr>
          <w:rFonts w:ascii="Arial" w:hAnsi="Arial" w:cs="Arial"/>
          <w:kern w:val="36"/>
          <w:sz w:val="22"/>
          <w:szCs w:val="22"/>
        </w:rPr>
      </w:pPr>
    </w:p>
    <w:p w14:paraId="74304EA2" w14:textId="70520D8B" w:rsidR="00A377A4" w:rsidRPr="00A377A4" w:rsidRDefault="00A377A4" w:rsidP="00A377A4">
      <w:pPr>
        <w:jc w:val="both"/>
        <w:rPr>
          <w:rFonts w:ascii="Arial" w:hAnsi="Arial" w:cs="Arial"/>
          <w:kern w:val="36"/>
          <w:sz w:val="22"/>
          <w:szCs w:val="22"/>
        </w:rPr>
      </w:pPr>
      <w:r w:rsidRPr="00A377A4">
        <w:rPr>
          <w:rFonts w:ascii="Arial" w:hAnsi="Arial" w:cs="Arial"/>
          <w:kern w:val="36"/>
          <w:sz w:val="22"/>
          <w:szCs w:val="22"/>
        </w:rPr>
        <w:t>The purpose of this project is to review Middle East Insurance’s portfolio over underwriting years 2021 to 2025 and provide the company with an informed view of its recent performance, outstanding loss obligations, and pricing needs for the 2026 renewal. The dataset includes Medical, Motor, and Property business and reflects results as of 30 September 2025.</w:t>
      </w:r>
    </w:p>
    <w:p w14:paraId="78F5620B" w14:textId="77777777" w:rsidR="00A377A4" w:rsidRDefault="00A377A4" w:rsidP="00A377A4">
      <w:pPr>
        <w:jc w:val="both"/>
        <w:rPr>
          <w:rFonts w:ascii="Arial" w:hAnsi="Arial" w:cs="Arial"/>
          <w:kern w:val="36"/>
          <w:sz w:val="22"/>
          <w:szCs w:val="22"/>
        </w:rPr>
      </w:pPr>
    </w:p>
    <w:p w14:paraId="7C45934F" w14:textId="239A6E96" w:rsidR="00A377A4" w:rsidRPr="00A377A4" w:rsidRDefault="00A377A4" w:rsidP="00A377A4">
      <w:pPr>
        <w:jc w:val="both"/>
        <w:rPr>
          <w:rFonts w:ascii="Arial" w:hAnsi="Arial" w:cs="Arial"/>
          <w:kern w:val="36"/>
          <w:sz w:val="22"/>
          <w:szCs w:val="22"/>
        </w:rPr>
      </w:pPr>
      <w:r w:rsidRPr="00A377A4">
        <w:rPr>
          <w:rFonts w:ascii="Arial" w:hAnsi="Arial" w:cs="Arial"/>
          <w:kern w:val="36"/>
          <w:sz w:val="22"/>
          <w:szCs w:val="22"/>
        </w:rPr>
        <w:t>During the initial review, we noted that the earlier underwriting years are fully developed, while the more recent ones</w:t>
      </w:r>
      <w:r>
        <w:rPr>
          <w:rFonts w:ascii="Arial" w:hAnsi="Arial" w:cs="Arial"/>
          <w:kern w:val="36"/>
          <w:sz w:val="22"/>
          <w:szCs w:val="22"/>
        </w:rPr>
        <w:t>,</w:t>
      </w:r>
      <w:r w:rsidRPr="00A377A4">
        <w:rPr>
          <w:rFonts w:ascii="Arial" w:hAnsi="Arial" w:cs="Arial"/>
          <w:kern w:val="36"/>
          <w:sz w:val="22"/>
          <w:szCs w:val="22"/>
        </w:rPr>
        <w:t xml:space="preserve"> 2024 and 2025</w:t>
      </w:r>
      <w:r>
        <w:rPr>
          <w:rFonts w:ascii="Arial" w:hAnsi="Arial" w:cs="Arial"/>
          <w:kern w:val="36"/>
          <w:sz w:val="22"/>
          <w:szCs w:val="22"/>
        </w:rPr>
        <w:t xml:space="preserve">, </w:t>
      </w:r>
      <w:r w:rsidRPr="00A377A4">
        <w:rPr>
          <w:rFonts w:ascii="Arial" w:hAnsi="Arial" w:cs="Arial"/>
          <w:kern w:val="36"/>
          <w:sz w:val="22"/>
          <w:szCs w:val="22"/>
        </w:rPr>
        <w:t>are still emerging. The portfolio is also relatively small, which means that individual claims, particularly those with higher severity, can influence results noticeably. This was the case for a large medical claim that affected the more recent years’ experience.</w:t>
      </w:r>
    </w:p>
    <w:p w14:paraId="3EA9B2E1" w14:textId="77777777" w:rsidR="00A377A4" w:rsidRDefault="00A377A4" w:rsidP="00A377A4">
      <w:pPr>
        <w:jc w:val="both"/>
        <w:rPr>
          <w:rFonts w:ascii="Arial" w:hAnsi="Arial" w:cs="Arial"/>
          <w:kern w:val="36"/>
          <w:sz w:val="22"/>
          <w:szCs w:val="22"/>
        </w:rPr>
      </w:pPr>
    </w:p>
    <w:p w14:paraId="143144A6" w14:textId="58097D61" w:rsidR="00A377A4" w:rsidRPr="00A377A4" w:rsidRDefault="00A377A4" w:rsidP="00A377A4">
      <w:pPr>
        <w:jc w:val="both"/>
        <w:rPr>
          <w:rFonts w:ascii="Arial" w:hAnsi="Arial" w:cs="Arial"/>
          <w:kern w:val="36"/>
          <w:sz w:val="22"/>
          <w:szCs w:val="22"/>
        </w:rPr>
      </w:pPr>
      <w:r w:rsidRPr="00A377A4">
        <w:rPr>
          <w:rFonts w:ascii="Arial" w:hAnsi="Arial" w:cs="Arial"/>
          <w:kern w:val="36"/>
          <w:sz w:val="22"/>
          <w:szCs w:val="22"/>
        </w:rPr>
        <w:t xml:space="preserve">The analysis showed stable and profitable outcomes through 2021–2023, followed by a heavier loss year in 2024. By applying monthly incurred development, we estimated a total reserve requirement of roughly $23,122 for the company. The pricing exercise produced a technical indication of about a 16% rate decrease but given the limited exposure and uncertainty in the latest year, maintaining current </w:t>
      </w:r>
      <w:proofErr w:type="gramStart"/>
      <w:r w:rsidRPr="00A377A4">
        <w:rPr>
          <w:rFonts w:ascii="Arial" w:hAnsi="Arial" w:cs="Arial"/>
          <w:kern w:val="36"/>
          <w:sz w:val="22"/>
          <w:szCs w:val="22"/>
        </w:rPr>
        <w:t>rates</w:t>
      </w:r>
      <w:proofErr w:type="gramEnd"/>
      <w:r w:rsidRPr="00A377A4">
        <w:rPr>
          <w:rFonts w:ascii="Arial" w:hAnsi="Arial" w:cs="Arial"/>
          <w:kern w:val="36"/>
          <w:sz w:val="22"/>
          <w:szCs w:val="22"/>
        </w:rPr>
        <w:t xml:space="preserve"> or applying only a small reduction would be more appropriate.</w:t>
      </w:r>
    </w:p>
    <w:p w14:paraId="2DC7739D" w14:textId="77777777" w:rsidR="00A377A4" w:rsidRDefault="00A377A4" w:rsidP="00A377A4">
      <w:pPr>
        <w:jc w:val="both"/>
        <w:rPr>
          <w:rFonts w:ascii="Arial" w:hAnsi="Arial" w:cs="Arial"/>
          <w:kern w:val="36"/>
          <w:sz w:val="22"/>
          <w:szCs w:val="22"/>
        </w:rPr>
      </w:pPr>
    </w:p>
    <w:p w14:paraId="41234D07" w14:textId="0F403895" w:rsidR="00A377A4" w:rsidRPr="00A377A4" w:rsidRDefault="00A377A4" w:rsidP="00A377A4">
      <w:pPr>
        <w:jc w:val="both"/>
        <w:rPr>
          <w:rFonts w:ascii="Arial" w:hAnsi="Arial" w:cs="Arial"/>
          <w:kern w:val="36"/>
          <w:sz w:val="22"/>
          <w:szCs w:val="22"/>
        </w:rPr>
      </w:pPr>
      <w:r w:rsidRPr="00A377A4">
        <w:rPr>
          <w:rFonts w:ascii="Arial" w:hAnsi="Arial" w:cs="Arial"/>
          <w:kern w:val="36"/>
          <w:sz w:val="22"/>
          <w:szCs w:val="22"/>
        </w:rPr>
        <w:t>The project concludes with several practical recommendations, such as closer monitoring of larger claims, improved consistency in case reserving, and offering targeted discounts for low-risk policyholders. These steps aim to support more stable decision-making as the company prepares for the upcoming renewal.</w:t>
      </w:r>
    </w:p>
    <w:p w14:paraId="01A72709" w14:textId="2D781F47" w:rsidR="00A377A4" w:rsidRDefault="00A377A4">
      <w:pPr>
        <w:rPr>
          <w:rFonts w:ascii="Arial" w:hAnsi="Arial" w:cs="Arial"/>
          <w:b/>
          <w:bCs/>
          <w:kern w:val="36"/>
          <w:sz w:val="22"/>
          <w:szCs w:val="22"/>
        </w:rPr>
      </w:pPr>
      <w:r>
        <w:rPr>
          <w:rFonts w:ascii="Arial" w:hAnsi="Arial" w:cs="Arial"/>
          <w:b/>
          <w:bCs/>
          <w:kern w:val="36"/>
          <w:sz w:val="22"/>
          <w:szCs w:val="22"/>
        </w:rPr>
        <w:br w:type="page"/>
      </w:r>
    </w:p>
    <w:p w14:paraId="2E4C2192" w14:textId="066F94AB" w:rsidR="00AC3521" w:rsidRDefault="00AC3521" w:rsidP="00AC3521">
      <w:pPr>
        <w:rPr>
          <w:rFonts w:ascii="Arial" w:hAnsi="Arial" w:cs="Arial"/>
          <w:b/>
          <w:bCs/>
          <w:kern w:val="36"/>
          <w:sz w:val="22"/>
          <w:szCs w:val="22"/>
        </w:rPr>
      </w:pPr>
      <w:r w:rsidRPr="00AC3521">
        <w:rPr>
          <w:rFonts w:ascii="Arial" w:hAnsi="Arial" w:cs="Arial"/>
          <w:b/>
          <w:bCs/>
          <w:kern w:val="36"/>
          <w:sz w:val="22"/>
          <w:szCs w:val="22"/>
        </w:rPr>
        <w:lastRenderedPageBreak/>
        <w:t>Introduction</w:t>
      </w:r>
    </w:p>
    <w:p w14:paraId="61D368FD" w14:textId="77777777" w:rsidR="00A377A4" w:rsidRPr="00AC3521" w:rsidRDefault="00A377A4" w:rsidP="00AC3521">
      <w:pPr>
        <w:rPr>
          <w:rFonts w:ascii="Arial" w:hAnsi="Arial" w:cs="Arial"/>
          <w:b/>
          <w:bCs/>
          <w:kern w:val="36"/>
          <w:sz w:val="22"/>
          <w:szCs w:val="22"/>
        </w:rPr>
      </w:pPr>
    </w:p>
    <w:p w14:paraId="19651CA7" w14:textId="5DB971B5" w:rsidR="00AC3521" w:rsidRPr="00AC3521" w:rsidRDefault="00AC3521" w:rsidP="00AC3521">
      <w:pPr>
        <w:rPr>
          <w:rFonts w:ascii="Arial" w:hAnsi="Arial" w:cs="Arial"/>
          <w:kern w:val="36"/>
          <w:sz w:val="22"/>
          <w:szCs w:val="22"/>
        </w:rPr>
      </w:pPr>
      <w:r w:rsidRPr="00AC3521">
        <w:rPr>
          <w:rFonts w:ascii="Arial" w:hAnsi="Arial" w:cs="Arial"/>
          <w:kern w:val="36"/>
          <w:sz w:val="22"/>
          <w:szCs w:val="22"/>
        </w:rPr>
        <w:t xml:space="preserve">Middle East Insurance is a multi-line insurer that has been operating for more than a decade and currently employs around 65 staff members. The company writes business across several lines, mainly Medical, Motor, and Property, and provided detailed data for underwriting years </w:t>
      </w:r>
      <w:r>
        <w:rPr>
          <w:rFonts w:ascii="Arial" w:hAnsi="Arial" w:cs="Arial"/>
          <w:kern w:val="36"/>
          <w:sz w:val="22"/>
          <w:szCs w:val="22"/>
        </w:rPr>
        <w:t xml:space="preserve"> </w:t>
      </w:r>
      <w:r w:rsidRPr="00AC3521">
        <w:rPr>
          <w:rFonts w:ascii="Arial" w:hAnsi="Arial" w:cs="Arial"/>
          <w:kern w:val="36"/>
          <w:sz w:val="22"/>
          <w:szCs w:val="22"/>
        </w:rPr>
        <w:t xml:space="preserve"> 2021 through 2025 as of 30 September 2025. The objective of this study is to assess the performance of the overall portfolio, evaluate claim development patterns, estimate the required loss reserves, and provide recommendations for the 2026 renewal.</w:t>
      </w:r>
    </w:p>
    <w:p w14:paraId="7EBAFC24" w14:textId="77777777" w:rsidR="00AC3521" w:rsidRDefault="00AC3521" w:rsidP="00AC3521">
      <w:pPr>
        <w:rPr>
          <w:rFonts w:ascii="Arial" w:hAnsi="Arial" w:cs="Arial"/>
          <w:kern w:val="36"/>
          <w:sz w:val="22"/>
          <w:szCs w:val="22"/>
        </w:rPr>
      </w:pPr>
    </w:p>
    <w:p w14:paraId="5708DF2D" w14:textId="655CFE97" w:rsidR="00AC3521" w:rsidRPr="00AC3521" w:rsidRDefault="00AC3521" w:rsidP="00AC3521">
      <w:pPr>
        <w:rPr>
          <w:rFonts w:ascii="Arial" w:hAnsi="Arial" w:cs="Arial"/>
          <w:kern w:val="36"/>
          <w:sz w:val="22"/>
          <w:szCs w:val="22"/>
        </w:rPr>
      </w:pPr>
      <w:r w:rsidRPr="00AC3521">
        <w:rPr>
          <w:rFonts w:ascii="Arial" w:hAnsi="Arial" w:cs="Arial"/>
          <w:kern w:val="36"/>
          <w:sz w:val="22"/>
          <w:szCs w:val="22"/>
        </w:rPr>
        <w:t xml:space="preserve">A preliminary review of the dataset showed that the earlier underwriting years are fully developed, while </w:t>
      </w:r>
      <w:r>
        <w:rPr>
          <w:rFonts w:ascii="Arial" w:hAnsi="Arial" w:cs="Arial"/>
          <w:kern w:val="36"/>
          <w:sz w:val="22"/>
          <w:szCs w:val="22"/>
        </w:rPr>
        <w:t>underwriting years</w:t>
      </w:r>
      <w:r w:rsidRPr="00AC3521">
        <w:rPr>
          <w:rFonts w:ascii="Arial" w:hAnsi="Arial" w:cs="Arial"/>
          <w:kern w:val="36"/>
          <w:sz w:val="22"/>
          <w:szCs w:val="22"/>
        </w:rPr>
        <w:t xml:space="preserve"> 2024 and 2025 remain immature, which introduces additional uncertainty into the analysis. The portfolio itself is relatively small, with exposures ranging from about 8 to 16 E</w:t>
      </w:r>
      <w:r>
        <w:rPr>
          <w:rFonts w:ascii="Arial" w:hAnsi="Arial" w:cs="Arial"/>
          <w:kern w:val="36"/>
          <w:sz w:val="22"/>
          <w:szCs w:val="22"/>
        </w:rPr>
        <w:t>xposure</w:t>
      </w:r>
      <w:r w:rsidRPr="00AC3521">
        <w:rPr>
          <w:rFonts w:ascii="Arial" w:hAnsi="Arial" w:cs="Arial"/>
          <w:kern w:val="36"/>
          <w:sz w:val="22"/>
          <w:szCs w:val="22"/>
        </w:rPr>
        <w:t xml:space="preserve"> units per year. This limited volume makes the results more sensitive to individual claims</w:t>
      </w:r>
      <w:r>
        <w:rPr>
          <w:rFonts w:ascii="Arial" w:hAnsi="Arial" w:cs="Arial"/>
          <w:kern w:val="36"/>
          <w:sz w:val="22"/>
          <w:szCs w:val="22"/>
        </w:rPr>
        <w:t xml:space="preserve">, </w:t>
      </w:r>
      <w:r w:rsidRPr="00AC3521">
        <w:rPr>
          <w:rFonts w:ascii="Arial" w:hAnsi="Arial" w:cs="Arial"/>
          <w:kern w:val="36"/>
          <w:sz w:val="22"/>
          <w:szCs w:val="22"/>
        </w:rPr>
        <w:t>especially those with higher severity</w:t>
      </w:r>
      <w:r>
        <w:rPr>
          <w:rFonts w:ascii="Arial" w:hAnsi="Arial" w:cs="Arial"/>
          <w:kern w:val="36"/>
          <w:sz w:val="22"/>
          <w:szCs w:val="22"/>
        </w:rPr>
        <w:t xml:space="preserve">, </w:t>
      </w:r>
      <w:r w:rsidRPr="00AC3521">
        <w:rPr>
          <w:rFonts w:ascii="Arial" w:hAnsi="Arial" w:cs="Arial"/>
          <w:kern w:val="36"/>
          <w:sz w:val="22"/>
          <w:szCs w:val="22"/>
        </w:rPr>
        <w:t>and must be considered when interpreting loss ratios, development patterns, and pricing indications.</w:t>
      </w:r>
    </w:p>
    <w:p w14:paraId="004A9DCE" w14:textId="77777777" w:rsidR="00AC3521" w:rsidRDefault="00AC3521" w:rsidP="00AC3521">
      <w:pPr>
        <w:rPr>
          <w:rFonts w:ascii="Arial" w:hAnsi="Arial" w:cs="Arial"/>
          <w:kern w:val="36"/>
          <w:sz w:val="22"/>
          <w:szCs w:val="22"/>
        </w:rPr>
      </w:pPr>
    </w:p>
    <w:p w14:paraId="0A669725" w14:textId="3B9FE616" w:rsidR="00AC3521" w:rsidRPr="00AC3521" w:rsidRDefault="00AC3521" w:rsidP="00AC3521">
      <w:pPr>
        <w:rPr>
          <w:rFonts w:ascii="Arial" w:hAnsi="Arial" w:cs="Arial"/>
          <w:kern w:val="36"/>
          <w:sz w:val="22"/>
          <w:szCs w:val="22"/>
        </w:rPr>
      </w:pPr>
      <w:r w:rsidRPr="00AC3521">
        <w:rPr>
          <w:rFonts w:ascii="Arial" w:hAnsi="Arial" w:cs="Arial"/>
          <w:kern w:val="36"/>
          <w:sz w:val="22"/>
          <w:szCs w:val="22"/>
        </w:rPr>
        <w:t>Across the portfolio, the experience was generally stable and profitable from 2021 to 2023. However, a noticeable shift occurred in 2024, driven by heavier claim activity and the presence of a significant medical loss that remains partly outstanding. This contributed to higher incurred losses and a sharp increase in the loss ratio for that year. Although 2025 currently shows a more favorable position, the underwriting year has not matured, and further development is expected.</w:t>
      </w:r>
    </w:p>
    <w:p w14:paraId="674D6442" w14:textId="77777777" w:rsidR="00AC3521" w:rsidRDefault="00AC3521" w:rsidP="00AC3521">
      <w:pPr>
        <w:rPr>
          <w:rFonts w:ascii="Arial" w:hAnsi="Arial" w:cs="Arial"/>
          <w:kern w:val="36"/>
          <w:sz w:val="22"/>
          <w:szCs w:val="22"/>
        </w:rPr>
      </w:pPr>
    </w:p>
    <w:p w14:paraId="1CC11918" w14:textId="4994AA13" w:rsidR="00AC3521" w:rsidRPr="00AC3521" w:rsidRDefault="00AC3521" w:rsidP="00AC3521">
      <w:pPr>
        <w:rPr>
          <w:rFonts w:ascii="Arial" w:hAnsi="Arial" w:cs="Arial"/>
          <w:kern w:val="36"/>
          <w:sz w:val="22"/>
          <w:szCs w:val="22"/>
        </w:rPr>
      </w:pPr>
      <w:r w:rsidRPr="00AC3521">
        <w:rPr>
          <w:rFonts w:ascii="Arial" w:hAnsi="Arial" w:cs="Arial"/>
          <w:kern w:val="36"/>
          <w:sz w:val="22"/>
          <w:szCs w:val="22"/>
        </w:rPr>
        <w:t>The reserving analysis relied on incurred development using monthly age-to-age factors, which aligned well with the observed claim emergence pattern. The resulting total reserve requirement was estimated at approximately $23,122, concentrated mainly in the more recent underwriting years. From a pricing perspective, the technical indication suggested a rate decrease of around 16%, but due to limited credibility and recent volatility, a more cautious interpretation was adopted.</w:t>
      </w:r>
    </w:p>
    <w:p w14:paraId="2E3C6347" w14:textId="77777777" w:rsidR="00AC3521" w:rsidRDefault="00AC3521" w:rsidP="00AC3521">
      <w:pPr>
        <w:rPr>
          <w:rFonts w:ascii="Arial" w:hAnsi="Arial" w:cs="Arial"/>
          <w:kern w:val="36"/>
          <w:sz w:val="22"/>
          <w:szCs w:val="22"/>
        </w:rPr>
      </w:pPr>
    </w:p>
    <w:p w14:paraId="36EC7F77" w14:textId="1F0C1989" w:rsidR="00AC3521" w:rsidRPr="00AC3521" w:rsidRDefault="00AC3521" w:rsidP="00AC3521">
      <w:pPr>
        <w:rPr>
          <w:rFonts w:ascii="Arial" w:hAnsi="Arial" w:cs="Arial"/>
          <w:kern w:val="36"/>
          <w:sz w:val="22"/>
          <w:szCs w:val="22"/>
        </w:rPr>
      </w:pPr>
      <w:r w:rsidRPr="00AC3521">
        <w:rPr>
          <w:rFonts w:ascii="Arial" w:hAnsi="Arial" w:cs="Arial"/>
          <w:kern w:val="36"/>
          <w:sz w:val="22"/>
          <w:szCs w:val="22"/>
        </w:rPr>
        <w:t>This report presents a structured review of the portfolio’s performance, a breakdown of results by line of business, development and reserving analyses, pricing indications, and practical recommendations for the company. The aim is to provide Middle East Insurance with an informed and balanced perspective to support renewal decisions and strengthen ongoing portfolio management.</w:t>
      </w:r>
    </w:p>
    <w:p w14:paraId="0FE832A4" w14:textId="77777777" w:rsidR="00AC3521" w:rsidRDefault="00AC3521">
      <w:pPr>
        <w:rPr>
          <w:rFonts w:ascii="Arial" w:hAnsi="Arial" w:cs="Arial"/>
          <w:b/>
          <w:bCs/>
          <w:kern w:val="36"/>
          <w:sz w:val="28"/>
          <w:szCs w:val="28"/>
        </w:rPr>
      </w:pPr>
      <w:r>
        <w:rPr>
          <w:rFonts w:ascii="Arial" w:hAnsi="Arial" w:cs="Arial"/>
          <w:b/>
          <w:bCs/>
          <w:kern w:val="36"/>
          <w:sz w:val="28"/>
          <w:szCs w:val="28"/>
        </w:rPr>
        <w:br w:type="page"/>
      </w:r>
    </w:p>
    <w:p w14:paraId="0941CEDC" w14:textId="213BD85D" w:rsidR="00353322" w:rsidRPr="00353322" w:rsidRDefault="00353322" w:rsidP="00353322">
      <w:pPr>
        <w:spacing w:before="100" w:beforeAutospacing="1" w:after="100" w:afterAutospacing="1"/>
        <w:outlineLvl w:val="0"/>
        <w:rPr>
          <w:rFonts w:ascii="Arial" w:hAnsi="Arial" w:cs="Arial"/>
          <w:b/>
          <w:bCs/>
          <w:kern w:val="36"/>
          <w:sz w:val="28"/>
          <w:szCs w:val="28"/>
        </w:rPr>
      </w:pPr>
      <w:r w:rsidRPr="00353322">
        <w:rPr>
          <w:rFonts w:ascii="Arial" w:hAnsi="Arial" w:cs="Arial"/>
          <w:b/>
          <w:bCs/>
          <w:kern w:val="36"/>
          <w:sz w:val="28"/>
          <w:szCs w:val="28"/>
        </w:rPr>
        <w:lastRenderedPageBreak/>
        <w:t>2. Portfolio Overview</w:t>
      </w:r>
    </w:p>
    <w:p w14:paraId="14804206" w14:textId="62C32D50" w:rsidR="00353322" w:rsidRPr="00353322" w:rsidRDefault="00353322" w:rsidP="001C7DCC">
      <w:pPr>
        <w:spacing w:before="100" w:beforeAutospacing="1" w:after="100" w:afterAutospacing="1"/>
        <w:outlineLvl w:val="1"/>
        <w:rPr>
          <w:rFonts w:ascii="Arial" w:hAnsi="Arial" w:cs="Arial"/>
          <w:b/>
          <w:bCs/>
          <w:sz w:val="22"/>
          <w:szCs w:val="22"/>
        </w:rPr>
      </w:pPr>
      <w:r w:rsidRPr="00353322">
        <w:rPr>
          <w:rFonts w:ascii="Arial" w:hAnsi="Arial" w:cs="Arial"/>
          <w:b/>
          <w:bCs/>
          <w:sz w:val="22"/>
          <w:szCs w:val="22"/>
        </w:rPr>
        <w:t>2.1 Premium and Claims</w:t>
      </w:r>
    </w:p>
    <w:tbl>
      <w:tblPr>
        <w:tblStyle w:val="TableGrid"/>
        <w:tblW w:w="9863" w:type="dxa"/>
        <w:jc w:val="center"/>
        <w:tblLook w:val="04A0" w:firstRow="1" w:lastRow="0" w:firstColumn="1" w:lastColumn="0" w:noHBand="0" w:noVBand="1"/>
      </w:tblPr>
      <w:tblGrid>
        <w:gridCol w:w="1008"/>
        <w:gridCol w:w="1771"/>
        <w:gridCol w:w="1771"/>
        <w:gridCol w:w="1771"/>
        <w:gridCol w:w="1771"/>
        <w:gridCol w:w="1771"/>
      </w:tblGrid>
      <w:tr w:rsidR="00B342C4" w:rsidRPr="00B342C4" w14:paraId="767E2E8D" w14:textId="77777777" w:rsidTr="00BA3579">
        <w:trPr>
          <w:jc w:val="center"/>
        </w:trPr>
        <w:tc>
          <w:tcPr>
            <w:tcW w:w="1008" w:type="dxa"/>
            <w:shd w:val="clear" w:color="auto" w:fill="222A35" w:themeFill="text2" w:themeFillShade="80"/>
            <w:vAlign w:val="center"/>
            <w:hideMark/>
          </w:tcPr>
          <w:p w14:paraId="17719130" w14:textId="77777777" w:rsidR="00353322" w:rsidRPr="00353322" w:rsidRDefault="00353322" w:rsidP="00B342C4">
            <w:pPr>
              <w:spacing w:before="80" w:after="80"/>
              <w:jc w:val="center"/>
              <w:rPr>
                <w:rFonts w:ascii="Arial" w:hAnsi="Arial" w:cs="Arial"/>
                <w:b/>
                <w:bCs/>
                <w:color w:val="FFFFFF" w:themeColor="background1"/>
                <w:sz w:val="22"/>
                <w:szCs w:val="22"/>
              </w:rPr>
            </w:pPr>
            <w:r w:rsidRPr="00353322">
              <w:rPr>
                <w:rFonts w:ascii="Arial" w:hAnsi="Arial" w:cs="Arial"/>
                <w:b/>
                <w:bCs/>
                <w:color w:val="FFFFFF" w:themeColor="background1"/>
                <w:sz w:val="22"/>
                <w:szCs w:val="22"/>
              </w:rPr>
              <w:t>UWY</w:t>
            </w:r>
          </w:p>
        </w:tc>
        <w:tc>
          <w:tcPr>
            <w:tcW w:w="1771" w:type="dxa"/>
            <w:shd w:val="clear" w:color="auto" w:fill="222A35" w:themeFill="text2" w:themeFillShade="80"/>
            <w:vAlign w:val="center"/>
            <w:hideMark/>
          </w:tcPr>
          <w:p w14:paraId="7ADB89F8" w14:textId="42744CBF" w:rsidR="00353322" w:rsidRPr="00353322" w:rsidRDefault="00353322" w:rsidP="00B342C4">
            <w:pPr>
              <w:spacing w:before="80" w:after="80"/>
              <w:jc w:val="center"/>
              <w:rPr>
                <w:rFonts w:ascii="Arial" w:hAnsi="Arial" w:cs="Arial"/>
                <w:b/>
                <w:bCs/>
                <w:color w:val="FFFFFF" w:themeColor="background1"/>
                <w:sz w:val="22"/>
                <w:szCs w:val="22"/>
              </w:rPr>
            </w:pPr>
            <w:r w:rsidRPr="00353322">
              <w:rPr>
                <w:rFonts w:ascii="Arial" w:hAnsi="Arial" w:cs="Arial"/>
                <w:b/>
                <w:bCs/>
                <w:color w:val="FFFFFF" w:themeColor="background1"/>
                <w:sz w:val="22"/>
                <w:szCs w:val="22"/>
              </w:rPr>
              <w:t>Written</w:t>
            </w:r>
            <w:r w:rsidR="00B342C4">
              <w:rPr>
                <w:rFonts w:ascii="Arial" w:hAnsi="Arial" w:cs="Arial"/>
                <w:b/>
                <w:bCs/>
                <w:color w:val="FFFFFF" w:themeColor="background1"/>
                <w:sz w:val="22"/>
                <w:szCs w:val="22"/>
              </w:rPr>
              <w:t xml:space="preserve"> </w:t>
            </w:r>
            <w:r w:rsidRPr="00353322">
              <w:rPr>
                <w:rFonts w:ascii="Arial" w:hAnsi="Arial" w:cs="Arial"/>
                <w:b/>
                <w:bCs/>
                <w:color w:val="FFFFFF" w:themeColor="background1"/>
                <w:sz w:val="22"/>
                <w:szCs w:val="22"/>
              </w:rPr>
              <w:t>Premium</w:t>
            </w:r>
          </w:p>
        </w:tc>
        <w:tc>
          <w:tcPr>
            <w:tcW w:w="1771" w:type="dxa"/>
            <w:shd w:val="clear" w:color="auto" w:fill="222A35" w:themeFill="text2" w:themeFillShade="80"/>
            <w:vAlign w:val="center"/>
            <w:hideMark/>
          </w:tcPr>
          <w:p w14:paraId="5348DD63" w14:textId="7F0419C3" w:rsidR="00353322" w:rsidRPr="00353322" w:rsidRDefault="00353322" w:rsidP="00B342C4">
            <w:pPr>
              <w:spacing w:before="80" w:after="80"/>
              <w:jc w:val="center"/>
              <w:rPr>
                <w:rFonts w:ascii="Arial" w:hAnsi="Arial" w:cs="Arial"/>
                <w:b/>
                <w:bCs/>
                <w:color w:val="FFFFFF" w:themeColor="background1"/>
                <w:sz w:val="22"/>
                <w:szCs w:val="22"/>
              </w:rPr>
            </w:pPr>
            <w:r w:rsidRPr="00353322">
              <w:rPr>
                <w:rFonts w:ascii="Arial" w:hAnsi="Arial" w:cs="Arial"/>
                <w:b/>
                <w:bCs/>
                <w:color w:val="FFFFFF" w:themeColor="background1"/>
                <w:sz w:val="22"/>
                <w:szCs w:val="22"/>
              </w:rPr>
              <w:t>Earned</w:t>
            </w:r>
            <w:r w:rsidR="00B342C4" w:rsidRPr="00B342C4">
              <w:rPr>
                <w:rFonts w:ascii="Arial" w:hAnsi="Arial" w:cs="Arial"/>
                <w:b/>
                <w:bCs/>
                <w:color w:val="FFFFFF" w:themeColor="background1"/>
                <w:sz w:val="22"/>
                <w:szCs w:val="22"/>
              </w:rPr>
              <w:t xml:space="preserve"> </w:t>
            </w:r>
            <w:r w:rsidRPr="00353322">
              <w:rPr>
                <w:rFonts w:ascii="Arial" w:hAnsi="Arial" w:cs="Arial"/>
                <w:b/>
                <w:bCs/>
                <w:color w:val="FFFFFF" w:themeColor="background1"/>
                <w:sz w:val="22"/>
                <w:szCs w:val="22"/>
              </w:rPr>
              <w:t>Premium</w:t>
            </w:r>
          </w:p>
        </w:tc>
        <w:tc>
          <w:tcPr>
            <w:tcW w:w="1771" w:type="dxa"/>
            <w:shd w:val="clear" w:color="auto" w:fill="222A35" w:themeFill="text2" w:themeFillShade="80"/>
            <w:vAlign w:val="center"/>
            <w:hideMark/>
          </w:tcPr>
          <w:p w14:paraId="2D620731" w14:textId="3D821BD1" w:rsidR="00353322" w:rsidRPr="00353322" w:rsidRDefault="00353322" w:rsidP="00B342C4">
            <w:pPr>
              <w:spacing w:before="80" w:after="80"/>
              <w:jc w:val="center"/>
              <w:rPr>
                <w:rFonts w:ascii="Arial" w:hAnsi="Arial" w:cs="Arial"/>
                <w:b/>
                <w:bCs/>
                <w:color w:val="FFFFFF" w:themeColor="background1"/>
                <w:sz w:val="22"/>
                <w:szCs w:val="22"/>
              </w:rPr>
            </w:pPr>
            <w:r w:rsidRPr="00353322">
              <w:rPr>
                <w:rFonts w:ascii="Arial" w:hAnsi="Arial" w:cs="Arial"/>
                <w:b/>
                <w:bCs/>
                <w:color w:val="FFFFFF" w:themeColor="background1"/>
                <w:sz w:val="22"/>
                <w:szCs w:val="22"/>
              </w:rPr>
              <w:t>Paid</w:t>
            </w:r>
            <w:r w:rsidR="00B342C4">
              <w:rPr>
                <w:rFonts w:ascii="Arial" w:hAnsi="Arial" w:cs="Arial"/>
                <w:b/>
                <w:bCs/>
                <w:color w:val="FFFFFF" w:themeColor="background1"/>
                <w:sz w:val="22"/>
                <w:szCs w:val="22"/>
              </w:rPr>
              <w:t xml:space="preserve"> </w:t>
            </w:r>
            <w:r w:rsidRPr="00353322">
              <w:rPr>
                <w:rFonts w:ascii="Arial" w:hAnsi="Arial" w:cs="Arial"/>
                <w:b/>
                <w:bCs/>
                <w:color w:val="FFFFFF" w:themeColor="background1"/>
                <w:sz w:val="22"/>
                <w:szCs w:val="22"/>
              </w:rPr>
              <w:t>Claims</w:t>
            </w:r>
          </w:p>
        </w:tc>
        <w:tc>
          <w:tcPr>
            <w:tcW w:w="1771" w:type="dxa"/>
            <w:shd w:val="clear" w:color="auto" w:fill="222A35" w:themeFill="text2" w:themeFillShade="80"/>
            <w:vAlign w:val="center"/>
            <w:hideMark/>
          </w:tcPr>
          <w:p w14:paraId="24BAAFAE" w14:textId="0588D012" w:rsidR="00353322" w:rsidRPr="00353322" w:rsidRDefault="00353322" w:rsidP="00B342C4">
            <w:pPr>
              <w:spacing w:before="80" w:after="80"/>
              <w:jc w:val="center"/>
              <w:rPr>
                <w:rFonts w:ascii="Arial" w:hAnsi="Arial" w:cs="Arial"/>
                <w:b/>
                <w:bCs/>
                <w:color w:val="FFFFFF" w:themeColor="background1"/>
                <w:sz w:val="22"/>
                <w:szCs w:val="22"/>
              </w:rPr>
            </w:pPr>
            <w:r w:rsidRPr="00353322">
              <w:rPr>
                <w:rFonts w:ascii="Arial" w:hAnsi="Arial" w:cs="Arial"/>
                <w:b/>
                <w:bCs/>
                <w:color w:val="FFFFFF" w:themeColor="background1"/>
                <w:sz w:val="22"/>
                <w:szCs w:val="22"/>
              </w:rPr>
              <w:t>Case</w:t>
            </w:r>
            <w:r w:rsidR="00B342C4">
              <w:rPr>
                <w:rFonts w:ascii="Arial" w:hAnsi="Arial" w:cs="Arial"/>
                <w:b/>
                <w:bCs/>
                <w:color w:val="FFFFFF" w:themeColor="background1"/>
                <w:sz w:val="22"/>
                <w:szCs w:val="22"/>
              </w:rPr>
              <w:t xml:space="preserve"> </w:t>
            </w:r>
            <w:r w:rsidRPr="00353322">
              <w:rPr>
                <w:rFonts w:ascii="Arial" w:hAnsi="Arial" w:cs="Arial"/>
                <w:b/>
                <w:bCs/>
                <w:color w:val="FFFFFF" w:themeColor="background1"/>
                <w:sz w:val="22"/>
                <w:szCs w:val="22"/>
              </w:rPr>
              <w:t>Reserves</w:t>
            </w:r>
          </w:p>
        </w:tc>
        <w:tc>
          <w:tcPr>
            <w:tcW w:w="1771" w:type="dxa"/>
            <w:shd w:val="clear" w:color="auto" w:fill="222A35" w:themeFill="text2" w:themeFillShade="80"/>
            <w:vAlign w:val="center"/>
            <w:hideMark/>
          </w:tcPr>
          <w:p w14:paraId="28F267A0" w14:textId="77777777" w:rsidR="00353322" w:rsidRPr="00353322" w:rsidRDefault="00353322" w:rsidP="00B342C4">
            <w:pPr>
              <w:spacing w:before="80" w:after="80"/>
              <w:jc w:val="center"/>
              <w:rPr>
                <w:rFonts w:ascii="Arial" w:hAnsi="Arial" w:cs="Arial"/>
                <w:b/>
                <w:bCs/>
                <w:color w:val="FFFFFF" w:themeColor="background1"/>
                <w:sz w:val="22"/>
                <w:szCs w:val="22"/>
              </w:rPr>
            </w:pPr>
            <w:r w:rsidRPr="00353322">
              <w:rPr>
                <w:rFonts w:ascii="Arial" w:hAnsi="Arial" w:cs="Arial"/>
                <w:b/>
                <w:bCs/>
                <w:color w:val="FFFFFF" w:themeColor="background1"/>
                <w:sz w:val="22"/>
                <w:szCs w:val="22"/>
              </w:rPr>
              <w:t>Total Incurred Claims</w:t>
            </w:r>
          </w:p>
        </w:tc>
      </w:tr>
      <w:tr w:rsidR="00B342C4" w:rsidRPr="00B342C4" w14:paraId="12802F2E" w14:textId="77777777" w:rsidTr="001C7DCC">
        <w:trPr>
          <w:jc w:val="center"/>
        </w:trPr>
        <w:tc>
          <w:tcPr>
            <w:tcW w:w="1008" w:type="dxa"/>
            <w:shd w:val="clear" w:color="auto" w:fill="D9D9D9" w:themeFill="background1" w:themeFillShade="D9"/>
            <w:vAlign w:val="center"/>
            <w:hideMark/>
          </w:tcPr>
          <w:p w14:paraId="61CCD7B9" w14:textId="77777777" w:rsidR="00353322" w:rsidRPr="00353322" w:rsidRDefault="00353322" w:rsidP="00B342C4">
            <w:pPr>
              <w:spacing w:before="80" w:after="80"/>
              <w:jc w:val="center"/>
              <w:rPr>
                <w:rFonts w:ascii="Arial" w:hAnsi="Arial" w:cs="Arial"/>
                <w:sz w:val="22"/>
                <w:szCs w:val="22"/>
              </w:rPr>
            </w:pPr>
            <w:r w:rsidRPr="00353322">
              <w:rPr>
                <w:rFonts w:ascii="Arial" w:hAnsi="Arial" w:cs="Arial"/>
                <w:b/>
                <w:bCs/>
                <w:sz w:val="22"/>
                <w:szCs w:val="22"/>
              </w:rPr>
              <w:t>2021</w:t>
            </w:r>
          </w:p>
        </w:tc>
        <w:tc>
          <w:tcPr>
            <w:tcW w:w="1771" w:type="dxa"/>
            <w:vAlign w:val="center"/>
            <w:hideMark/>
          </w:tcPr>
          <w:p w14:paraId="0A7CC1D5" w14:textId="2BEEADB4"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$15,050</w:t>
            </w:r>
          </w:p>
        </w:tc>
        <w:tc>
          <w:tcPr>
            <w:tcW w:w="1771" w:type="dxa"/>
            <w:vAlign w:val="center"/>
            <w:hideMark/>
          </w:tcPr>
          <w:p w14:paraId="6F24B1E3" w14:textId="15BC69D0"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00B342C4" w:rsidRPr="00B342C4">
              <w:rPr>
                <w:rFonts w:ascii="Arial" w:hAnsi="Arial" w:cs="Arial"/>
                <w:sz w:val="22"/>
                <w:szCs w:val="22"/>
              </w:rPr>
              <w:t xml:space="preserve"> </w:t>
            </w:r>
            <w:r w:rsidRPr="00353322">
              <w:rPr>
                <w:rFonts w:ascii="Arial" w:hAnsi="Arial" w:cs="Arial"/>
                <w:sz w:val="22"/>
                <w:szCs w:val="22"/>
              </w:rPr>
              <w:t>15,050</w:t>
            </w:r>
          </w:p>
        </w:tc>
        <w:tc>
          <w:tcPr>
            <w:tcW w:w="1771" w:type="dxa"/>
            <w:vAlign w:val="center"/>
            <w:hideMark/>
          </w:tcPr>
          <w:p w14:paraId="6DC9436E" w14:textId="7EB02865"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9,150</w:t>
            </w:r>
          </w:p>
        </w:tc>
        <w:tc>
          <w:tcPr>
            <w:tcW w:w="1771" w:type="dxa"/>
            <w:vAlign w:val="center"/>
            <w:hideMark/>
          </w:tcPr>
          <w:p w14:paraId="5D2CB770" w14:textId="0720A895" w:rsidR="00353322" w:rsidRPr="00353322" w:rsidRDefault="00353322" w:rsidP="00B342C4">
            <w:pPr>
              <w:spacing w:before="80" w:after="80"/>
              <w:jc w:val="center"/>
              <w:rPr>
                <w:rFonts w:ascii="Arial" w:hAnsi="Arial" w:cs="Arial"/>
                <w:sz w:val="22"/>
                <w:szCs w:val="22"/>
              </w:rPr>
            </w:pPr>
            <w:r w:rsidRPr="00B342C4">
              <w:rPr>
                <w:rFonts w:ascii="Arial" w:hAnsi="Arial" w:cs="Arial"/>
                <w:sz w:val="22"/>
                <w:szCs w:val="22"/>
              </w:rPr>
              <w:t>-</w:t>
            </w:r>
          </w:p>
        </w:tc>
        <w:tc>
          <w:tcPr>
            <w:tcW w:w="1771" w:type="dxa"/>
            <w:vAlign w:val="center"/>
            <w:hideMark/>
          </w:tcPr>
          <w:p w14:paraId="178633DC" w14:textId="375C43BF"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9,150</w:t>
            </w:r>
          </w:p>
        </w:tc>
      </w:tr>
      <w:tr w:rsidR="00B342C4" w:rsidRPr="00B342C4" w14:paraId="5B5FBE14" w14:textId="77777777" w:rsidTr="001C7DCC">
        <w:trPr>
          <w:jc w:val="center"/>
        </w:trPr>
        <w:tc>
          <w:tcPr>
            <w:tcW w:w="1008" w:type="dxa"/>
            <w:shd w:val="clear" w:color="auto" w:fill="D9D9D9" w:themeFill="background1" w:themeFillShade="D9"/>
            <w:vAlign w:val="center"/>
            <w:hideMark/>
          </w:tcPr>
          <w:p w14:paraId="5A9EAA49" w14:textId="77777777" w:rsidR="00353322" w:rsidRPr="00353322" w:rsidRDefault="00353322" w:rsidP="00B342C4">
            <w:pPr>
              <w:spacing w:before="80" w:after="80"/>
              <w:jc w:val="center"/>
              <w:rPr>
                <w:rFonts w:ascii="Arial" w:hAnsi="Arial" w:cs="Arial"/>
                <w:sz w:val="22"/>
                <w:szCs w:val="22"/>
              </w:rPr>
            </w:pPr>
            <w:r w:rsidRPr="00353322">
              <w:rPr>
                <w:rFonts w:ascii="Arial" w:hAnsi="Arial" w:cs="Arial"/>
                <w:b/>
                <w:bCs/>
                <w:sz w:val="22"/>
                <w:szCs w:val="22"/>
              </w:rPr>
              <w:t>2022</w:t>
            </w:r>
          </w:p>
        </w:tc>
        <w:tc>
          <w:tcPr>
            <w:tcW w:w="1771" w:type="dxa"/>
            <w:vAlign w:val="center"/>
            <w:hideMark/>
          </w:tcPr>
          <w:p w14:paraId="13F7A3AA" w14:textId="747E736E"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$27,000</w:t>
            </w:r>
          </w:p>
        </w:tc>
        <w:tc>
          <w:tcPr>
            <w:tcW w:w="1771" w:type="dxa"/>
            <w:vAlign w:val="center"/>
            <w:hideMark/>
          </w:tcPr>
          <w:p w14:paraId="1E4E6EE0" w14:textId="783404C9"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00B342C4" w:rsidRPr="00B342C4">
              <w:rPr>
                <w:rFonts w:ascii="Arial" w:hAnsi="Arial" w:cs="Arial"/>
                <w:sz w:val="22"/>
                <w:szCs w:val="22"/>
              </w:rPr>
              <w:t xml:space="preserve"> </w:t>
            </w:r>
            <w:r w:rsidRPr="00353322">
              <w:rPr>
                <w:rFonts w:ascii="Arial" w:hAnsi="Arial" w:cs="Arial"/>
                <w:sz w:val="22"/>
                <w:szCs w:val="22"/>
              </w:rPr>
              <w:t>27,000</w:t>
            </w:r>
          </w:p>
        </w:tc>
        <w:tc>
          <w:tcPr>
            <w:tcW w:w="1771" w:type="dxa"/>
            <w:vAlign w:val="center"/>
            <w:hideMark/>
          </w:tcPr>
          <w:p w14:paraId="4200511B" w14:textId="11AEEC69"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12,650</w:t>
            </w:r>
          </w:p>
        </w:tc>
        <w:tc>
          <w:tcPr>
            <w:tcW w:w="1771" w:type="dxa"/>
            <w:vAlign w:val="center"/>
            <w:hideMark/>
          </w:tcPr>
          <w:p w14:paraId="21344876" w14:textId="4C8BF008"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2,800</w:t>
            </w:r>
          </w:p>
        </w:tc>
        <w:tc>
          <w:tcPr>
            <w:tcW w:w="1771" w:type="dxa"/>
            <w:vAlign w:val="center"/>
            <w:hideMark/>
          </w:tcPr>
          <w:p w14:paraId="6DCC8D90" w14:textId="699FB4A6"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15,450</w:t>
            </w:r>
          </w:p>
        </w:tc>
      </w:tr>
      <w:tr w:rsidR="00B342C4" w:rsidRPr="00B342C4" w14:paraId="58338D7A" w14:textId="77777777" w:rsidTr="001C7DCC">
        <w:trPr>
          <w:jc w:val="center"/>
        </w:trPr>
        <w:tc>
          <w:tcPr>
            <w:tcW w:w="1008" w:type="dxa"/>
            <w:shd w:val="clear" w:color="auto" w:fill="D9D9D9" w:themeFill="background1" w:themeFillShade="D9"/>
            <w:vAlign w:val="center"/>
            <w:hideMark/>
          </w:tcPr>
          <w:p w14:paraId="030BED58" w14:textId="77777777" w:rsidR="00353322" w:rsidRPr="00353322" w:rsidRDefault="00353322" w:rsidP="00B342C4">
            <w:pPr>
              <w:spacing w:before="80" w:after="80"/>
              <w:jc w:val="center"/>
              <w:rPr>
                <w:rFonts w:ascii="Arial" w:hAnsi="Arial" w:cs="Arial"/>
                <w:sz w:val="22"/>
                <w:szCs w:val="22"/>
              </w:rPr>
            </w:pPr>
            <w:r w:rsidRPr="00353322">
              <w:rPr>
                <w:rFonts w:ascii="Arial" w:hAnsi="Arial" w:cs="Arial"/>
                <w:b/>
                <w:bCs/>
                <w:sz w:val="22"/>
                <w:szCs w:val="22"/>
              </w:rPr>
              <w:t>2023</w:t>
            </w:r>
          </w:p>
        </w:tc>
        <w:tc>
          <w:tcPr>
            <w:tcW w:w="1771" w:type="dxa"/>
            <w:vAlign w:val="center"/>
            <w:hideMark/>
          </w:tcPr>
          <w:p w14:paraId="7B9D07E8" w14:textId="4EC68F7E"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$22,400</w:t>
            </w:r>
          </w:p>
        </w:tc>
        <w:tc>
          <w:tcPr>
            <w:tcW w:w="1771" w:type="dxa"/>
            <w:vAlign w:val="center"/>
            <w:hideMark/>
          </w:tcPr>
          <w:p w14:paraId="52453F4D" w14:textId="7EA88402"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00B342C4" w:rsidRPr="00B342C4">
              <w:rPr>
                <w:rFonts w:ascii="Arial" w:hAnsi="Arial" w:cs="Arial"/>
                <w:sz w:val="22"/>
                <w:szCs w:val="22"/>
              </w:rPr>
              <w:t xml:space="preserve"> </w:t>
            </w:r>
            <w:r w:rsidRPr="00353322">
              <w:rPr>
                <w:rFonts w:ascii="Arial" w:hAnsi="Arial" w:cs="Arial"/>
                <w:sz w:val="22"/>
                <w:szCs w:val="22"/>
              </w:rPr>
              <w:t>22,400</w:t>
            </w:r>
          </w:p>
        </w:tc>
        <w:tc>
          <w:tcPr>
            <w:tcW w:w="1771" w:type="dxa"/>
            <w:vAlign w:val="center"/>
            <w:hideMark/>
          </w:tcPr>
          <w:p w14:paraId="459A4CA8" w14:textId="58640F61"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11,550</w:t>
            </w:r>
          </w:p>
        </w:tc>
        <w:tc>
          <w:tcPr>
            <w:tcW w:w="1771" w:type="dxa"/>
            <w:vAlign w:val="center"/>
            <w:hideMark/>
          </w:tcPr>
          <w:p w14:paraId="4B7BA126" w14:textId="2F843A6C"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1,650</w:t>
            </w:r>
          </w:p>
        </w:tc>
        <w:tc>
          <w:tcPr>
            <w:tcW w:w="1771" w:type="dxa"/>
            <w:vAlign w:val="center"/>
            <w:hideMark/>
          </w:tcPr>
          <w:p w14:paraId="60E1F9A8" w14:textId="5EF2DEEE"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13,200</w:t>
            </w:r>
          </w:p>
        </w:tc>
      </w:tr>
      <w:tr w:rsidR="00B342C4" w:rsidRPr="00B342C4" w14:paraId="0746E4A2" w14:textId="77777777" w:rsidTr="001C7DCC">
        <w:trPr>
          <w:jc w:val="center"/>
        </w:trPr>
        <w:tc>
          <w:tcPr>
            <w:tcW w:w="1008" w:type="dxa"/>
            <w:shd w:val="clear" w:color="auto" w:fill="D9D9D9" w:themeFill="background1" w:themeFillShade="D9"/>
            <w:vAlign w:val="center"/>
            <w:hideMark/>
          </w:tcPr>
          <w:p w14:paraId="4CC76D4B" w14:textId="77777777" w:rsidR="00353322" w:rsidRPr="00353322" w:rsidRDefault="00353322" w:rsidP="00B342C4">
            <w:pPr>
              <w:spacing w:before="80" w:after="80"/>
              <w:jc w:val="center"/>
              <w:rPr>
                <w:rFonts w:ascii="Arial" w:hAnsi="Arial" w:cs="Arial"/>
                <w:sz w:val="22"/>
                <w:szCs w:val="22"/>
              </w:rPr>
            </w:pPr>
            <w:r w:rsidRPr="00353322">
              <w:rPr>
                <w:rFonts w:ascii="Arial" w:hAnsi="Arial" w:cs="Arial"/>
                <w:b/>
                <w:bCs/>
                <w:sz w:val="22"/>
                <w:szCs w:val="22"/>
              </w:rPr>
              <w:t>2024</w:t>
            </w:r>
          </w:p>
        </w:tc>
        <w:tc>
          <w:tcPr>
            <w:tcW w:w="1771" w:type="dxa"/>
            <w:vAlign w:val="center"/>
            <w:hideMark/>
          </w:tcPr>
          <w:p w14:paraId="19B8A646" w14:textId="424B9D16"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$36,600</w:t>
            </w:r>
          </w:p>
        </w:tc>
        <w:tc>
          <w:tcPr>
            <w:tcW w:w="1771" w:type="dxa"/>
            <w:vAlign w:val="center"/>
            <w:hideMark/>
          </w:tcPr>
          <w:p w14:paraId="5BCF7E9B" w14:textId="21DD3DA2"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00B342C4" w:rsidRPr="00B342C4">
              <w:rPr>
                <w:rFonts w:ascii="Arial" w:hAnsi="Arial" w:cs="Arial"/>
                <w:sz w:val="22"/>
                <w:szCs w:val="22"/>
              </w:rPr>
              <w:t xml:space="preserve"> </w:t>
            </w:r>
            <w:r w:rsidRPr="00353322">
              <w:rPr>
                <w:rFonts w:ascii="Arial" w:hAnsi="Arial" w:cs="Arial"/>
                <w:sz w:val="22"/>
                <w:szCs w:val="22"/>
              </w:rPr>
              <w:t>36,030.22</w:t>
            </w:r>
          </w:p>
        </w:tc>
        <w:tc>
          <w:tcPr>
            <w:tcW w:w="1771" w:type="dxa"/>
            <w:vAlign w:val="center"/>
            <w:hideMark/>
          </w:tcPr>
          <w:p w14:paraId="4238DC78" w14:textId="31A66B03"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25,850</w:t>
            </w:r>
          </w:p>
        </w:tc>
        <w:tc>
          <w:tcPr>
            <w:tcW w:w="1771" w:type="dxa"/>
            <w:vAlign w:val="center"/>
            <w:hideMark/>
          </w:tcPr>
          <w:p w14:paraId="1A6ED178" w14:textId="7EC22110"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7,600</w:t>
            </w:r>
          </w:p>
        </w:tc>
        <w:tc>
          <w:tcPr>
            <w:tcW w:w="1771" w:type="dxa"/>
            <w:vAlign w:val="center"/>
            <w:hideMark/>
          </w:tcPr>
          <w:p w14:paraId="2866B552" w14:textId="265F432E"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33,450</w:t>
            </w:r>
          </w:p>
        </w:tc>
      </w:tr>
      <w:tr w:rsidR="00B342C4" w:rsidRPr="00B342C4" w14:paraId="6CCE9DAF" w14:textId="77777777" w:rsidTr="001C7DCC">
        <w:trPr>
          <w:jc w:val="center"/>
        </w:trPr>
        <w:tc>
          <w:tcPr>
            <w:tcW w:w="1008" w:type="dxa"/>
            <w:shd w:val="clear" w:color="auto" w:fill="D9D9D9" w:themeFill="background1" w:themeFillShade="D9"/>
            <w:vAlign w:val="center"/>
            <w:hideMark/>
          </w:tcPr>
          <w:p w14:paraId="45BDC629" w14:textId="77777777" w:rsidR="00353322" w:rsidRPr="00353322" w:rsidRDefault="00353322" w:rsidP="00B342C4">
            <w:pPr>
              <w:spacing w:before="80" w:after="80"/>
              <w:jc w:val="center"/>
              <w:rPr>
                <w:rFonts w:ascii="Arial" w:hAnsi="Arial" w:cs="Arial"/>
                <w:sz w:val="22"/>
                <w:szCs w:val="22"/>
              </w:rPr>
            </w:pPr>
            <w:r w:rsidRPr="00353322">
              <w:rPr>
                <w:rFonts w:ascii="Arial" w:hAnsi="Arial" w:cs="Arial"/>
                <w:b/>
                <w:bCs/>
                <w:sz w:val="22"/>
                <w:szCs w:val="22"/>
              </w:rPr>
              <w:t>2025</w:t>
            </w:r>
          </w:p>
        </w:tc>
        <w:tc>
          <w:tcPr>
            <w:tcW w:w="1771" w:type="dxa"/>
            <w:vAlign w:val="center"/>
            <w:hideMark/>
          </w:tcPr>
          <w:p w14:paraId="1C67EC49" w14:textId="7E8DF3BE"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$29,250</w:t>
            </w:r>
          </w:p>
        </w:tc>
        <w:tc>
          <w:tcPr>
            <w:tcW w:w="1771" w:type="dxa"/>
            <w:vAlign w:val="center"/>
            <w:hideMark/>
          </w:tcPr>
          <w:p w14:paraId="59E07ABE" w14:textId="638C1137"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00B342C4" w:rsidRPr="00B342C4">
              <w:rPr>
                <w:rFonts w:ascii="Arial" w:hAnsi="Arial" w:cs="Arial"/>
                <w:sz w:val="22"/>
                <w:szCs w:val="22"/>
              </w:rPr>
              <w:t xml:space="preserve"> </w:t>
            </w:r>
            <w:r w:rsidRPr="00353322">
              <w:rPr>
                <w:rFonts w:ascii="Arial" w:hAnsi="Arial" w:cs="Arial"/>
                <w:sz w:val="22"/>
                <w:szCs w:val="22"/>
              </w:rPr>
              <w:t>14,987.73</w:t>
            </w:r>
          </w:p>
        </w:tc>
        <w:tc>
          <w:tcPr>
            <w:tcW w:w="1771" w:type="dxa"/>
            <w:vAlign w:val="center"/>
            <w:hideMark/>
          </w:tcPr>
          <w:p w14:paraId="13D1BD24" w14:textId="3266ED32"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8,220</w:t>
            </w:r>
          </w:p>
        </w:tc>
        <w:tc>
          <w:tcPr>
            <w:tcW w:w="1771" w:type="dxa"/>
            <w:vAlign w:val="center"/>
            <w:hideMark/>
          </w:tcPr>
          <w:p w14:paraId="7051DA0E" w14:textId="787B6F3A"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3,100</w:t>
            </w:r>
          </w:p>
        </w:tc>
        <w:tc>
          <w:tcPr>
            <w:tcW w:w="1771" w:type="dxa"/>
            <w:vAlign w:val="center"/>
            <w:hideMark/>
          </w:tcPr>
          <w:p w14:paraId="0F272BF9" w14:textId="2FA0F2B6" w:rsidR="00353322" w:rsidRPr="00353322" w:rsidRDefault="00353322" w:rsidP="00B342C4">
            <w:pPr>
              <w:spacing w:before="80" w:after="80"/>
              <w:jc w:val="center"/>
              <w:rPr>
                <w:rFonts w:ascii="Arial" w:hAnsi="Arial" w:cs="Arial"/>
                <w:sz w:val="22"/>
                <w:szCs w:val="22"/>
              </w:rPr>
            </w:pPr>
            <w:r w:rsidRPr="00353322">
              <w:rPr>
                <w:rFonts w:ascii="Arial" w:hAnsi="Arial" w:cs="Arial"/>
                <w:sz w:val="22"/>
                <w:szCs w:val="22"/>
              </w:rPr>
              <w:t>$</w:t>
            </w:r>
            <w:r w:rsidRPr="00B342C4">
              <w:rPr>
                <w:rFonts w:ascii="Arial" w:hAnsi="Arial" w:cs="Arial"/>
                <w:sz w:val="22"/>
                <w:szCs w:val="22"/>
              </w:rPr>
              <w:t xml:space="preserve"> </w:t>
            </w:r>
            <w:r w:rsidRPr="00353322">
              <w:rPr>
                <w:rFonts w:ascii="Arial" w:hAnsi="Arial" w:cs="Arial"/>
                <w:sz w:val="22"/>
                <w:szCs w:val="22"/>
              </w:rPr>
              <w:t>11,320</w:t>
            </w:r>
          </w:p>
        </w:tc>
      </w:tr>
    </w:tbl>
    <w:p w14:paraId="5F8BEBF3" w14:textId="4533AEAD" w:rsidR="00B342C4" w:rsidRDefault="00B342C4" w:rsidP="00EE2BC0">
      <w:pPr>
        <w:spacing w:before="80"/>
        <w:jc w:val="center"/>
        <w:outlineLvl w:val="2"/>
        <w:rPr>
          <w:rFonts w:ascii="Arial" w:hAnsi="Arial" w:cs="Arial"/>
          <w:b/>
          <w:bCs/>
          <w:sz w:val="18"/>
          <w:szCs w:val="18"/>
        </w:rPr>
      </w:pPr>
      <w:r w:rsidRPr="00353322">
        <w:rPr>
          <w:rFonts w:ascii="Arial" w:hAnsi="Arial" w:cs="Arial"/>
          <w:b/>
          <w:bCs/>
          <w:sz w:val="18"/>
          <w:szCs w:val="18"/>
        </w:rPr>
        <w:t>Table 1</w:t>
      </w:r>
      <w:r w:rsidR="000932AC">
        <w:rPr>
          <w:rFonts w:ascii="Arial" w:hAnsi="Arial" w:cs="Arial"/>
          <w:b/>
          <w:bCs/>
          <w:sz w:val="18"/>
          <w:szCs w:val="18"/>
        </w:rPr>
        <w:t>.1</w:t>
      </w:r>
      <w:r w:rsidRPr="00353322">
        <w:rPr>
          <w:rFonts w:ascii="Arial" w:hAnsi="Arial" w:cs="Arial"/>
          <w:b/>
          <w:bCs/>
          <w:sz w:val="18"/>
          <w:szCs w:val="18"/>
        </w:rPr>
        <w:t xml:space="preserve"> </w:t>
      </w:r>
      <w:r w:rsidRPr="00B342C4">
        <w:rPr>
          <w:rFonts w:ascii="Arial" w:hAnsi="Arial" w:cs="Arial"/>
          <w:b/>
          <w:bCs/>
          <w:sz w:val="18"/>
          <w:szCs w:val="18"/>
        </w:rPr>
        <w:t>-</w:t>
      </w:r>
      <w:r w:rsidRPr="00353322">
        <w:rPr>
          <w:rFonts w:ascii="Arial" w:hAnsi="Arial" w:cs="Arial"/>
          <w:b/>
          <w:bCs/>
          <w:sz w:val="18"/>
          <w:szCs w:val="18"/>
        </w:rPr>
        <w:t xml:space="preserve"> Premium and Claims by Underwriting Year</w:t>
      </w:r>
    </w:p>
    <w:p w14:paraId="5858EBD9" w14:textId="77777777" w:rsidR="00752AFB" w:rsidRPr="00752AFB" w:rsidRDefault="00752AFB" w:rsidP="00752AFB">
      <w:pPr>
        <w:outlineLvl w:val="2"/>
        <w:rPr>
          <w:rFonts w:ascii="Arial" w:hAnsi="Arial" w:cs="Arial"/>
          <w:b/>
          <w:bCs/>
          <w:sz w:val="22"/>
          <w:szCs w:val="22"/>
        </w:rPr>
      </w:pPr>
    </w:p>
    <w:p w14:paraId="2B501507" w14:textId="1CA461B6" w:rsidR="00C64391" w:rsidRPr="00C64391" w:rsidRDefault="00C64391" w:rsidP="00C64391">
      <w:pPr>
        <w:spacing w:before="120"/>
        <w:jc w:val="both"/>
        <w:rPr>
          <w:rFonts w:ascii="Arial" w:hAnsi="Arial" w:cs="Arial"/>
          <w:sz w:val="22"/>
          <w:szCs w:val="22"/>
        </w:rPr>
      </w:pPr>
      <w:r w:rsidRPr="00C64391">
        <w:rPr>
          <w:rFonts w:ascii="Arial" w:hAnsi="Arial" w:cs="Arial"/>
          <w:sz w:val="22"/>
          <w:szCs w:val="22"/>
        </w:rPr>
        <w:t xml:space="preserve">The premium figures show a portfolio that expanded steadily from 2021 through 2024, with written premiums reaching their highest point in 2024 before easing slightly in 2025. Since 2025 is still </w:t>
      </w:r>
      <w:r>
        <w:rPr>
          <w:rFonts w:ascii="Arial" w:hAnsi="Arial" w:cs="Arial"/>
          <w:sz w:val="22"/>
          <w:szCs w:val="22"/>
        </w:rPr>
        <w:t xml:space="preserve">developing </w:t>
      </w:r>
      <w:r w:rsidRPr="00C64391">
        <w:rPr>
          <w:rFonts w:ascii="Arial" w:hAnsi="Arial" w:cs="Arial"/>
          <w:sz w:val="22"/>
          <w:szCs w:val="22"/>
        </w:rPr>
        <w:t>at the valuation date, the lower earned premium is expected. For the first three underwriting years, written and earned premiums match, which indicates that all exposures were fully earned within those years. Small differences appear in 2024 and 2025, mainly due to policies extending into 2026, leaving part of the premium unearned as of September 2025.</w:t>
      </w:r>
    </w:p>
    <w:p w14:paraId="207FC90E" w14:textId="77777777" w:rsidR="00C64391" w:rsidRDefault="00C64391" w:rsidP="00C64391">
      <w:pPr>
        <w:spacing w:before="120"/>
        <w:jc w:val="both"/>
        <w:rPr>
          <w:rFonts w:ascii="Arial" w:hAnsi="Arial" w:cs="Arial"/>
          <w:sz w:val="22"/>
          <w:szCs w:val="22"/>
        </w:rPr>
      </w:pPr>
    </w:p>
    <w:p w14:paraId="3A436A3C" w14:textId="69453E9C" w:rsidR="00C64391" w:rsidRPr="00C64391" w:rsidRDefault="00C64391" w:rsidP="00C64391">
      <w:pPr>
        <w:spacing w:before="120"/>
        <w:jc w:val="both"/>
        <w:rPr>
          <w:rFonts w:ascii="Arial" w:hAnsi="Arial" w:cs="Arial"/>
          <w:sz w:val="22"/>
          <w:szCs w:val="22"/>
        </w:rPr>
      </w:pPr>
      <w:r w:rsidRPr="00C64391">
        <w:rPr>
          <w:rFonts w:ascii="Arial" w:hAnsi="Arial" w:cs="Arial"/>
          <w:sz w:val="22"/>
          <w:szCs w:val="22"/>
        </w:rPr>
        <w:t>Paid losses follow a similar upward pattern and peak in 2024. The absence of case reserves in 2021 shows that all claims for that year were settled. Starting from 2022, the presence of case reserves signals open claims or claims still developing. The higher reserve amount in 2024 reflects the heavier claim activity observed that year. For 2025, both paid losses and reserves are still modest, but this is natural given the immaturity of the underwriting year.</w:t>
      </w:r>
    </w:p>
    <w:p w14:paraId="775B9243" w14:textId="77777777" w:rsidR="00C64391" w:rsidRDefault="00C64391" w:rsidP="00C64391">
      <w:pPr>
        <w:spacing w:before="120"/>
        <w:jc w:val="both"/>
        <w:rPr>
          <w:rFonts w:ascii="Arial" w:hAnsi="Arial" w:cs="Arial"/>
          <w:sz w:val="22"/>
          <w:szCs w:val="22"/>
        </w:rPr>
      </w:pPr>
    </w:p>
    <w:p w14:paraId="474F5E95" w14:textId="6150E484" w:rsidR="00C64391" w:rsidRPr="00C64391" w:rsidRDefault="00C64391" w:rsidP="00C64391">
      <w:pPr>
        <w:spacing w:before="120"/>
        <w:jc w:val="both"/>
        <w:rPr>
          <w:rFonts w:ascii="Arial" w:hAnsi="Arial" w:cs="Arial"/>
          <w:sz w:val="22"/>
          <w:szCs w:val="22"/>
        </w:rPr>
      </w:pPr>
      <w:r w:rsidRPr="00C64391">
        <w:rPr>
          <w:rFonts w:ascii="Arial" w:hAnsi="Arial" w:cs="Arial"/>
          <w:sz w:val="22"/>
          <w:szCs w:val="22"/>
        </w:rPr>
        <w:t>When combining paid losses and reserves, incurred claims remain fairly consistent in the early years before rising sharply in 2024. This makes 2024 stand out as a particularly heavy year, driven by a combination of higher severity and a greater number of open claims. Incurred losses for 2025 are low at this stage, though this does not necessarily reflect its final cost.</w:t>
      </w:r>
    </w:p>
    <w:p w14:paraId="1C9516DD" w14:textId="77777777" w:rsidR="00C64391" w:rsidRDefault="00C64391" w:rsidP="00C64391">
      <w:pPr>
        <w:spacing w:before="120"/>
        <w:jc w:val="both"/>
        <w:rPr>
          <w:rFonts w:ascii="Arial" w:hAnsi="Arial" w:cs="Arial"/>
          <w:sz w:val="22"/>
          <w:szCs w:val="22"/>
        </w:rPr>
      </w:pPr>
    </w:p>
    <w:p w14:paraId="4AEC4B5A" w14:textId="0F070D47" w:rsidR="00C64391" w:rsidRPr="00C64391" w:rsidRDefault="00C64391" w:rsidP="00C64391">
      <w:pPr>
        <w:spacing w:before="120"/>
        <w:jc w:val="both"/>
        <w:rPr>
          <w:rFonts w:ascii="Arial" w:hAnsi="Arial" w:cs="Arial"/>
          <w:sz w:val="22"/>
          <w:szCs w:val="22"/>
        </w:rPr>
      </w:pPr>
      <w:r w:rsidRPr="00C64391">
        <w:rPr>
          <w:rFonts w:ascii="Arial" w:hAnsi="Arial" w:cs="Arial"/>
          <w:sz w:val="22"/>
          <w:szCs w:val="22"/>
        </w:rPr>
        <w:t>Taken together, these observations show a portfolio that grew over the first four years but became more variable, especially in 2024. This growing variability motivates a deeper look into profitability ratios, exposure trends, and claim behavior in the sections that follow.</w:t>
      </w:r>
    </w:p>
    <w:p w14:paraId="5D65EE7B" w14:textId="7C8E5DC0" w:rsidR="00353322" w:rsidRDefault="00353322">
      <w:pPr>
        <w:rPr>
          <w:rFonts w:ascii="Arial" w:hAnsi="Arial" w:cs="Arial"/>
          <w:sz w:val="22"/>
          <w:szCs w:val="22"/>
        </w:rPr>
      </w:pPr>
    </w:p>
    <w:p w14:paraId="7CAF7912" w14:textId="72C49E26" w:rsidR="00BA3579" w:rsidRDefault="00BA3579">
      <w:pPr>
        <w:rPr>
          <w:rFonts w:ascii="Arial" w:hAnsi="Arial" w:cs="Arial"/>
          <w:sz w:val="22"/>
          <w:szCs w:val="22"/>
        </w:rPr>
      </w:pPr>
      <w:r>
        <w:rPr>
          <w:rFonts w:ascii="Arial" w:hAnsi="Arial" w:cs="Arial"/>
          <w:sz w:val="22"/>
          <w:szCs w:val="22"/>
        </w:rPr>
        <w:br w:type="page"/>
      </w:r>
    </w:p>
    <w:p w14:paraId="10349446" w14:textId="2D6A2EE2" w:rsidR="00BA3579" w:rsidRDefault="00BA3579" w:rsidP="00BA3579">
      <w:pPr>
        <w:rPr>
          <w:rFonts w:ascii="Arial" w:hAnsi="Arial" w:cs="Arial"/>
          <w:b/>
          <w:bCs/>
          <w:sz w:val="22"/>
          <w:szCs w:val="22"/>
        </w:rPr>
      </w:pPr>
      <w:r w:rsidRPr="00BA3579">
        <w:rPr>
          <w:rFonts w:ascii="Arial" w:hAnsi="Arial" w:cs="Arial"/>
          <w:b/>
          <w:bCs/>
          <w:sz w:val="22"/>
          <w:szCs w:val="22"/>
        </w:rPr>
        <w:lastRenderedPageBreak/>
        <w:t>2.2 Loss and Expense Ratios</w:t>
      </w:r>
    </w:p>
    <w:p w14:paraId="59D53F20" w14:textId="1D7486B1" w:rsidR="00BA3579" w:rsidRPr="00BA3579" w:rsidRDefault="00BA3579" w:rsidP="00BA3579">
      <w:pPr>
        <w:rPr>
          <w:rFonts w:ascii="Arial" w:hAnsi="Arial" w:cs="Arial"/>
          <w:b/>
          <w:bCs/>
          <w:sz w:val="22"/>
          <w:szCs w:val="22"/>
        </w:rPr>
      </w:pPr>
    </w:p>
    <w:tbl>
      <w:tblPr>
        <w:tblStyle w:val="PlainTable1"/>
        <w:tblW w:w="9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8"/>
        <w:gridCol w:w="1440"/>
        <w:gridCol w:w="1440"/>
        <w:gridCol w:w="1872"/>
        <w:gridCol w:w="1872"/>
        <w:gridCol w:w="1872"/>
      </w:tblGrid>
      <w:tr w:rsidR="00EE2BC0" w:rsidRPr="00BA3579" w14:paraId="5094ADE1" w14:textId="77777777" w:rsidTr="00EE2B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222A35" w:themeFill="text2" w:themeFillShade="80"/>
            <w:vAlign w:val="center"/>
            <w:hideMark/>
          </w:tcPr>
          <w:p w14:paraId="64E39367" w14:textId="77777777" w:rsidR="00BA3579" w:rsidRPr="00BA3579" w:rsidRDefault="00BA3579" w:rsidP="00EE2BC0">
            <w:pPr>
              <w:spacing w:before="80" w:after="80"/>
              <w:jc w:val="center"/>
              <w:rPr>
                <w:rFonts w:ascii="Arial" w:hAnsi="Arial" w:cs="Arial"/>
                <w:color w:val="FFFFFF" w:themeColor="background1"/>
                <w:sz w:val="22"/>
                <w:szCs w:val="22"/>
              </w:rPr>
            </w:pPr>
            <w:r w:rsidRPr="00BA3579">
              <w:rPr>
                <w:rFonts w:ascii="Arial" w:hAnsi="Arial" w:cs="Arial"/>
                <w:color w:val="FFFFFF" w:themeColor="background1"/>
                <w:sz w:val="22"/>
                <w:szCs w:val="22"/>
              </w:rPr>
              <w:t>UWY</w:t>
            </w:r>
          </w:p>
        </w:tc>
        <w:tc>
          <w:tcPr>
            <w:tcW w:w="1440" w:type="dxa"/>
            <w:shd w:val="clear" w:color="auto" w:fill="222A35" w:themeFill="text2" w:themeFillShade="80"/>
            <w:vAlign w:val="center"/>
            <w:hideMark/>
          </w:tcPr>
          <w:p w14:paraId="099ABC06" w14:textId="77777777" w:rsidR="00BA3579" w:rsidRPr="00BA3579" w:rsidRDefault="00BA3579" w:rsidP="00EE2BC0">
            <w:pPr>
              <w:spacing w:before="80" w:after="8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rPr>
            </w:pPr>
            <w:r w:rsidRPr="00BA3579">
              <w:rPr>
                <w:rFonts w:ascii="Arial" w:hAnsi="Arial" w:cs="Arial"/>
                <w:color w:val="FFFFFF" w:themeColor="background1"/>
                <w:sz w:val="22"/>
                <w:szCs w:val="22"/>
              </w:rPr>
              <w:t>Loss Ratio</w:t>
            </w:r>
          </w:p>
        </w:tc>
        <w:tc>
          <w:tcPr>
            <w:tcW w:w="1440" w:type="dxa"/>
            <w:shd w:val="clear" w:color="auto" w:fill="222A35" w:themeFill="text2" w:themeFillShade="80"/>
            <w:vAlign w:val="center"/>
            <w:hideMark/>
          </w:tcPr>
          <w:p w14:paraId="102BF159" w14:textId="77777777" w:rsidR="00BA3579" w:rsidRPr="00BA3579" w:rsidRDefault="00BA3579" w:rsidP="00EE2BC0">
            <w:pPr>
              <w:spacing w:before="80" w:after="8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rPr>
            </w:pPr>
            <w:r w:rsidRPr="00BA3579">
              <w:rPr>
                <w:rFonts w:ascii="Arial" w:hAnsi="Arial" w:cs="Arial"/>
                <w:color w:val="FFFFFF" w:themeColor="background1"/>
                <w:sz w:val="22"/>
                <w:szCs w:val="22"/>
              </w:rPr>
              <w:t>LAE Ratio</w:t>
            </w:r>
          </w:p>
        </w:tc>
        <w:tc>
          <w:tcPr>
            <w:tcW w:w="1872" w:type="dxa"/>
            <w:shd w:val="clear" w:color="auto" w:fill="222A35" w:themeFill="text2" w:themeFillShade="80"/>
            <w:vAlign w:val="center"/>
            <w:hideMark/>
          </w:tcPr>
          <w:p w14:paraId="00D69B88" w14:textId="77777777" w:rsidR="00BA3579" w:rsidRPr="00BA3579" w:rsidRDefault="00BA3579" w:rsidP="00EE2BC0">
            <w:pPr>
              <w:spacing w:before="80" w:after="8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rPr>
            </w:pPr>
            <w:r w:rsidRPr="00BA3579">
              <w:rPr>
                <w:rFonts w:ascii="Arial" w:hAnsi="Arial" w:cs="Arial"/>
                <w:color w:val="FFFFFF" w:themeColor="background1"/>
                <w:sz w:val="22"/>
                <w:szCs w:val="22"/>
              </w:rPr>
              <w:t>UW Expense Ratio</w:t>
            </w:r>
          </w:p>
        </w:tc>
        <w:tc>
          <w:tcPr>
            <w:tcW w:w="1872" w:type="dxa"/>
            <w:shd w:val="clear" w:color="auto" w:fill="222A35" w:themeFill="text2" w:themeFillShade="80"/>
            <w:vAlign w:val="center"/>
            <w:hideMark/>
          </w:tcPr>
          <w:p w14:paraId="44196CB9" w14:textId="77777777" w:rsidR="00BA3579" w:rsidRPr="00BA3579" w:rsidRDefault="00BA3579" w:rsidP="00EE2BC0">
            <w:pPr>
              <w:spacing w:before="80" w:after="8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rPr>
            </w:pPr>
            <w:r w:rsidRPr="00BA3579">
              <w:rPr>
                <w:rFonts w:ascii="Arial" w:hAnsi="Arial" w:cs="Arial"/>
                <w:color w:val="FFFFFF" w:themeColor="background1"/>
                <w:sz w:val="22"/>
                <w:szCs w:val="22"/>
              </w:rPr>
              <w:t>Operating Expense Ratio</w:t>
            </w:r>
          </w:p>
        </w:tc>
        <w:tc>
          <w:tcPr>
            <w:tcW w:w="1872" w:type="dxa"/>
            <w:shd w:val="clear" w:color="auto" w:fill="222A35" w:themeFill="text2" w:themeFillShade="80"/>
            <w:vAlign w:val="center"/>
            <w:hideMark/>
          </w:tcPr>
          <w:p w14:paraId="1E6CD784" w14:textId="77777777" w:rsidR="00BA3579" w:rsidRPr="00BA3579" w:rsidRDefault="00BA3579" w:rsidP="00EE2BC0">
            <w:pPr>
              <w:spacing w:before="80" w:after="8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rPr>
            </w:pPr>
            <w:r w:rsidRPr="00BA3579">
              <w:rPr>
                <w:rFonts w:ascii="Arial" w:hAnsi="Arial" w:cs="Arial"/>
                <w:color w:val="FFFFFF" w:themeColor="background1"/>
                <w:sz w:val="22"/>
                <w:szCs w:val="22"/>
              </w:rPr>
              <w:t>Combined Ratio</w:t>
            </w:r>
          </w:p>
        </w:tc>
      </w:tr>
      <w:tr w:rsidR="00EE2BC0" w:rsidRPr="00BA3579" w14:paraId="78F89218" w14:textId="77777777" w:rsidTr="001C7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D9D9D9" w:themeFill="background1" w:themeFillShade="D9"/>
            <w:vAlign w:val="center"/>
            <w:hideMark/>
          </w:tcPr>
          <w:p w14:paraId="72DF8327" w14:textId="77777777" w:rsidR="00BA3579" w:rsidRPr="00BA3579" w:rsidRDefault="00BA3579" w:rsidP="00EE2BC0">
            <w:pPr>
              <w:spacing w:before="80" w:after="80"/>
              <w:jc w:val="center"/>
              <w:rPr>
                <w:rFonts w:ascii="Arial" w:hAnsi="Arial" w:cs="Arial"/>
                <w:sz w:val="22"/>
                <w:szCs w:val="22"/>
              </w:rPr>
            </w:pPr>
            <w:r w:rsidRPr="00BA3579">
              <w:rPr>
                <w:rFonts w:ascii="Arial" w:hAnsi="Arial" w:cs="Arial"/>
                <w:sz w:val="22"/>
                <w:szCs w:val="22"/>
              </w:rPr>
              <w:t>2021</w:t>
            </w:r>
          </w:p>
        </w:tc>
        <w:tc>
          <w:tcPr>
            <w:tcW w:w="1440" w:type="dxa"/>
            <w:shd w:val="clear" w:color="auto" w:fill="auto"/>
            <w:vAlign w:val="center"/>
            <w:hideMark/>
          </w:tcPr>
          <w:p w14:paraId="03B75706" w14:textId="7114C536"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61</w:t>
            </w:r>
            <w:r w:rsidR="002E1BB0">
              <w:rPr>
                <w:rFonts w:ascii="Arial" w:hAnsi="Arial" w:cs="Arial"/>
                <w:sz w:val="22"/>
                <w:szCs w:val="22"/>
              </w:rPr>
              <w:t xml:space="preserve"> </w:t>
            </w:r>
            <w:r w:rsidRPr="00BA3579">
              <w:rPr>
                <w:rFonts w:ascii="Arial" w:hAnsi="Arial" w:cs="Arial"/>
                <w:sz w:val="22"/>
                <w:szCs w:val="22"/>
              </w:rPr>
              <w:t>%</w:t>
            </w:r>
          </w:p>
        </w:tc>
        <w:tc>
          <w:tcPr>
            <w:tcW w:w="1440" w:type="dxa"/>
            <w:shd w:val="clear" w:color="auto" w:fill="auto"/>
            <w:vAlign w:val="center"/>
            <w:hideMark/>
          </w:tcPr>
          <w:p w14:paraId="2B922B5E" w14:textId="31CA0FF3"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13</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219672BE" w14:textId="2FD2B88B"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24</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23BCA257" w14:textId="3E176A18"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32</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16ACA9BE" w14:textId="234E0126"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92</w:t>
            </w:r>
            <w:r w:rsidR="002E1BB0">
              <w:rPr>
                <w:rFonts w:ascii="Arial" w:hAnsi="Arial" w:cs="Arial"/>
                <w:sz w:val="22"/>
                <w:szCs w:val="22"/>
              </w:rPr>
              <w:t xml:space="preserve"> </w:t>
            </w:r>
            <w:r w:rsidRPr="00BA3579">
              <w:rPr>
                <w:rFonts w:ascii="Arial" w:hAnsi="Arial" w:cs="Arial"/>
                <w:sz w:val="22"/>
                <w:szCs w:val="22"/>
              </w:rPr>
              <w:t>%</w:t>
            </w:r>
          </w:p>
        </w:tc>
      </w:tr>
      <w:tr w:rsidR="00EE2BC0" w:rsidRPr="00BA3579" w14:paraId="07B23542" w14:textId="77777777" w:rsidTr="001C7DCC">
        <w:trPr>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D9D9D9" w:themeFill="background1" w:themeFillShade="D9"/>
            <w:vAlign w:val="center"/>
            <w:hideMark/>
          </w:tcPr>
          <w:p w14:paraId="7309AC22" w14:textId="77777777" w:rsidR="00BA3579" w:rsidRPr="00BA3579" w:rsidRDefault="00BA3579" w:rsidP="00EE2BC0">
            <w:pPr>
              <w:spacing w:before="80" w:after="80"/>
              <w:jc w:val="center"/>
              <w:rPr>
                <w:rFonts w:ascii="Arial" w:hAnsi="Arial" w:cs="Arial"/>
                <w:sz w:val="22"/>
                <w:szCs w:val="22"/>
              </w:rPr>
            </w:pPr>
            <w:r w:rsidRPr="00BA3579">
              <w:rPr>
                <w:rFonts w:ascii="Arial" w:hAnsi="Arial" w:cs="Arial"/>
                <w:sz w:val="22"/>
                <w:szCs w:val="22"/>
              </w:rPr>
              <w:t>2022</w:t>
            </w:r>
          </w:p>
        </w:tc>
        <w:tc>
          <w:tcPr>
            <w:tcW w:w="1440" w:type="dxa"/>
            <w:shd w:val="clear" w:color="auto" w:fill="auto"/>
            <w:vAlign w:val="center"/>
            <w:hideMark/>
          </w:tcPr>
          <w:p w14:paraId="551D99A6" w14:textId="44DE9F87"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57</w:t>
            </w:r>
            <w:r w:rsidR="002E1BB0">
              <w:rPr>
                <w:rFonts w:ascii="Arial" w:hAnsi="Arial" w:cs="Arial"/>
                <w:sz w:val="22"/>
                <w:szCs w:val="22"/>
              </w:rPr>
              <w:t xml:space="preserve"> </w:t>
            </w:r>
            <w:r w:rsidRPr="00BA3579">
              <w:rPr>
                <w:rFonts w:ascii="Arial" w:hAnsi="Arial" w:cs="Arial"/>
                <w:sz w:val="22"/>
                <w:szCs w:val="22"/>
              </w:rPr>
              <w:t>%</w:t>
            </w:r>
          </w:p>
        </w:tc>
        <w:tc>
          <w:tcPr>
            <w:tcW w:w="1440" w:type="dxa"/>
            <w:shd w:val="clear" w:color="auto" w:fill="auto"/>
            <w:vAlign w:val="center"/>
            <w:hideMark/>
          </w:tcPr>
          <w:p w14:paraId="6B9C5489" w14:textId="525F6C49"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8</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676406CD" w14:textId="41FE691D"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30</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0365CA35" w14:textId="6CFCECDA"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34</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730AFDA9" w14:textId="028ECDE6"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91</w:t>
            </w:r>
            <w:r w:rsidR="002E1BB0">
              <w:rPr>
                <w:rFonts w:ascii="Arial" w:hAnsi="Arial" w:cs="Arial"/>
                <w:sz w:val="22"/>
                <w:szCs w:val="22"/>
              </w:rPr>
              <w:t xml:space="preserve"> </w:t>
            </w:r>
            <w:r w:rsidRPr="00BA3579">
              <w:rPr>
                <w:rFonts w:ascii="Arial" w:hAnsi="Arial" w:cs="Arial"/>
                <w:sz w:val="22"/>
                <w:szCs w:val="22"/>
              </w:rPr>
              <w:t>%</w:t>
            </w:r>
          </w:p>
        </w:tc>
      </w:tr>
      <w:tr w:rsidR="00EE2BC0" w:rsidRPr="00BA3579" w14:paraId="0C233ADA" w14:textId="77777777" w:rsidTr="001C7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D9D9D9" w:themeFill="background1" w:themeFillShade="D9"/>
            <w:vAlign w:val="center"/>
            <w:hideMark/>
          </w:tcPr>
          <w:p w14:paraId="5AB1D800" w14:textId="77777777" w:rsidR="00BA3579" w:rsidRPr="00BA3579" w:rsidRDefault="00BA3579" w:rsidP="00EE2BC0">
            <w:pPr>
              <w:spacing w:before="80" w:after="80"/>
              <w:jc w:val="center"/>
              <w:rPr>
                <w:rFonts w:ascii="Arial" w:hAnsi="Arial" w:cs="Arial"/>
                <w:sz w:val="22"/>
                <w:szCs w:val="22"/>
              </w:rPr>
            </w:pPr>
            <w:r w:rsidRPr="00BA3579">
              <w:rPr>
                <w:rFonts w:ascii="Arial" w:hAnsi="Arial" w:cs="Arial"/>
                <w:sz w:val="22"/>
                <w:szCs w:val="22"/>
              </w:rPr>
              <w:t>2023</w:t>
            </w:r>
          </w:p>
        </w:tc>
        <w:tc>
          <w:tcPr>
            <w:tcW w:w="1440" w:type="dxa"/>
            <w:shd w:val="clear" w:color="auto" w:fill="auto"/>
            <w:vAlign w:val="center"/>
            <w:hideMark/>
          </w:tcPr>
          <w:p w14:paraId="73B86C96" w14:textId="2B9AE213"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59</w:t>
            </w:r>
            <w:r w:rsidR="002E1BB0">
              <w:rPr>
                <w:rFonts w:ascii="Arial" w:hAnsi="Arial" w:cs="Arial"/>
                <w:sz w:val="22"/>
                <w:szCs w:val="22"/>
              </w:rPr>
              <w:t xml:space="preserve"> </w:t>
            </w:r>
            <w:r w:rsidRPr="00BA3579">
              <w:rPr>
                <w:rFonts w:ascii="Arial" w:hAnsi="Arial" w:cs="Arial"/>
                <w:sz w:val="22"/>
                <w:szCs w:val="22"/>
              </w:rPr>
              <w:t>%</w:t>
            </w:r>
          </w:p>
        </w:tc>
        <w:tc>
          <w:tcPr>
            <w:tcW w:w="1440" w:type="dxa"/>
            <w:shd w:val="clear" w:color="auto" w:fill="auto"/>
            <w:vAlign w:val="center"/>
            <w:hideMark/>
          </w:tcPr>
          <w:p w14:paraId="052AA89D" w14:textId="74789E57"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8</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509334B9" w14:textId="5813555A"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28</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3A5A850F" w14:textId="18721E31"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33</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3DAF60D9" w14:textId="3B7DA1C8"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92</w:t>
            </w:r>
            <w:r w:rsidR="002E1BB0">
              <w:rPr>
                <w:rFonts w:ascii="Arial" w:hAnsi="Arial" w:cs="Arial"/>
                <w:sz w:val="22"/>
                <w:szCs w:val="22"/>
              </w:rPr>
              <w:t xml:space="preserve"> </w:t>
            </w:r>
            <w:r w:rsidRPr="00BA3579">
              <w:rPr>
                <w:rFonts w:ascii="Arial" w:hAnsi="Arial" w:cs="Arial"/>
                <w:sz w:val="22"/>
                <w:szCs w:val="22"/>
              </w:rPr>
              <w:t>%</w:t>
            </w:r>
          </w:p>
        </w:tc>
      </w:tr>
      <w:tr w:rsidR="00EE2BC0" w:rsidRPr="00BA3579" w14:paraId="270BF270" w14:textId="77777777" w:rsidTr="001C7DCC">
        <w:trPr>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D9D9D9" w:themeFill="background1" w:themeFillShade="D9"/>
            <w:vAlign w:val="center"/>
            <w:hideMark/>
          </w:tcPr>
          <w:p w14:paraId="3E9584C1" w14:textId="77777777" w:rsidR="00BA3579" w:rsidRPr="00BA3579" w:rsidRDefault="00BA3579" w:rsidP="00EE2BC0">
            <w:pPr>
              <w:spacing w:before="80" w:after="80"/>
              <w:jc w:val="center"/>
              <w:rPr>
                <w:rFonts w:ascii="Arial" w:hAnsi="Arial" w:cs="Arial"/>
                <w:sz w:val="22"/>
                <w:szCs w:val="22"/>
              </w:rPr>
            </w:pPr>
            <w:r w:rsidRPr="00BA3579">
              <w:rPr>
                <w:rFonts w:ascii="Arial" w:hAnsi="Arial" w:cs="Arial"/>
                <w:sz w:val="22"/>
                <w:szCs w:val="22"/>
              </w:rPr>
              <w:t>2024</w:t>
            </w:r>
          </w:p>
        </w:tc>
        <w:tc>
          <w:tcPr>
            <w:tcW w:w="1440" w:type="dxa"/>
            <w:shd w:val="clear" w:color="auto" w:fill="auto"/>
            <w:vAlign w:val="center"/>
            <w:hideMark/>
          </w:tcPr>
          <w:p w14:paraId="0912A580" w14:textId="6FDFB92F"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93</w:t>
            </w:r>
            <w:r w:rsidR="002E1BB0">
              <w:rPr>
                <w:rFonts w:ascii="Arial" w:hAnsi="Arial" w:cs="Arial"/>
                <w:sz w:val="22"/>
                <w:szCs w:val="22"/>
              </w:rPr>
              <w:t xml:space="preserve"> </w:t>
            </w:r>
            <w:r w:rsidRPr="00BA3579">
              <w:rPr>
                <w:rFonts w:ascii="Arial" w:hAnsi="Arial" w:cs="Arial"/>
                <w:sz w:val="22"/>
                <w:szCs w:val="22"/>
              </w:rPr>
              <w:t>%</w:t>
            </w:r>
          </w:p>
        </w:tc>
        <w:tc>
          <w:tcPr>
            <w:tcW w:w="1440" w:type="dxa"/>
            <w:shd w:val="clear" w:color="auto" w:fill="auto"/>
            <w:vAlign w:val="center"/>
            <w:hideMark/>
          </w:tcPr>
          <w:p w14:paraId="2B63DA9F" w14:textId="294FC656"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5</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30C6C54D" w14:textId="78BE3309"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22</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548BF602" w14:textId="39554CDA"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27</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18699F2B" w14:textId="5DB45C75" w:rsidR="00BA3579" w:rsidRPr="00BA3579" w:rsidRDefault="00BA3579" w:rsidP="00EE2BC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A3579">
              <w:rPr>
                <w:rFonts w:ascii="Arial" w:hAnsi="Arial" w:cs="Arial"/>
                <w:sz w:val="22"/>
                <w:szCs w:val="22"/>
              </w:rPr>
              <w:t>120</w:t>
            </w:r>
            <w:r w:rsidR="002E1BB0">
              <w:rPr>
                <w:rFonts w:ascii="Arial" w:hAnsi="Arial" w:cs="Arial"/>
                <w:sz w:val="22"/>
                <w:szCs w:val="22"/>
              </w:rPr>
              <w:t xml:space="preserve"> </w:t>
            </w:r>
            <w:r w:rsidRPr="00BA3579">
              <w:rPr>
                <w:rFonts w:ascii="Arial" w:hAnsi="Arial" w:cs="Arial"/>
                <w:sz w:val="22"/>
                <w:szCs w:val="22"/>
              </w:rPr>
              <w:t>%</w:t>
            </w:r>
          </w:p>
        </w:tc>
      </w:tr>
      <w:tr w:rsidR="00EE2BC0" w:rsidRPr="00BA3579" w14:paraId="3E7D25D8" w14:textId="77777777" w:rsidTr="001C7D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D9D9D9" w:themeFill="background1" w:themeFillShade="D9"/>
            <w:vAlign w:val="center"/>
            <w:hideMark/>
          </w:tcPr>
          <w:p w14:paraId="106086E9" w14:textId="77777777" w:rsidR="00BA3579" w:rsidRPr="00BA3579" w:rsidRDefault="00BA3579" w:rsidP="00EE2BC0">
            <w:pPr>
              <w:spacing w:before="80" w:after="80"/>
              <w:jc w:val="center"/>
              <w:rPr>
                <w:rFonts w:ascii="Arial" w:hAnsi="Arial" w:cs="Arial"/>
                <w:sz w:val="22"/>
                <w:szCs w:val="22"/>
              </w:rPr>
            </w:pPr>
            <w:r w:rsidRPr="00BA3579">
              <w:rPr>
                <w:rFonts w:ascii="Arial" w:hAnsi="Arial" w:cs="Arial"/>
                <w:sz w:val="22"/>
                <w:szCs w:val="22"/>
              </w:rPr>
              <w:t>2025</w:t>
            </w:r>
          </w:p>
        </w:tc>
        <w:tc>
          <w:tcPr>
            <w:tcW w:w="1440" w:type="dxa"/>
            <w:shd w:val="clear" w:color="auto" w:fill="auto"/>
            <w:vAlign w:val="center"/>
            <w:hideMark/>
          </w:tcPr>
          <w:p w14:paraId="6224526A" w14:textId="74D02872"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76</w:t>
            </w:r>
            <w:r w:rsidR="002E1BB0">
              <w:rPr>
                <w:rFonts w:ascii="Arial" w:hAnsi="Arial" w:cs="Arial"/>
                <w:sz w:val="22"/>
                <w:szCs w:val="22"/>
              </w:rPr>
              <w:t xml:space="preserve"> </w:t>
            </w:r>
            <w:r w:rsidRPr="00BA3579">
              <w:rPr>
                <w:rFonts w:ascii="Arial" w:hAnsi="Arial" w:cs="Arial"/>
                <w:sz w:val="22"/>
                <w:szCs w:val="22"/>
              </w:rPr>
              <w:t>%</w:t>
            </w:r>
          </w:p>
        </w:tc>
        <w:tc>
          <w:tcPr>
            <w:tcW w:w="1440" w:type="dxa"/>
            <w:shd w:val="clear" w:color="auto" w:fill="auto"/>
            <w:vAlign w:val="center"/>
            <w:hideMark/>
          </w:tcPr>
          <w:p w14:paraId="267A8812" w14:textId="70AC9EAA"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6</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45C2F308" w14:textId="33B8DC34"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22</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62F2413C" w14:textId="55E47B26"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27</w:t>
            </w:r>
            <w:r w:rsidR="002E1BB0">
              <w:rPr>
                <w:rFonts w:ascii="Arial" w:hAnsi="Arial" w:cs="Arial"/>
                <w:sz w:val="22"/>
                <w:szCs w:val="22"/>
              </w:rPr>
              <w:t xml:space="preserve"> </w:t>
            </w:r>
            <w:r w:rsidRPr="00BA3579">
              <w:rPr>
                <w:rFonts w:ascii="Arial" w:hAnsi="Arial" w:cs="Arial"/>
                <w:sz w:val="22"/>
                <w:szCs w:val="22"/>
              </w:rPr>
              <w:t>%</w:t>
            </w:r>
          </w:p>
        </w:tc>
        <w:tc>
          <w:tcPr>
            <w:tcW w:w="1872" w:type="dxa"/>
            <w:shd w:val="clear" w:color="auto" w:fill="auto"/>
            <w:vAlign w:val="center"/>
            <w:hideMark/>
          </w:tcPr>
          <w:p w14:paraId="02BD9802" w14:textId="6B4BED70" w:rsidR="00BA3579" w:rsidRPr="00BA3579" w:rsidRDefault="00BA3579" w:rsidP="00EE2BC0">
            <w:pPr>
              <w:spacing w:before="80" w:after="8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A3579">
              <w:rPr>
                <w:rFonts w:ascii="Arial" w:hAnsi="Arial" w:cs="Arial"/>
                <w:sz w:val="22"/>
                <w:szCs w:val="22"/>
              </w:rPr>
              <w:t>102</w:t>
            </w:r>
            <w:r w:rsidR="002E1BB0">
              <w:rPr>
                <w:rFonts w:ascii="Arial" w:hAnsi="Arial" w:cs="Arial"/>
                <w:sz w:val="22"/>
                <w:szCs w:val="22"/>
              </w:rPr>
              <w:t xml:space="preserve"> </w:t>
            </w:r>
            <w:r w:rsidRPr="00BA3579">
              <w:rPr>
                <w:rFonts w:ascii="Arial" w:hAnsi="Arial" w:cs="Arial"/>
                <w:sz w:val="22"/>
                <w:szCs w:val="22"/>
              </w:rPr>
              <w:t>%</w:t>
            </w:r>
          </w:p>
        </w:tc>
      </w:tr>
    </w:tbl>
    <w:p w14:paraId="6221B43F" w14:textId="541A7CDD" w:rsidR="00BA3579" w:rsidRPr="00BA3579" w:rsidRDefault="00EE2BC0" w:rsidP="00EE2BC0">
      <w:pPr>
        <w:spacing w:before="80"/>
        <w:jc w:val="center"/>
        <w:rPr>
          <w:rFonts w:ascii="Arial" w:hAnsi="Arial" w:cs="Arial"/>
          <w:sz w:val="18"/>
          <w:szCs w:val="18"/>
        </w:rPr>
      </w:pPr>
      <w:r w:rsidRPr="00BA3579">
        <w:rPr>
          <w:rFonts w:ascii="Arial" w:hAnsi="Arial" w:cs="Arial"/>
          <w:b/>
          <w:bCs/>
          <w:sz w:val="18"/>
          <w:szCs w:val="18"/>
        </w:rPr>
        <w:t xml:space="preserve">Table </w:t>
      </w:r>
      <w:r w:rsidR="000932AC">
        <w:rPr>
          <w:rFonts w:ascii="Arial" w:hAnsi="Arial" w:cs="Arial"/>
          <w:b/>
          <w:bCs/>
          <w:sz w:val="18"/>
          <w:szCs w:val="18"/>
        </w:rPr>
        <w:t>1.2</w:t>
      </w:r>
      <w:r>
        <w:rPr>
          <w:rFonts w:ascii="Arial" w:hAnsi="Arial" w:cs="Arial"/>
          <w:b/>
          <w:bCs/>
          <w:sz w:val="18"/>
          <w:szCs w:val="18"/>
        </w:rPr>
        <w:t xml:space="preserve"> - </w:t>
      </w:r>
      <w:r w:rsidRPr="00BA3579">
        <w:rPr>
          <w:rFonts w:ascii="Arial" w:hAnsi="Arial" w:cs="Arial"/>
          <w:b/>
          <w:bCs/>
          <w:sz w:val="18"/>
          <w:szCs w:val="18"/>
        </w:rPr>
        <w:t>Loss and Expense Ratios by Underwriting Year</w:t>
      </w:r>
    </w:p>
    <w:p w14:paraId="420CD17E" w14:textId="57351E2F" w:rsidR="00BA3579" w:rsidRPr="00BA3579" w:rsidRDefault="00BA3579" w:rsidP="00BA3579">
      <w:pPr>
        <w:rPr>
          <w:rFonts w:ascii="Arial" w:hAnsi="Arial" w:cs="Arial"/>
          <w:b/>
          <w:bCs/>
          <w:sz w:val="22"/>
          <w:szCs w:val="22"/>
        </w:rPr>
      </w:pPr>
    </w:p>
    <w:p w14:paraId="3E287089" w14:textId="1F9B106C" w:rsidR="00F41EDD" w:rsidRDefault="00F41EDD" w:rsidP="00C64391">
      <w:pPr>
        <w:jc w:val="both"/>
        <w:rPr>
          <w:rFonts w:ascii="Arial" w:hAnsi="Arial" w:cs="Arial"/>
          <w:sz w:val="22"/>
          <w:szCs w:val="22"/>
        </w:rPr>
      </w:pPr>
      <w:r w:rsidRPr="00F41EDD">
        <w:rPr>
          <w:rFonts w:ascii="Arial" w:hAnsi="Arial" w:cs="Arial"/>
          <w:sz w:val="22"/>
          <w:szCs w:val="22"/>
        </w:rPr>
        <w:t xml:space="preserve">The table paints a transparent picture of </w:t>
      </w:r>
      <w:r w:rsidR="00C64391" w:rsidRPr="00C64391">
        <w:rPr>
          <w:rFonts w:ascii="Arial" w:hAnsi="Arial" w:cs="Arial"/>
          <w:sz w:val="22"/>
          <w:szCs w:val="22"/>
        </w:rPr>
        <w:t>profitability shifted over the five underwriting years</w:t>
      </w:r>
      <w:r w:rsidRPr="00F41EDD">
        <w:rPr>
          <w:rFonts w:ascii="Arial" w:hAnsi="Arial" w:cs="Arial"/>
          <w:sz w:val="22"/>
          <w:szCs w:val="22"/>
        </w:rPr>
        <w:t xml:space="preserve">. The first three years maintain consistent loss ratios between 57% and 61%, reflecting steady and predictable claims experience. During this period, LAE ratios remain moderate, and both underwriting and operating expenses stay within expected ranges. As a result, the combined ratios for </w:t>
      </w:r>
      <w:r w:rsidR="00C64391">
        <w:rPr>
          <w:rFonts w:ascii="Arial" w:hAnsi="Arial" w:cs="Arial"/>
          <w:sz w:val="22"/>
          <w:szCs w:val="22"/>
        </w:rPr>
        <w:t>these years</w:t>
      </w:r>
      <w:r w:rsidRPr="00F41EDD">
        <w:rPr>
          <w:rFonts w:ascii="Arial" w:hAnsi="Arial" w:cs="Arial"/>
          <w:sz w:val="22"/>
          <w:szCs w:val="22"/>
        </w:rPr>
        <w:t xml:space="preserve"> lie </w:t>
      </w:r>
      <w:r>
        <w:rPr>
          <w:rFonts w:ascii="Arial" w:hAnsi="Arial" w:cs="Arial"/>
          <w:sz w:val="22"/>
          <w:szCs w:val="22"/>
        </w:rPr>
        <w:t>below</w:t>
      </w:r>
      <w:r w:rsidRPr="00F41EDD">
        <w:rPr>
          <w:rFonts w:ascii="Arial" w:hAnsi="Arial" w:cs="Arial"/>
          <w:sz w:val="22"/>
          <w:szCs w:val="22"/>
        </w:rPr>
        <w:t xml:space="preserve"> 92%, supporting the view of a stable and profitable book of business.</w:t>
      </w:r>
    </w:p>
    <w:p w14:paraId="23BB581B" w14:textId="77777777" w:rsidR="00F41EDD" w:rsidRDefault="00F41EDD" w:rsidP="00F41EDD">
      <w:pPr>
        <w:jc w:val="both"/>
        <w:rPr>
          <w:rFonts w:ascii="Arial" w:hAnsi="Arial" w:cs="Arial"/>
          <w:sz w:val="22"/>
          <w:szCs w:val="22"/>
        </w:rPr>
      </w:pPr>
    </w:p>
    <w:p w14:paraId="53DD4694" w14:textId="307215CE" w:rsidR="00F41EDD" w:rsidRDefault="00F41EDD" w:rsidP="00F41EDD">
      <w:pPr>
        <w:jc w:val="both"/>
        <w:rPr>
          <w:rFonts w:ascii="Arial" w:hAnsi="Arial" w:cs="Arial"/>
          <w:sz w:val="22"/>
          <w:szCs w:val="22"/>
        </w:rPr>
      </w:pPr>
      <w:r w:rsidRPr="00F41EDD">
        <w:rPr>
          <w:rFonts w:ascii="Arial" w:hAnsi="Arial" w:cs="Arial"/>
          <w:sz w:val="22"/>
          <w:szCs w:val="22"/>
        </w:rPr>
        <w:t>This condition shifts noticeably in 2024, where the loss ratio rises sharply to 93%. This outcome mirrors the significant increase in incurred losses noted earlier in the premium and claims table. Even though expense ratios show slight improvement</w:t>
      </w:r>
      <w:r>
        <w:rPr>
          <w:rFonts w:ascii="Arial" w:hAnsi="Arial" w:cs="Arial"/>
          <w:sz w:val="22"/>
          <w:szCs w:val="22"/>
        </w:rPr>
        <w:t xml:space="preserve">, </w:t>
      </w:r>
      <w:r w:rsidRPr="00F41EDD">
        <w:rPr>
          <w:rFonts w:ascii="Arial" w:hAnsi="Arial" w:cs="Arial"/>
          <w:sz w:val="22"/>
          <w:szCs w:val="22"/>
        </w:rPr>
        <w:t>underwriting expenses declining to 22% and operating expenses to 27%</w:t>
      </w:r>
      <w:r>
        <w:rPr>
          <w:rFonts w:ascii="Arial" w:hAnsi="Arial" w:cs="Arial"/>
          <w:sz w:val="22"/>
          <w:szCs w:val="22"/>
        </w:rPr>
        <w:t xml:space="preserve">, </w:t>
      </w:r>
      <w:r w:rsidRPr="00F41EDD">
        <w:rPr>
          <w:rFonts w:ascii="Arial" w:hAnsi="Arial" w:cs="Arial"/>
          <w:sz w:val="22"/>
          <w:szCs w:val="22"/>
        </w:rPr>
        <w:t>these reductions are insufficient to counterbalance the heavier loss experience. Consequently, the combined ratio escalates to 120%, marking 2024 as an unprofitable underwriting year.</w:t>
      </w:r>
    </w:p>
    <w:p w14:paraId="1AAAD3D4" w14:textId="77777777" w:rsidR="00F41EDD" w:rsidRPr="00F41EDD" w:rsidRDefault="00F41EDD" w:rsidP="00F41EDD">
      <w:pPr>
        <w:jc w:val="both"/>
        <w:rPr>
          <w:rFonts w:ascii="Arial" w:hAnsi="Arial" w:cs="Arial"/>
          <w:sz w:val="22"/>
          <w:szCs w:val="22"/>
        </w:rPr>
      </w:pPr>
    </w:p>
    <w:p w14:paraId="129B8CCE" w14:textId="1735EF38" w:rsidR="00F41EDD" w:rsidRDefault="00F41EDD" w:rsidP="00F41EDD">
      <w:pPr>
        <w:jc w:val="both"/>
        <w:rPr>
          <w:rFonts w:ascii="Arial" w:hAnsi="Arial" w:cs="Arial"/>
          <w:sz w:val="22"/>
          <w:szCs w:val="22"/>
        </w:rPr>
      </w:pPr>
      <w:r w:rsidRPr="00F41EDD">
        <w:rPr>
          <w:rFonts w:ascii="Arial" w:hAnsi="Arial" w:cs="Arial"/>
          <w:sz w:val="22"/>
          <w:szCs w:val="22"/>
        </w:rPr>
        <w:t xml:space="preserve">As for 2025, the current loss ratio is 76%, but the underwriting year is still immature, so additional development is expected. Expense ratios remain </w:t>
      </w:r>
      <w:r w:rsidR="002C1EDB">
        <w:rPr>
          <w:rFonts w:ascii="Arial" w:hAnsi="Arial" w:cs="Arial"/>
          <w:sz w:val="22"/>
          <w:szCs w:val="22"/>
        </w:rPr>
        <w:t>same as</w:t>
      </w:r>
      <w:r w:rsidRPr="00F41EDD">
        <w:rPr>
          <w:rFonts w:ascii="Arial" w:hAnsi="Arial" w:cs="Arial"/>
          <w:sz w:val="22"/>
          <w:szCs w:val="22"/>
        </w:rPr>
        <w:t xml:space="preserve"> 2024, yet the combined ratio is already above 100%. This early indication suggests that 2025 may also remain pressured as more claims emerge or existing claims develop.</w:t>
      </w:r>
    </w:p>
    <w:p w14:paraId="657BDC95" w14:textId="77777777" w:rsidR="00F41EDD" w:rsidRPr="00F41EDD" w:rsidRDefault="00F41EDD" w:rsidP="00F41EDD">
      <w:pPr>
        <w:jc w:val="both"/>
        <w:rPr>
          <w:rFonts w:ascii="Arial" w:hAnsi="Arial" w:cs="Arial"/>
          <w:sz w:val="22"/>
          <w:szCs w:val="22"/>
        </w:rPr>
      </w:pPr>
    </w:p>
    <w:p w14:paraId="1C092DB0" w14:textId="523118BB" w:rsidR="00F41EDD" w:rsidRPr="00F41EDD" w:rsidRDefault="00F41EDD" w:rsidP="002C1EDB">
      <w:pPr>
        <w:jc w:val="both"/>
        <w:rPr>
          <w:rFonts w:ascii="Arial" w:hAnsi="Arial" w:cs="Arial"/>
          <w:sz w:val="22"/>
          <w:szCs w:val="22"/>
        </w:rPr>
      </w:pPr>
      <w:r w:rsidRPr="00F41EDD">
        <w:rPr>
          <w:rFonts w:ascii="Arial" w:hAnsi="Arial" w:cs="Arial"/>
          <w:sz w:val="22"/>
          <w:szCs w:val="22"/>
        </w:rPr>
        <w:t>Overall, the ratios display a portfolio that starts from a well</w:t>
      </w:r>
      <w:r>
        <w:rPr>
          <w:rFonts w:ascii="Arial" w:hAnsi="Arial" w:cs="Arial"/>
          <w:sz w:val="22"/>
          <w:szCs w:val="22"/>
        </w:rPr>
        <w:t xml:space="preserve"> </w:t>
      </w:r>
      <w:r w:rsidRPr="00F41EDD">
        <w:rPr>
          <w:rFonts w:ascii="Arial" w:hAnsi="Arial" w:cs="Arial"/>
          <w:sz w:val="22"/>
          <w:szCs w:val="22"/>
        </w:rPr>
        <w:t>controlled</w:t>
      </w:r>
      <w:r w:rsidR="002C1EDB">
        <w:rPr>
          <w:rFonts w:ascii="Arial" w:hAnsi="Arial" w:cs="Arial"/>
          <w:sz w:val="22"/>
          <w:szCs w:val="22"/>
        </w:rPr>
        <w:t xml:space="preserve"> and </w:t>
      </w:r>
      <w:r w:rsidR="002C1EDB" w:rsidRPr="00C64391">
        <w:rPr>
          <w:rFonts w:ascii="Arial" w:hAnsi="Arial" w:cs="Arial"/>
          <w:sz w:val="22"/>
          <w:szCs w:val="22"/>
        </w:rPr>
        <w:t>profitable</w:t>
      </w:r>
      <w:r w:rsidRPr="00F41EDD">
        <w:rPr>
          <w:rFonts w:ascii="Arial" w:hAnsi="Arial" w:cs="Arial"/>
          <w:sz w:val="22"/>
          <w:szCs w:val="22"/>
        </w:rPr>
        <w:t xml:space="preserve"> position but increasingly faces pressure in the more recent years. </w:t>
      </w:r>
      <w:r w:rsidR="002C1EDB" w:rsidRPr="00C64391">
        <w:rPr>
          <w:rFonts w:ascii="Arial" w:hAnsi="Arial" w:cs="Arial"/>
          <w:sz w:val="22"/>
          <w:szCs w:val="22"/>
        </w:rPr>
        <w:t>This supports the need to explore frequency, severity, and exposure changes that could explain these emerging patterns</w:t>
      </w:r>
      <w:r w:rsidRPr="00F41EDD">
        <w:rPr>
          <w:rFonts w:ascii="Arial" w:hAnsi="Arial" w:cs="Arial"/>
          <w:sz w:val="22"/>
          <w:szCs w:val="22"/>
        </w:rPr>
        <w:t>.</w:t>
      </w:r>
    </w:p>
    <w:p w14:paraId="58AE7848" w14:textId="38495911" w:rsidR="00E43DCA" w:rsidRDefault="00E43DCA">
      <w:pPr>
        <w:rPr>
          <w:rFonts w:ascii="Arial" w:hAnsi="Arial" w:cs="Arial"/>
          <w:sz w:val="22"/>
          <w:szCs w:val="22"/>
        </w:rPr>
      </w:pPr>
      <w:r>
        <w:rPr>
          <w:rFonts w:ascii="Arial" w:hAnsi="Arial" w:cs="Arial"/>
          <w:sz w:val="22"/>
          <w:szCs w:val="22"/>
        </w:rPr>
        <w:br w:type="page"/>
      </w:r>
    </w:p>
    <w:p w14:paraId="70EAC521" w14:textId="290DA3EE" w:rsidR="00E43DCA" w:rsidRPr="00851698" w:rsidRDefault="00851698" w:rsidP="00851698">
      <w:pPr>
        <w:rPr>
          <w:rFonts w:ascii="Arial" w:hAnsi="Arial" w:cs="Arial"/>
          <w:b/>
          <w:bCs/>
          <w:sz w:val="22"/>
          <w:szCs w:val="22"/>
        </w:rPr>
      </w:pPr>
      <w:r w:rsidRPr="00BA3579">
        <w:rPr>
          <w:rFonts w:ascii="Arial" w:hAnsi="Arial" w:cs="Arial"/>
          <w:b/>
          <w:bCs/>
          <w:sz w:val="22"/>
          <w:szCs w:val="22"/>
        </w:rPr>
        <w:lastRenderedPageBreak/>
        <w:t>2.</w:t>
      </w:r>
      <w:r>
        <w:rPr>
          <w:rFonts w:ascii="Arial" w:hAnsi="Arial" w:cs="Arial"/>
          <w:b/>
          <w:bCs/>
          <w:sz w:val="22"/>
          <w:szCs w:val="22"/>
        </w:rPr>
        <w:t>3</w:t>
      </w:r>
      <w:r w:rsidRPr="00BA3579">
        <w:rPr>
          <w:rFonts w:ascii="Arial" w:hAnsi="Arial" w:cs="Arial"/>
          <w:b/>
          <w:bCs/>
          <w:sz w:val="22"/>
          <w:szCs w:val="22"/>
        </w:rPr>
        <w:t xml:space="preserve"> </w:t>
      </w:r>
      <w:r>
        <w:rPr>
          <w:rFonts w:ascii="Arial" w:hAnsi="Arial" w:cs="Arial"/>
          <w:b/>
          <w:bCs/>
          <w:sz w:val="22"/>
          <w:szCs w:val="22"/>
        </w:rPr>
        <w:t>Exposure and Claim Measures</w:t>
      </w:r>
    </w:p>
    <w:p w14:paraId="5C7B0783" w14:textId="77777777" w:rsidR="00851698" w:rsidRDefault="00851698" w:rsidP="00F41EDD">
      <w:pPr>
        <w:jc w:val="both"/>
        <w:rPr>
          <w:rFonts w:ascii="Arial" w:hAnsi="Arial" w:cs="Arial"/>
          <w:sz w:val="22"/>
          <w:szCs w:val="22"/>
        </w:rPr>
      </w:pPr>
    </w:p>
    <w:tbl>
      <w:tblPr>
        <w:tblStyle w:val="TableGrid"/>
        <w:tblW w:w="9648" w:type="dxa"/>
        <w:jc w:val="center"/>
        <w:tblLook w:val="04A0" w:firstRow="1" w:lastRow="0" w:firstColumn="1" w:lastColumn="0" w:noHBand="0" w:noVBand="1"/>
      </w:tblPr>
      <w:tblGrid>
        <w:gridCol w:w="1008"/>
        <w:gridCol w:w="1728"/>
        <w:gridCol w:w="1728"/>
        <w:gridCol w:w="1728"/>
        <w:gridCol w:w="1728"/>
        <w:gridCol w:w="1728"/>
      </w:tblGrid>
      <w:tr w:rsidR="00851698" w:rsidRPr="00851698" w14:paraId="7646D7C4" w14:textId="77777777" w:rsidTr="00520C0E">
        <w:trPr>
          <w:jc w:val="center"/>
        </w:trPr>
        <w:tc>
          <w:tcPr>
            <w:tcW w:w="1008" w:type="dxa"/>
            <w:shd w:val="clear" w:color="auto" w:fill="222A35" w:themeFill="text2" w:themeFillShade="80"/>
            <w:vAlign w:val="center"/>
            <w:hideMark/>
          </w:tcPr>
          <w:p w14:paraId="7887F055" w14:textId="77777777" w:rsidR="00851698" w:rsidRPr="00851698" w:rsidRDefault="00851698" w:rsidP="00DD4B24">
            <w:pPr>
              <w:spacing w:before="80" w:after="80"/>
              <w:jc w:val="center"/>
              <w:rPr>
                <w:rFonts w:ascii="Arial" w:hAnsi="Arial" w:cs="Arial"/>
                <w:b/>
                <w:bCs/>
                <w:color w:val="FFFFFF" w:themeColor="background1"/>
                <w:sz w:val="22"/>
                <w:szCs w:val="22"/>
              </w:rPr>
            </w:pPr>
            <w:r w:rsidRPr="00851698">
              <w:rPr>
                <w:rFonts w:ascii="Arial" w:hAnsi="Arial" w:cs="Arial"/>
                <w:b/>
                <w:bCs/>
                <w:color w:val="FFFFFF" w:themeColor="background1"/>
                <w:sz w:val="22"/>
                <w:szCs w:val="22"/>
              </w:rPr>
              <w:t>UWY</w:t>
            </w:r>
          </w:p>
        </w:tc>
        <w:tc>
          <w:tcPr>
            <w:tcW w:w="1728" w:type="dxa"/>
            <w:shd w:val="clear" w:color="auto" w:fill="222A35" w:themeFill="text2" w:themeFillShade="80"/>
            <w:vAlign w:val="center"/>
            <w:hideMark/>
          </w:tcPr>
          <w:p w14:paraId="121BEAE9" w14:textId="49C466EC" w:rsidR="00851698" w:rsidRPr="00851698" w:rsidRDefault="00851698" w:rsidP="00DD4B24">
            <w:pPr>
              <w:spacing w:before="80" w:after="80"/>
              <w:jc w:val="center"/>
              <w:rPr>
                <w:rFonts w:ascii="Arial" w:hAnsi="Arial" w:cs="Arial"/>
                <w:b/>
                <w:bCs/>
                <w:color w:val="FFFFFF" w:themeColor="background1"/>
                <w:sz w:val="22"/>
                <w:szCs w:val="22"/>
              </w:rPr>
            </w:pPr>
            <w:r w:rsidRPr="00851698">
              <w:rPr>
                <w:rFonts w:ascii="Arial" w:hAnsi="Arial" w:cs="Arial"/>
                <w:b/>
                <w:bCs/>
                <w:color w:val="FFFFFF" w:themeColor="background1"/>
                <w:sz w:val="22"/>
                <w:szCs w:val="22"/>
              </w:rPr>
              <w:t>Number of</w:t>
            </w:r>
            <w:r>
              <w:rPr>
                <w:rFonts w:ascii="Arial" w:hAnsi="Arial" w:cs="Arial"/>
                <w:b/>
                <w:bCs/>
                <w:color w:val="FFFFFF" w:themeColor="background1"/>
                <w:sz w:val="22"/>
                <w:szCs w:val="22"/>
              </w:rPr>
              <w:t xml:space="preserve"> </w:t>
            </w:r>
            <w:r w:rsidRPr="00851698">
              <w:rPr>
                <w:rFonts w:ascii="Arial" w:hAnsi="Arial" w:cs="Arial"/>
                <w:b/>
                <w:bCs/>
                <w:color w:val="FFFFFF" w:themeColor="background1"/>
                <w:sz w:val="22"/>
                <w:szCs w:val="22"/>
              </w:rPr>
              <w:t>Insured</w:t>
            </w:r>
            <w:r>
              <w:rPr>
                <w:rFonts w:ascii="Arial" w:hAnsi="Arial" w:cs="Arial"/>
                <w:b/>
                <w:bCs/>
                <w:color w:val="FFFFFF" w:themeColor="background1"/>
                <w:sz w:val="22"/>
                <w:szCs w:val="22"/>
              </w:rPr>
              <w:t xml:space="preserve"> </w:t>
            </w:r>
            <w:r w:rsidRPr="00851698">
              <w:rPr>
                <w:rFonts w:ascii="Arial" w:hAnsi="Arial" w:cs="Arial"/>
                <w:b/>
                <w:bCs/>
                <w:color w:val="FFFFFF" w:themeColor="background1"/>
                <w:sz w:val="22"/>
                <w:szCs w:val="22"/>
              </w:rPr>
              <w:t>Members</w:t>
            </w:r>
          </w:p>
        </w:tc>
        <w:tc>
          <w:tcPr>
            <w:tcW w:w="1728" w:type="dxa"/>
            <w:shd w:val="clear" w:color="auto" w:fill="222A35" w:themeFill="text2" w:themeFillShade="80"/>
            <w:vAlign w:val="center"/>
            <w:hideMark/>
          </w:tcPr>
          <w:p w14:paraId="540FB433" w14:textId="76F39F8B" w:rsidR="00851698" w:rsidRPr="00851698" w:rsidRDefault="00851698" w:rsidP="00DD4B24">
            <w:pPr>
              <w:spacing w:before="80" w:after="80"/>
              <w:jc w:val="center"/>
              <w:rPr>
                <w:rFonts w:ascii="Arial" w:hAnsi="Arial" w:cs="Arial"/>
                <w:b/>
                <w:bCs/>
                <w:color w:val="FFFFFF" w:themeColor="background1"/>
                <w:sz w:val="22"/>
                <w:szCs w:val="22"/>
              </w:rPr>
            </w:pPr>
            <w:r w:rsidRPr="00851698">
              <w:rPr>
                <w:rFonts w:ascii="Arial" w:hAnsi="Arial" w:cs="Arial"/>
                <w:b/>
                <w:bCs/>
                <w:color w:val="FFFFFF" w:themeColor="background1"/>
                <w:sz w:val="22"/>
                <w:szCs w:val="22"/>
              </w:rPr>
              <w:t>Exposed to Risk Population</w:t>
            </w:r>
          </w:p>
        </w:tc>
        <w:tc>
          <w:tcPr>
            <w:tcW w:w="1728" w:type="dxa"/>
            <w:shd w:val="clear" w:color="auto" w:fill="222A35" w:themeFill="text2" w:themeFillShade="80"/>
            <w:vAlign w:val="center"/>
            <w:hideMark/>
          </w:tcPr>
          <w:p w14:paraId="7980F445" w14:textId="77777777" w:rsidR="00851698" w:rsidRPr="00851698" w:rsidRDefault="00851698" w:rsidP="00DD4B24">
            <w:pPr>
              <w:spacing w:before="80" w:after="80"/>
              <w:jc w:val="center"/>
              <w:rPr>
                <w:rFonts w:ascii="Arial" w:hAnsi="Arial" w:cs="Arial"/>
                <w:b/>
                <w:bCs/>
                <w:color w:val="FFFFFF" w:themeColor="background1"/>
                <w:sz w:val="22"/>
                <w:szCs w:val="22"/>
              </w:rPr>
            </w:pPr>
            <w:r w:rsidRPr="00851698">
              <w:rPr>
                <w:rFonts w:ascii="Arial" w:hAnsi="Arial" w:cs="Arial"/>
                <w:b/>
                <w:bCs/>
                <w:color w:val="FFFFFF" w:themeColor="background1"/>
                <w:sz w:val="22"/>
                <w:szCs w:val="22"/>
              </w:rPr>
              <w:t>Total Number of Claims</w:t>
            </w:r>
          </w:p>
        </w:tc>
        <w:tc>
          <w:tcPr>
            <w:tcW w:w="1728" w:type="dxa"/>
            <w:shd w:val="clear" w:color="auto" w:fill="222A35" w:themeFill="text2" w:themeFillShade="80"/>
            <w:vAlign w:val="center"/>
            <w:hideMark/>
          </w:tcPr>
          <w:p w14:paraId="632802E9" w14:textId="77777777" w:rsidR="00851698" w:rsidRPr="00851698" w:rsidRDefault="00851698" w:rsidP="00DD4B24">
            <w:pPr>
              <w:spacing w:before="80" w:after="80"/>
              <w:jc w:val="center"/>
              <w:rPr>
                <w:rFonts w:ascii="Arial" w:hAnsi="Arial" w:cs="Arial"/>
                <w:b/>
                <w:bCs/>
                <w:color w:val="FFFFFF" w:themeColor="background1"/>
                <w:sz w:val="22"/>
                <w:szCs w:val="22"/>
              </w:rPr>
            </w:pPr>
            <w:r w:rsidRPr="00851698">
              <w:rPr>
                <w:rFonts w:ascii="Arial" w:hAnsi="Arial" w:cs="Arial"/>
                <w:b/>
                <w:bCs/>
                <w:color w:val="FFFFFF" w:themeColor="background1"/>
                <w:sz w:val="22"/>
                <w:szCs w:val="22"/>
              </w:rPr>
              <w:t>Average Premium per</w:t>
            </w:r>
            <w:r>
              <w:rPr>
                <w:rFonts w:ascii="Arial" w:hAnsi="Arial" w:cs="Arial"/>
                <w:b/>
                <w:bCs/>
                <w:color w:val="FFFFFF" w:themeColor="background1"/>
                <w:sz w:val="22"/>
                <w:szCs w:val="22"/>
              </w:rPr>
              <w:t xml:space="preserve"> </w:t>
            </w:r>
            <w:r w:rsidRPr="00851698">
              <w:rPr>
                <w:rFonts w:ascii="Arial" w:hAnsi="Arial" w:cs="Arial"/>
                <w:b/>
                <w:bCs/>
                <w:color w:val="FFFFFF" w:themeColor="background1"/>
                <w:sz w:val="22"/>
                <w:szCs w:val="22"/>
              </w:rPr>
              <w:t>ERP</w:t>
            </w:r>
          </w:p>
        </w:tc>
        <w:tc>
          <w:tcPr>
            <w:tcW w:w="1728" w:type="dxa"/>
            <w:shd w:val="clear" w:color="auto" w:fill="222A35" w:themeFill="text2" w:themeFillShade="80"/>
            <w:vAlign w:val="center"/>
            <w:hideMark/>
          </w:tcPr>
          <w:p w14:paraId="11048AA0" w14:textId="77777777" w:rsidR="00851698" w:rsidRPr="00851698" w:rsidRDefault="00851698" w:rsidP="00DD4B24">
            <w:pPr>
              <w:spacing w:before="80" w:after="80"/>
              <w:jc w:val="center"/>
              <w:rPr>
                <w:rFonts w:ascii="Arial" w:hAnsi="Arial" w:cs="Arial"/>
                <w:b/>
                <w:bCs/>
                <w:color w:val="FFFFFF" w:themeColor="background1"/>
                <w:sz w:val="22"/>
                <w:szCs w:val="22"/>
              </w:rPr>
            </w:pPr>
            <w:r w:rsidRPr="00851698">
              <w:rPr>
                <w:rFonts w:ascii="Arial" w:hAnsi="Arial" w:cs="Arial"/>
                <w:b/>
                <w:bCs/>
                <w:color w:val="FFFFFF" w:themeColor="background1"/>
                <w:sz w:val="22"/>
                <w:szCs w:val="22"/>
              </w:rPr>
              <w:t>Average Claim per ERP</w:t>
            </w:r>
          </w:p>
        </w:tc>
      </w:tr>
      <w:tr w:rsidR="00851698" w:rsidRPr="00851698" w14:paraId="1CE29E91" w14:textId="77777777" w:rsidTr="00520C0E">
        <w:trPr>
          <w:jc w:val="center"/>
        </w:trPr>
        <w:tc>
          <w:tcPr>
            <w:tcW w:w="1008" w:type="dxa"/>
            <w:shd w:val="clear" w:color="auto" w:fill="D9D9D9" w:themeFill="background1" w:themeFillShade="D9"/>
            <w:vAlign w:val="center"/>
            <w:hideMark/>
          </w:tcPr>
          <w:p w14:paraId="16D06A86"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b/>
                <w:bCs/>
                <w:sz w:val="22"/>
                <w:szCs w:val="22"/>
              </w:rPr>
              <w:t>2021</w:t>
            </w:r>
          </w:p>
        </w:tc>
        <w:tc>
          <w:tcPr>
            <w:tcW w:w="1728" w:type="dxa"/>
            <w:vAlign w:val="center"/>
            <w:hideMark/>
          </w:tcPr>
          <w:p w14:paraId="549354F2"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11</w:t>
            </w:r>
          </w:p>
        </w:tc>
        <w:tc>
          <w:tcPr>
            <w:tcW w:w="1728" w:type="dxa"/>
            <w:vAlign w:val="center"/>
            <w:hideMark/>
          </w:tcPr>
          <w:p w14:paraId="332E9F95"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8.02</w:t>
            </w:r>
          </w:p>
        </w:tc>
        <w:tc>
          <w:tcPr>
            <w:tcW w:w="1728" w:type="dxa"/>
            <w:vAlign w:val="center"/>
            <w:hideMark/>
          </w:tcPr>
          <w:p w14:paraId="1EACDE8A"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7</w:t>
            </w:r>
          </w:p>
        </w:tc>
        <w:tc>
          <w:tcPr>
            <w:tcW w:w="1728" w:type="dxa"/>
            <w:vAlign w:val="center"/>
            <w:hideMark/>
          </w:tcPr>
          <w:p w14:paraId="68E20B94" w14:textId="40C88C1E"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1,877</w:t>
            </w:r>
          </w:p>
        </w:tc>
        <w:tc>
          <w:tcPr>
            <w:tcW w:w="1728" w:type="dxa"/>
            <w:vAlign w:val="center"/>
            <w:hideMark/>
          </w:tcPr>
          <w:p w14:paraId="42E3167D" w14:textId="2F199D5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1,141</w:t>
            </w:r>
          </w:p>
        </w:tc>
      </w:tr>
      <w:tr w:rsidR="00851698" w:rsidRPr="00851698" w14:paraId="4D82513F" w14:textId="77777777" w:rsidTr="00520C0E">
        <w:trPr>
          <w:jc w:val="center"/>
        </w:trPr>
        <w:tc>
          <w:tcPr>
            <w:tcW w:w="1008" w:type="dxa"/>
            <w:shd w:val="clear" w:color="auto" w:fill="D9D9D9" w:themeFill="background1" w:themeFillShade="D9"/>
            <w:vAlign w:val="center"/>
            <w:hideMark/>
          </w:tcPr>
          <w:p w14:paraId="3CE9DC65"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b/>
                <w:bCs/>
                <w:sz w:val="22"/>
                <w:szCs w:val="22"/>
              </w:rPr>
              <w:t>2022</w:t>
            </w:r>
          </w:p>
        </w:tc>
        <w:tc>
          <w:tcPr>
            <w:tcW w:w="1728" w:type="dxa"/>
            <w:vAlign w:val="center"/>
            <w:hideMark/>
          </w:tcPr>
          <w:p w14:paraId="72B8DF9C"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10</w:t>
            </w:r>
          </w:p>
        </w:tc>
        <w:tc>
          <w:tcPr>
            <w:tcW w:w="1728" w:type="dxa"/>
            <w:vAlign w:val="center"/>
            <w:hideMark/>
          </w:tcPr>
          <w:p w14:paraId="39676A78"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8.02</w:t>
            </w:r>
          </w:p>
        </w:tc>
        <w:tc>
          <w:tcPr>
            <w:tcW w:w="1728" w:type="dxa"/>
            <w:vAlign w:val="center"/>
            <w:hideMark/>
          </w:tcPr>
          <w:p w14:paraId="4F6C4EBE"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9</w:t>
            </w:r>
          </w:p>
        </w:tc>
        <w:tc>
          <w:tcPr>
            <w:tcW w:w="1728" w:type="dxa"/>
            <w:vAlign w:val="center"/>
            <w:hideMark/>
          </w:tcPr>
          <w:p w14:paraId="09159E00" w14:textId="68B43E8D"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3,36</w:t>
            </w:r>
            <w:r>
              <w:rPr>
                <w:rFonts w:ascii="Arial" w:hAnsi="Arial" w:cs="Arial"/>
                <w:sz w:val="22"/>
                <w:szCs w:val="22"/>
              </w:rPr>
              <w:t>6</w:t>
            </w:r>
          </w:p>
        </w:tc>
        <w:tc>
          <w:tcPr>
            <w:tcW w:w="1728" w:type="dxa"/>
            <w:vAlign w:val="center"/>
            <w:hideMark/>
          </w:tcPr>
          <w:p w14:paraId="1D5B2AB6" w14:textId="04B5D0BA"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1,92</w:t>
            </w:r>
            <w:r>
              <w:rPr>
                <w:rFonts w:ascii="Arial" w:hAnsi="Arial" w:cs="Arial"/>
                <w:sz w:val="22"/>
                <w:szCs w:val="22"/>
              </w:rPr>
              <w:t>6</w:t>
            </w:r>
          </w:p>
        </w:tc>
      </w:tr>
      <w:tr w:rsidR="00851698" w:rsidRPr="00851698" w14:paraId="46B52FA7" w14:textId="77777777" w:rsidTr="00520C0E">
        <w:trPr>
          <w:jc w:val="center"/>
        </w:trPr>
        <w:tc>
          <w:tcPr>
            <w:tcW w:w="1008" w:type="dxa"/>
            <w:shd w:val="clear" w:color="auto" w:fill="D9D9D9" w:themeFill="background1" w:themeFillShade="D9"/>
            <w:vAlign w:val="center"/>
            <w:hideMark/>
          </w:tcPr>
          <w:p w14:paraId="1B73C285"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b/>
                <w:bCs/>
                <w:sz w:val="22"/>
                <w:szCs w:val="22"/>
              </w:rPr>
              <w:t>2023</w:t>
            </w:r>
          </w:p>
        </w:tc>
        <w:tc>
          <w:tcPr>
            <w:tcW w:w="1728" w:type="dxa"/>
            <w:vAlign w:val="center"/>
            <w:hideMark/>
          </w:tcPr>
          <w:p w14:paraId="42FA199F"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13</w:t>
            </w:r>
          </w:p>
        </w:tc>
        <w:tc>
          <w:tcPr>
            <w:tcW w:w="1728" w:type="dxa"/>
            <w:vAlign w:val="center"/>
            <w:hideMark/>
          </w:tcPr>
          <w:p w14:paraId="0FB5B02C"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9.68</w:t>
            </w:r>
          </w:p>
        </w:tc>
        <w:tc>
          <w:tcPr>
            <w:tcW w:w="1728" w:type="dxa"/>
            <w:vAlign w:val="center"/>
            <w:hideMark/>
          </w:tcPr>
          <w:p w14:paraId="48343F6E"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10</w:t>
            </w:r>
          </w:p>
        </w:tc>
        <w:tc>
          <w:tcPr>
            <w:tcW w:w="1728" w:type="dxa"/>
            <w:vAlign w:val="center"/>
            <w:hideMark/>
          </w:tcPr>
          <w:p w14:paraId="177248B0" w14:textId="65D09763"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2,31</w:t>
            </w:r>
            <w:r>
              <w:rPr>
                <w:rFonts w:ascii="Arial" w:hAnsi="Arial" w:cs="Arial"/>
                <w:sz w:val="22"/>
                <w:szCs w:val="22"/>
              </w:rPr>
              <w:t>4</w:t>
            </w:r>
          </w:p>
        </w:tc>
        <w:tc>
          <w:tcPr>
            <w:tcW w:w="1728" w:type="dxa"/>
            <w:vAlign w:val="center"/>
            <w:hideMark/>
          </w:tcPr>
          <w:p w14:paraId="165B46BB" w14:textId="4E1512F0"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1,363</w:t>
            </w:r>
          </w:p>
        </w:tc>
      </w:tr>
      <w:tr w:rsidR="00851698" w:rsidRPr="00851698" w14:paraId="5ACABDF7" w14:textId="77777777" w:rsidTr="00520C0E">
        <w:trPr>
          <w:jc w:val="center"/>
        </w:trPr>
        <w:tc>
          <w:tcPr>
            <w:tcW w:w="1008" w:type="dxa"/>
            <w:shd w:val="clear" w:color="auto" w:fill="D9D9D9" w:themeFill="background1" w:themeFillShade="D9"/>
            <w:vAlign w:val="center"/>
            <w:hideMark/>
          </w:tcPr>
          <w:p w14:paraId="2FF1EA98"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b/>
                <w:bCs/>
                <w:sz w:val="22"/>
                <w:szCs w:val="22"/>
              </w:rPr>
              <w:t>2024</w:t>
            </w:r>
          </w:p>
        </w:tc>
        <w:tc>
          <w:tcPr>
            <w:tcW w:w="1728" w:type="dxa"/>
            <w:vAlign w:val="center"/>
            <w:hideMark/>
          </w:tcPr>
          <w:p w14:paraId="6EC18349"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24</w:t>
            </w:r>
          </w:p>
        </w:tc>
        <w:tc>
          <w:tcPr>
            <w:tcW w:w="1728" w:type="dxa"/>
            <w:vAlign w:val="center"/>
            <w:hideMark/>
          </w:tcPr>
          <w:p w14:paraId="10D67EF5"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15.93</w:t>
            </w:r>
          </w:p>
        </w:tc>
        <w:tc>
          <w:tcPr>
            <w:tcW w:w="1728" w:type="dxa"/>
            <w:vAlign w:val="center"/>
            <w:hideMark/>
          </w:tcPr>
          <w:p w14:paraId="0FD1452A"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14</w:t>
            </w:r>
          </w:p>
        </w:tc>
        <w:tc>
          <w:tcPr>
            <w:tcW w:w="1728" w:type="dxa"/>
            <w:vAlign w:val="center"/>
            <w:hideMark/>
          </w:tcPr>
          <w:p w14:paraId="6A570CA9" w14:textId="0E4CADF3"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2,26</w:t>
            </w:r>
            <w:r>
              <w:rPr>
                <w:rFonts w:ascii="Arial" w:hAnsi="Arial" w:cs="Arial"/>
                <w:sz w:val="22"/>
                <w:szCs w:val="22"/>
              </w:rPr>
              <w:t>2</w:t>
            </w:r>
          </w:p>
        </w:tc>
        <w:tc>
          <w:tcPr>
            <w:tcW w:w="1728" w:type="dxa"/>
            <w:vAlign w:val="center"/>
            <w:hideMark/>
          </w:tcPr>
          <w:p w14:paraId="288D9646" w14:textId="198450D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2,</w:t>
            </w:r>
            <w:r>
              <w:rPr>
                <w:rFonts w:ascii="Arial" w:hAnsi="Arial" w:cs="Arial"/>
                <w:sz w:val="22"/>
                <w:szCs w:val="22"/>
              </w:rPr>
              <w:t>100</w:t>
            </w:r>
          </w:p>
        </w:tc>
      </w:tr>
      <w:tr w:rsidR="00851698" w:rsidRPr="00851698" w14:paraId="63D8E3FB" w14:textId="77777777" w:rsidTr="00520C0E">
        <w:trPr>
          <w:jc w:val="center"/>
        </w:trPr>
        <w:tc>
          <w:tcPr>
            <w:tcW w:w="1008" w:type="dxa"/>
            <w:shd w:val="clear" w:color="auto" w:fill="D9D9D9" w:themeFill="background1" w:themeFillShade="D9"/>
            <w:vAlign w:val="center"/>
            <w:hideMark/>
          </w:tcPr>
          <w:p w14:paraId="2EE691F6"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b/>
                <w:bCs/>
                <w:sz w:val="22"/>
                <w:szCs w:val="22"/>
              </w:rPr>
              <w:t>2025</w:t>
            </w:r>
          </w:p>
        </w:tc>
        <w:tc>
          <w:tcPr>
            <w:tcW w:w="1728" w:type="dxa"/>
            <w:vAlign w:val="center"/>
            <w:hideMark/>
          </w:tcPr>
          <w:p w14:paraId="5E7A4D0D"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16</w:t>
            </w:r>
          </w:p>
        </w:tc>
        <w:tc>
          <w:tcPr>
            <w:tcW w:w="1728" w:type="dxa"/>
            <w:vAlign w:val="center"/>
            <w:hideMark/>
          </w:tcPr>
          <w:p w14:paraId="14EADEE4"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10.76</w:t>
            </w:r>
          </w:p>
        </w:tc>
        <w:tc>
          <w:tcPr>
            <w:tcW w:w="1728" w:type="dxa"/>
            <w:vAlign w:val="center"/>
            <w:hideMark/>
          </w:tcPr>
          <w:p w14:paraId="11758B46" w14:textId="77777777"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12</w:t>
            </w:r>
          </w:p>
        </w:tc>
        <w:tc>
          <w:tcPr>
            <w:tcW w:w="1728" w:type="dxa"/>
            <w:vAlign w:val="center"/>
            <w:hideMark/>
          </w:tcPr>
          <w:p w14:paraId="656CC9FA" w14:textId="2EB9F5DB"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1,393</w:t>
            </w:r>
          </w:p>
        </w:tc>
        <w:tc>
          <w:tcPr>
            <w:tcW w:w="1728" w:type="dxa"/>
            <w:vAlign w:val="center"/>
            <w:hideMark/>
          </w:tcPr>
          <w:p w14:paraId="198D7BF3" w14:textId="041DFECF" w:rsidR="00851698" w:rsidRPr="00851698" w:rsidRDefault="00851698" w:rsidP="00DD4B24">
            <w:pPr>
              <w:spacing w:before="80" w:after="80"/>
              <w:jc w:val="center"/>
              <w:rPr>
                <w:rFonts w:ascii="Arial" w:hAnsi="Arial" w:cs="Arial"/>
                <w:sz w:val="22"/>
                <w:szCs w:val="22"/>
              </w:rPr>
            </w:pPr>
            <w:r w:rsidRPr="00851698">
              <w:rPr>
                <w:rFonts w:ascii="Arial" w:hAnsi="Arial" w:cs="Arial"/>
                <w:sz w:val="22"/>
                <w:szCs w:val="22"/>
              </w:rPr>
              <w:t>$</w:t>
            </w:r>
            <w:r>
              <w:rPr>
                <w:rFonts w:ascii="Arial" w:hAnsi="Arial" w:cs="Arial"/>
                <w:sz w:val="22"/>
                <w:szCs w:val="22"/>
              </w:rPr>
              <w:t xml:space="preserve"> </w:t>
            </w:r>
            <w:r w:rsidRPr="00851698">
              <w:rPr>
                <w:rFonts w:ascii="Arial" w:hAnsi="Arial" w:cs="Arial"/>
                <w:sz w:val="22"/>
                <w:szCs w:val="22"/>
              </w:rPr>
              <w:t>1,05</w:t>
            </w:r>
            <w:r>
              <w:rPr>
                <w:rFonts w:ascii="Arial" w:hAnsi="Arial" w:cs="Arial"/>
                <w:sz w:val="22"/>
                <w:szCs w:val="22"/>
              </w:rPr>
              <w:t>2</w:t>
            </w:r>
          </w:p>
        </w:tc>
      </w:tr>
    </w:tbl>
    <w:p w14:paraId="22F21378" w14:textId="58989C5A" w:rsidR="00851698" w:rsidRPr="00851698" w:rsidRDefault="00851698" w:rsidP="00851698">
      <w:pPr>
        <w:spacing w:before="80"/>
        <w:jc w:val="center"/>
        <w:rPr>
          <w:rFonts w:ascii="Arial" w:hAnsi="Arial" w:cs="Arial"/>
          <w:b/>
          <w:bCs/>
          <w:sz w:val="18"/>
          <w:szCs w:val="18"/>
        </w:rPr>
      </w:pPr>
      <w:r w:rsidRPr="00851698">
        <w:rPr>
          <w:rFonts w:ascii="Arial" w:hAnsi="Arial" w:cs="Arial"/>
          <w:b/>
          <w:bCs/>
          <w:sz w:val="18"/>
          <w:szCs w:val="18"/>
        </w:rPr>
        <w:t xml:space="preserve">Table </w:t>
      </w:r>
      <w:r w:rsidR="000932AC">
        <w:rPr>
          <w:rFonts w:ascii="Arial" w:hAnsi="Arial" w:cs="Arial"/>
          <w:b/>
          <w:bCs/>
          <w:sz w:val="18"/>
          <w:szCs w:val="18"/>
        </w:rPr>
        <w:t>1.3</w:t>
      </w:r>
      <w:r w:rsidRPr="00851698">
        <w:rPr>
          <w:rFonts w:ascii="Arial" w:hAnsi="Arial" w:cs="Arial"/>
          <w:b/>
          <w:bCs/>
          <w:sz w:val="18"/>
          <w:szCs w:val="18"/>
        </w:rPr>
        <w:t xml:space="preserve"> </w:t>
      </w:r>
      <w:r>
        <w:rPr>
          <w:rFonts w:ascii="Arial" w:hAnsi="Arial" w:cs="Arial"/>
          <w:b/>
          <w:bCs/>
          <w:sz w:val="18"/>
          <w:szCs w:val="18"/>
        </w:rPr>
        <w:t>-</w:t>
      </w:r>
      <w:r w:rsidRPr="00851698">
        <w:rPr>
          <w:rFonts w:ascii="Arial" w:hAnsi="Arial" w:cs="Arial"/>
          <w:b/>
          <w:bCs/>
          <w:sz w:val="18"/>
          <w:szCs w:val="18"/>
        </w:rPr>
        <w:t xml:space="preserve"> Exposure and Claim Measures by Underwriting Year</w:t>
      </w:r>
    </w:p>
    <w:p w14:paraId="0D512E55" w14:textId="7E6B2DFE" w:rsidR="00E43DCA" w:rsidRDefault="00E43DCA" w:rsidP="00F41EDD">
      <w:pPr>
        <w:jc w:val="both"/>
        <w:rPr>
          <w:rFonts w:ascii="Arial" w:hAnsi="Arial" w:cs="Arial"/>
          <w:sz w:val="22"/>
          <w:szCs w:val="22"/>
        </w:rPr>
      </w:pPr>
    </w:p>
    <w:p w14:paraId="1D939BD7" w14:textId="77777777" w:rsidR="00851698" w:rsidRDefault="00E43DCA" w:rsidP="00643719">
      <w:pPr>
        <w:jc w:val="both"/>
        <w:rPr>
          <w:rFonts w:ascii="Arial" w:hAnsi="Arial" w:cs="Arial"/>
          <w:sz w:val="22"/>
          <w:szCs w:val="22"/>
        </w:rPr>
      </w:pPr>
      <w:r w:rsidRPr="00E43DCA">
        <w:rPr>
          <w:rFonts w:ascii="Arial" w:hAnsi="Arial" w:cs="Arial"/>
          <w:sz w:val="22"/>
          <w:szCs w:val="22"/>
        </w:rPr>
        <w:t>The table shows an overall increasing pattern in both the number of insured members and the exposed</w:t>
      </w:r>
      <w:r w:rsidR="00851698">
        <w:rPr>
          <w:rFonts w:ascii="Arial" w:hAnsi="Arial" w:cs="Arial"/>
          <w:sz w:val="22"/>
          <w:szCs w:val="22"/>
        </w:rPr>
        <w:t xml:space="preserve"> </w:t>
      </w:r>
      <w:r w:rsidRPr="00E43DCA">
        <w:rPr>
          <w:rFonts w:ascii="Arial" w:hAnsi="Arial" w:cs="Arial"/>
          <w:sz w:val="22"/>
          <w:szCs w:val="22"/>
        </w:rPr>
        <w:t>to</w:t>
      </w:r>
      <w:r w:rsidR="00851698">
        <w:rPr>
          <w:rFonts w:ascii="Arial" w:hAnsi="Arial" w:cs="Arial"/>
          <w:sz w:val="22"/>
          <w:szCs w:val="22"/>
        </w:rPr>
        <w:t xml:space="preserve"> </w:t>
      </w:r>
      <w:r w:rsidRPr="00E43DCA">
        <w:rPr>
          <w:rFonts w:ascii="Arial" w:hAnsi="Arial" w:cs="Arial"/>
          <w:sz w:val="22"/>
          <w:szCs w:val="22"/>
        </w:rPr>
        <w:t xml:space="preserve">risk population from 2021 to 2024, reflecting a steadily expanding book of business. </w:t>
      </w:r>
    </w:p>
    <w:p w14:paraId="617D4ECE" w14:textId="05E32227" w:rsidR="00037362" w:rsidRDefault="00E43DCA" w:rsidP="00643719">
      <w:pPr>
        <w:jc w:val="both"/>
        <w:rPr>
          <w:rFonts w:ascii="Arial" w:hAnsi="Arial" w:cs="Arial"/>
          <w:sz w:val="22"/>
          <w:szCs w:val="22"/>
        </w:rPr>
      </w:pPr>
      <w:r w:rsidRPr="00E43DCA">
        <w:rPr>
          <w:rFonts w:ascii="Arial" w:hAnsi="Arial" w:cs="Arial"/>
          <w:sz w:val="22"/>
          <w:szCs w:val="22"/>
        </w:rPr>
        <w:t>ERP rises from 8.02 in 2021 to 15.93 in 2024</w:t>
      </w:r>
      <w:r w:rsidR="00037362" w:rsidRPr="00037362">
        <w:rPr>
          <w:rFonts w:ascii="Arial" w:hAnsi="Arial" w:cs="Arial"/>
          <w:b/>
          <w:bCs/>
          <w:kern w:val="36"/>
          <w:sz w:val="22"/>
          <w:szCs w:val="22"/>
        </w:rPr>
        <w:t xml:space="preserve"> </w:t>
      </w:r>
      <w:r w:rsidR="00037362" w:rsidRPr="00037362">
        <w:rPr>
          <w:rFonts w:ascii="Arial" w:hAnsi="Arial" w:cs="Arial"/>
          <w:sz w:val="22"/>
          <w:szCs w:val="22"/>
        </w:rPr>
        <w:t>The decline in 2025 is not concerning, as the underwriting year is still immature, and exposure continues to accumulate through the remaining months of coverage.</w:t>
      </w:r>
    </w:p>
    <w:p w14:paraId="6962312E" w14:textId="617FFB93" w:rsidR="00851698" w:rsidRDefault="00643719" w:rsidP="00643719">
      <w:pPr>
        <w:spacing w:before="120"/>
        <w:jc w:val="both"/>
        <w:rPr>
          <w:rFonts w:ascii="Arial" w:hAnsi="Arial" w:cs="Arial"/>
          <w:sz w:val="22"/>
          <w:szCs w:val="22"/>
        </w:rPr>
      </w:pPr>
      <w:r w:rsidRPr="00643719">
        <w:rPr>
          <w:rFonts w:ascii="Arial" w:hAnsi="Arial" w:cs="Arial"/>
          <w:sz w:val="22"/>
          <w:szCs w:val="22"/>
        </w:rPr>
        <w:t>Total claim counts move in line with exposure, increasing as the portfolio grows and easing slightly in 2025, which is consistent with the current ERP. This behavior is typical for a small book of business where each additional policyholder can noticeably shift claim counts from one year to the next.</w:t>
      </w:r>
    </w:p>
    <w:p w14:paraId="2F5C3D22" w14:textId="378E19C9" w:rsidR="00851698" w:rsidRDefault="00E43DCA" w:rsidP="00643719">
      <w:pPr>
        <w:spacing w:before="120"/>
        <w:jc w:val="both"/>
        <w:rPr>
          <w:rFonts w:ascii="Arial" w:hAnsi="Arial" w:cs="Arial"/>
          <w:sz w:val="22"/>
          <w:szCs w:val="22"/>
        </w:rPr>
      </w:pPr>
      <w:r w:rsidRPr="00E43DCA">
        <w:rPr>
          <w:rFonts w:ascii="Arial" w:hAnsi="Arial" w:cs="Arial"/>
          <w:sz w:val="22"/>
          <w:szCs w:val="22"/>
        </w:rPr>
        <w:t>Next, average premium per ERP shows some fluctuation across the years. It peaks in 2022 at around $3,366 and then stabilizes at lower values in the following years. On the other hand, average claim per ERP reaches its highest level in 2024, which aligns with the heavier claim activity observed earlier in the analysis.</w:t>
      </w:r>
    </w:p>
    <w:p w14:paraId="1C707FF6" w14:textId="77777777" w:rsidR="00643719" w:rsidRPr="00037362" w:rsidRDefault="00643719" w:rsidP="00643719">
      <w:pPr>
        <w:pStyle w:val="Heading1"/>
        <w:spacing w:before="120" w:beforeAutospacing="0" w:after="0" w:afterAutospacing="0"/>
        <w:jc w:val="both"/>
        <w:rPr>
          <w:rFonts w:ascii="Arial" w:hAnsi="Arial" w:cs="Arial"/>
          <w:b w:val="0"/>
          <w:bCs w:val="0"/>
          <w:sz w:val="22"/>
          <w:szCs w:val="22"/>
        </w:rPr>
      </w:pPr>
      <w:r w:rsidRPr="00037362">
        <w:rPr>
          <w:rFonts w:ascii="Arial" w:hAnsi="Arial" w:cs="Arial"/>
          <w:b w:val="0"/>
          <w:bCs w:val="0"/>
          <w:sz w:val="22"/>
          <w:szCs w:val="22"/>
        </w:rPr>
        <w:t>One important observation is the small size of the portfolio itself. ERPs range roughly between 8 and 16 units, which means that even a handful of claims</w:t>
      </w:r>
      <w:r>
        <w:rPr>
          <w:rFonts w:ascii="Arial" w:hAnsi="Arial" w:cs="Arial"/>
          <w:b w:val="0"/>
          <w:bCs w:val="0"/>
          <w:sz w:val="22"/>
          <w:szCs w:val="22"/>
        </w:rPr>
        <w:t xml:space="preserve">, </w:t>
      </w:r>
      <w:r w:rsidRPr="00037362">
        <w:rPr>
          <w:rFonts w:ascii="Arial" w:hAnsi="Arial" w:cs="Arial"/>
          <w:b w:val="0"/>
          <w:bCs w:val="0"/>
          <w:sz w:val="22"/>
          <w:szCs w:val="22"/>
        </w:rPr>
        <w:t>especially medium or large ones</w:t>
      </w:r>
      <w:r>
        <w:rPr>
          <w:rFonts w:ascii="Arial" w:hAnsi="Arial" w:cs="Arial"/>
          <w:b w:val="0"/>
          <w:bCs w:val="0"/>
          <w:sz w:val="22"/>
          <w:szCs w:val="22"/>
        </w:rPr>
        <w:t xml:space="preserve">, </w:t>
      </w:r>
      <w:r w:rsidRPr="00037362">
        <w:rPr>
          <w:rFonts w:ascii="Arial" w:hAnsi="Arial" w:cs="Arial"/>
          <w:b w:val="0"/>
          <w:bCs w:val="0"/>
          <w:sz w:val="22"/>
          <w:szCs w:val="22"/>
        </w:rPr>
        <w:t>can significantly affect ratios and averages from year to year. This limited volume will play a role later in the report when assessing credibility and interpreting volatility in development patterns, particularly for the more recent underwriting years.</w:t>
      </w:r>
    </w:p>
    <w:p w14:paraId="7A7A0E93" w14:textId="77777777" w:rsidR="00643719" w:rsidRDefault="00643719" w:rsidP="00643719">
      <w:pPr>
        <w:pStyle w:val="Heading1"/>
        <w:spacing w:before="0" w:beforeAutospacing="0" w:after="0" w:afterAutospacing="0"/>
        <w:jc w:val="both"/>
        <w:rPr>
          <w:rFonts w:ascii="Arial" w:hAnsi="Arial" w:cs="Arial"/>
          <w:b w:val="0"/>
          <w:bCs w:val="0"/>
          <w:sz w:val="22"/>
          <w:szCs w:val="22"/>
        </w:rPr>
      </w:pPr>
    </w:p>
    <w:p w14:paraId="5D6BAB69" w14:textId="32A83806" w:rsidR="00037362" w:rsidRPr="00037362" w:rsidRDefault="00643719" w:rsidP="00643719">
      <w:pPr>
        <w:pStyle w:val="Heading1"/>
        <w:spacing w:before="120" w:beforeAutospacing="0" w:after="0" w:afterAutospacing="0"/>
        <w:jc w:val="both"/>
        <w:rPr>
          <w:rFonts w:ascii="Arial" w:hAnsi="Arial" w:cs="Arial"/>
          <w:b w:val="0"/>
          <w:bCs w:val="0"/>
          <w:sz w:val="22"/>
          <w:szCs w:val="22"/>
        </w:rPr>
      </w:pPr>
      <w:r w:rsidRPr="00037362">
        <w:rPr>
          <w:rFonts w:ascii="Arial" w:hAnsi="Arial" w:cs="Arial"/>
          <w:b w:val="0"/>
          <w:bCs w:val="0"/>
          <w:sz w:val="22"/>
          <w:szCs w:val="22"/>
        </w:rPr>
        <w:t>Overall, the exposure measures indicate a growing but still relatively small portfolio where individual claims can meaningfully influence results. This highlights the need for caution when drawing conclusions from short-term fluctuations, especially when the business is still expanding.</w:t>
      </w:r>
    </w:p>
    <w:p w14:paraId="59036FC7" w14:textId="77777777" w:rsidR="00BE59F4" w:rsidRDefault="00BE59F4" w:rsidP="00854EE6">
      <w:pPr>
        <w:pStyle w:val="Heading1"/>
        <w:spacing w:before="120" w:beforeAutospacing="0" w:after="0" w:afterAutospacing="0"/>
        <w:rPr>
          <w:rStyle w:val="Strong"/>
          <w:rFonts w:ascii="Arial" w:hAnsi="Arial" w:cs="Arial"/>
          <w:b/>
          <w:bCs/>
          <w:sz w:val="22"/>
          <w:szCs w:val="22"/>
        </w:rPr>
      </w:pPr>
    </w:p>
    <w:p w14:paraId="4B2BFCDB" w14:textId="4EAEFDE1" w:rsidR="00854EE6" w:rsidRPr="00854EE6" w:rsidRDefault="00854EE6" w:rsidP="00854EE6">
      <w:pPr>
        <w:pStyle w:val="Heading1"/>
        <w:spacing w:before="120" w:beforeAutospacing="0" w:after="0" w:afterAutospacing="0"/>
        <w:rPr>
          <w:rFonts w:ascii="Arial" w:hAnsi="Arial" w:cs="Arial"/>
          <w:sz w:val="22"/>
          <w:szCs w:val="22"/>
        </w:rPr>
      </w:pPr>
      <w:r w:rsidRPr="00854EE6">
        <w:rPr>
          <w:rStyle w:val="Strong"/>
          <w:rFonts w:ascii="Arial" w:hAnsi="Arial" w:cs="Arial"/>
          <w:b/>
          <w:bCs/>
          <w:sz w:val="22"/>
          <w:szCs w:val="22"/>
        </w:rPr>
        <w:t>2.4 Frequency, Severity, and Loss Cost</w:t>
      </w:r>
    </w:p>
    <w:p w14:paraId="719039B8" w14:textId="0DB0764F" w:rsidR="00854EE6" w:rsidRPr="00854EE6" w:rsidRDefault="00854EE6" w:rsidP="00854EE6">
      <w:pPr>
        <w:pStyle w:val="NormalWeb"/>
        <w:spacing w:before="120" w:beforeAutospacing="0" w:after="0" w:afterAutospacing="0"/>
        <w:rPr>
          <w:rFonts w:ascii="Arial" w:hAnsi="Arial" w:cs="Arial"/>
          <w:sz w:val="22"/>
          <w:szCs w:val="22"/>
        </w:rPr>
      </w:pPr>
      <w:r w:rsidRPr="00854EE6">
        <w:rPr>
          <w:rFonts w:ascii="Arial" w:hAnsi="Arial" w:cs="Arial"/>
          <w:sz w:val="22"/>
          <w:szCs w:val="22"/>
        </w:rPr>
        <w:t>T</w:t>
      </w:r>
      <w:r w:rsidR="000932AC">
        <w:rPr>
          <w:rFonts w:ascii="Arial" w:hAnsi="Arial" w:cs="Arial"/>
          <w:sz w:val="22"/>
          <w:szCs w:val="22"/>
        </w:rPr>
        <w:t>he t</w:t>
      </w:r>
      <w:r w:rsidRPr="00854EE6">
        <w:rPr>
          <w:rFonts w:ascii="Arial" w:hAnsi="Arial" w:cs="Arial"/>
          <w:sz w:val="22"/>
          <w:szCs w:val="22"/>
        </w:rPr>
        <w:t>able</w:t>
      </w:r>
      <w:r w:rsidR="000932AC">
        <w:rPr>
          <w:rFonts w:ascii="Arial" w:hAnsi="Arial" w:cs="Arial"/>
          <w:sz w:val="22"/>
          <w:szCs w:val="22"/>
        </w:rPr>
        <w:t xml:space="preserve"> below</w:t>
      </w:r>
      <w:r w:rsidRPr="00854EE6">
        <w:rPr>
          <w:rFonts w:ascii="Arial" w:hAnsi="Arial" w:cs="Arial"/>
          <w:sz w:val="22"/>
          <w:szCs w:val="22"/>
        </w:rPr>
        <w:t xml:space="preserve"> summarizes three key indicators of claim behavior:</w:t>
      </w:r>
    </w:p>
    <w:p w14:paraId="450331B8" w14:textId="77777777" w:rsidR="00854EE6" w:rsidRPr="00854EE6" w:rsidRDefault="00854EE6" w:rsidP="00854EE6">
      <w:pPr>
        <w:pStyle w:val="NormalWeb"/>
        <w:numPr>
          <w:ilvl w:val="0"/>
          <w:numId w:val="1"/>
        </w:numPr>
        <w:spacing w:before="120" w:beforeAutospacing="0" w:after="0" w:afterAutospacing="0"/>
        <w:rPr>
          <w:rFonts w:ascii="Arial" w:hAnsi="Arial" w:cs="Arial"/>
          <w:sz w:val="22"/>
          <w:szCs w:val="22"/>
        </w:rPr>
      </w:pPr>
      <w:r w:rsidRPr="00854EE6">
        <w:rPr>
          <w:rStyle w:val="Strong"/>
          <w:rFonts w:ascii="Arial" w:hAnsi="Arial" w:cs="Arial"/>
          <w:sz w:val="22"/>
          <w:szCs w:val="22"/>
        </w:rPr>
        <w:t>Average claim frequency</w:t>
      </w:r>
      <w:r w:rsidRPr="00854EE6">
        <w:rPr>
          <w:rFonts w:ascii="Arial" w:hAnsi="Arial" w:cs="Arial"/>
          <w:sz w:val="22"/>
          <w:szCs w:val="22"/>
        </w:rPr>
        <w:t>, which measures how often claims occur relative to exposure.</w:t>
      </w:r>
    </w:p>
    <w:p w14:paraId="26972CA6" w14:textId="77777777" w:rsidR="00854EE6" w:rsidRPr="00854EE6" w:rsidRDefault="00854EE6" w:rsidP="00854EE6">
      <w:pPr>
        <w:pStyle w:val="NormalWeb"/>
        <w:numPr>
          <w:ilvl w:val="0"/>
          <w:numId w:val="1"/>
        </w:numPr>
        <w:spacing w:before="120" w:beforeAutospacing="0" w:after="0" w:afterAutospacing="0"/>
        <w:rPr>
          <w:rFonts w:ascii="Arial" w:hAnsi="Arial" w:cs="Arial"/>
          <w:sz w:val="22"/>
          <w:szCs w:val="22"/>
        </w:rPr>
      </w:pPr>
      <w:r w:rsidRPr="00854EE6">
        <w:rPr>
          <w:rStyle w:val="Strong"/>
          <w:rFonts w:ascii="Arial" w:hAnsi="Arial" w:cs="Arial"/>
          <w:sz w:val="22"/>
          <w:szCs w:val="22"/>
        </w:rPr>
        <w:t>Average loss severity</w:t>
      </w:r>
      <w:r w:rsidRPr="00854EE6">
        <w:rPr>
          <w:rFonts w:ascii="Arial" w:hAnsi="Arial" w:cs="Arial"/>
          <w:sz w:val="22"/>
          <w:szCs w:val="22"/>
        </w:rPr>
        <w:t>, which reflects the average cost per claim.</w:t>
      </w:r>
    </w:p>
    <w:p w14:paraId="109896C1" w14:textId="77777777" w:rsidR="00854EE6" w:rsidRPr="00854EE6" w:rsidRDefault="00854EE6" w:rsidP="00854EE6">
      <w:pPr>
        <w:pStyle w:val="NormalWeb"/>
        <w:numPr>
          <w:ilvl w:val="0"/>
          <w:numId w:val="1"/>
        </w:numPr>
        <w:spacing w:before="120" w:beforeAutospacing="0" w:after="0" w:afterAutospacing="0"/>
        <w:rPr>
          <w:rFonts w:ascii="Arial" w:hAnsi="Arial" w:cs="Arial"/>
          <w:sz w:val="22"/>
          <w:szCs w:val="22"/>
        </w:rPr>
      </w:pPr>
      <w:r w:rsidRPr="00854EE6">
        <w:rPr>
          <w:rStyle w:val="Strong"/>
          <w:rFonts w:ascii="Arial" w:hAnsi="Arial" w:cs="Arial"/>
          <w:sz w:val="22"/>
          <w:szCs w:val="22"/>
        </w:rPr>
        <w:t>Average loss cost</w:t>
      </w:r>
      <w:r w:rsidRPr="00854EE6">
        <w:rPr>
          <w:rFonts w:ascii="Arial" w:hAnsi="Arial" w:cs="Arial"/>
          <w:sz w:val="22"/>
          <w:szCs w:val="22"/>
        </w:rPr>
        <w:t>, which combines both measures to show the expected claim cost per unit of exposure.</w:t>
      </w:r>
    </w:p>
    <w:p w14:paraId="48DC114D" w14:textId="235C119B" w:rsidR="00854EE6" w:rsidRDefault="00854EE6" w:rsidP="00854EE6">
      <w:pPr>
        <w:pStyle w:val="Heading3"/>
        <w:spacing w:before="120" w:beforeAutospacing="0" w:after="0" w:afterAutospacing="0"/>
        <w:rPr>
          <w:rFonts w:ascii="Arial" w:hAnsi="Arial" w:cs="Arial"/>
          <w:sz w:val="22"/>
          <w:szCs w:val="22"/>
        </w:rPr>
      </w:pPr>
    </w:p>
    <w:p w14:paraId="1E1C1E9C" w14:textId="77777777" w:rsidR="00854EE6" w:rsidRPr="00854EE6" w:rsidRDefault="00854EE6" w:rsidP="00854EE6">
      <w:pPr>
        <w:pStyle w:val="Heading3"/>
        <w:spacing w:before="120" w:beforeAutospacing="0" w:after="0" w:afterAutospacing="0"/>
        <w:rPr>
          <w:rFonts w:ascii="Arial" w:hAnsi="Arial" w:cs="Arial"/>
          <w:sz w:val="22"/>
          <w:szCs w:val="22"/>
        </w:rPr>
      </w:pPr>
    </w:p>
    <w:tbl>
      <w:tblPr>
        <w:tblStyle w:val="TableGrid"/>
        <w:tblW w:w="0" w:type="auto"/>
        <w:jc w:val="center"/>
        <w:tblLook w:val="04A0" w:firstRow="1" w:lastRow="0" w:firstColumn="1" w:lastColumn="0" w:noHBand="0" w:noVBand="1"/>
      </w:tblPr>
      <w:tblGrid>
        <w:gridCol w:w="1008"/>
        <w:gridCol w:w="2016"/>
        <w:gridCol w:w="2016"/>
        <w:gridCol w:w="2016"/>
      </w:tblGrid>
      <w:tr w:rsidR="00854EE6" w:rsidRPr="00854EE6" w14:paraId="08FD6125" w14:textId="77777777" w:rsidTr="00854EE6">
        <w:trPr>
          <w:jc w:val="center"/>
        </w:trPr>
        <w:tc>
          <w:tcPr>
            <w:tcW w:w="1008" w:type="dxa"/>
            <w:shd w:val="clear" w:color="auto" w:fill="222A35" w:themeFill="text2" w:themeFillShade="80"/>
            <w:vAlign w:val="center"/>
            <w:hideMark/>
          </w:tcPr>
          <w:p w14:paraId="3D9090BD" w14:textId="77777777" w:rsidR="00854EE6" w:rsidRPr="00854EE6" w:rsidRDefault="00854EE6" w:rsidP="00854EE6">
            <w:pPr>
              <w:spacing w:before="80" w:after="80"/>
              <w:jc w:val="center"/>
              <w:rPr>
                <w:rFonts w:ascii="Arial" w:hAnsi="Arial" w:cs="Arial"/>
                <w:b/>
                <w:bCs/>
                <w:color w:val="FFFFFF" w:themeColor="background1"/>
                <w:sz w:val="22"/>
                <w:szCs w:val="22"/>
              </w:rPr>
            </w:pPr>
            <w:r w:rsidRPr="00854EE6">
              <w:rPr>
                <w:rStyle w:val="Strong"/>
                <w:rFonts w:ascii="Arial" w:hAnsi="Arial" w:cs="Arial"/>
                <w:color w:val="FFFFFF" w:themeColor="background1"/>
                <w:sz w:val="22"/>
                <w:szCs w:val="22"/>
              </w:rPr>
              <w:t>UWY</w:t>
            </w:r>
          </w:p>
        </w:tc>
        <w:tc>
          <w:tcPr>
            <w:tcW w:w="2016" w:type="dxa"/>
            <w:shd w:val="clear" w:color="auto" w:fill="222A35" w:themeFill="text2" w:themeFillShade="80"/>
            <w:vAlign w:val="center"/>
            <w:hideMark/>
          </w:tcPr>
          <w:p w14:paraId="6E0D6D5C" w14:textId="77777777" w:rsidR="00854EE6" w:rsidRPr="00854EE6" w:rsidRDefault="00854EE6" w:rsidP="00854EE6">
            <w:pPr>
              <w:spacing w:before="80" w:after="80"/>
              <w:jc w:val="center"/>
              <w:rPr>
                <w:rFonts w:ascii="Arial" w:hAnsi="Arial" w:cs="Arial"/>
                <w:b/>
                <w:bCs/>
                <w:color w:val="FFFFFF" w:themeColor="background1"/>
                <w:sz w:val="22"/>
                <w:szCs w:val="22"/>
              </w:rPr>
            </w:pPr>
            <w:r w:rsidRPr="00854EE6">
              <w:rPr>
                <w:rStyle w:val="Strong"/>
                <w:rFonts w:ascii="Arial" w:hAnsi="Arial" w:cs="Arial"/>
                <w:color w:val="FFFFFF" w:themeColor="background1"/>
                <w:sz w:val="22"/>
                <w:szCs w:val="22"/>
              </w:rPr>
              <w:t>Avg. Claim Frequency</w:t>
            </w:r>
          </w:p>
        </w:tc>
        <w:tc>
          <w:tcPr>
            <w:tcW w:w="2016" w:type="dxa"/>
            <w:shd w:val="clear" w:color="auto" w:fill="222A35" w:themeFill="text2" w:themeFillShade="80"/>
            <w:vAlign w:val="center"/>
            <w:hideMark/>
          </w:tcPr>
          <w:p w14:paraId="1429664C" w14:textId="77777777" w:rsidR="00854EE6" w:rsidRPr="00854EE6" w:rsidRDefault="00854EE6" w:rsidP="00854EE6">
            <w:pPr>
              <w:spacing w:before="80" w:after="80"/>
              <w:jc w:val="center"/>
              <w:rPr>
                <w:rFonts w:ascii="Arial" w:hAnsi="Arial" w:cs="Arial"/>
                <w:b/>
                <w:bCs/>
                <w:color w:val="FFFFFF" w:themeColor="background1"/>
                <w:sz w:val="22"/>
                <w:szCs w:val="22"/>
              </w:rPr>
            </w:pPr>
            <w:r w:rsidRPr="00854EE6">
              <w:rPr>
                <w:rStyle w:val="Strong"/>
                <w:rFonts w:ascii="Arial" w:hAnsi="Arial" w:cs="Arial"/>
                <w:color w:val="FFFFFF" w:themeColor="background1"/>
                <w:sz w:val="22"/>
                <w:szCs w:val="22"/>
              </w:rPr>
              <w:t>Avg. Loss Severity</w:t>
            </w:r>
          </w:p>
        </w:tc>
        <w:tc>
          <w:tcPr>
            <w:tcW w:w="2016" w:type="dxa"/>
            <w:shd w:val="clear" w:color="auto" w:fill="222A35" w:themeFill="text2" w:themeFillShade="80"/>
            <w:vAlign w:val="center"/>
            <w:hideMark/>
          </w:tcPr>
          <w:p w14:paraId="13463F77" w14:textId="77777777" w:rsidR="00854EE6" w:rsidRPr="00854EE6" w:rsidRDefault="00854EE6" w:rsidP="00854EE6">
            <w:pPr>
              <w:spacing w:before="80" w:after="80"/>
              <w:jc w:val="center"/>
              <w:rPr>
                <w:rFonts w:ascii="Arial" w:hAnsi="Arial" w:cs="Arial"/>
                <w:b/>
                <w:bCs/>
                <w:color w:val="FFFFFF" w:themeColor="background1"/>
                <w:sz w:val="22"/>
                <w:szCs w:val="22"/>
              </w:rPr>
            </w:pPr>
            <w:r w:rsidRPr="00854EE6">
              <w:rPr>
                <w:rStyle w:val="Strong"/>
                <w:rFonts w:ascii="Arial" w:hAnsi="Arial" w:cs="Arial"/>
                <w:color w:val="FFFFFF" w:themeColor="background1"/>
                <w:sz w:val="22"/>
                <w:szCs w:val="22"/>
              </w:rPr>
              <w:t>Avg. Loss Cost</w:t>
            </w:r>
          </w:p>
        </w:tc>
      </w:tr>
      <w:tr w:rsidR="00854EE6" w:rsidRPr="00854EE6" w14:paraId="14C4BDEA" w14:textId="77777777" w:rsidTr="00854EE6">
        <w:trPr>
          <w:jc w:val="center"/>
        </w:trPr>
        <w:tc>
          <w:tcPr>
            <w:tcW w:w="1008" w:type="dxa"/>
            <w:shd w:val="clear" w:color="auto" w:fill="D9D9D9" w:themeFill="background1" w:themeFillShade="D9"/>
            <w:vAlign w:val="center"/>
            <w:hideMark/>
          </w:tcPr>
          <w:p w14:paraId="7B8482A8" w14:textId="77777777" w:rsidR="00854EE6" w:rsidRPr="00854EE6" w:rsidRDefault="00854EE6" w:rsidP="00854EE6">
            <w:pPr>
              <w:spacing w:before="80" w:after="80"/>
              <w:jc w:val="center"/>
              <w:rPr>
                <w:rFonts w:ascii="Arial" w:hAnsi="Arial" w:cs="Arial"/>
                <w:sz w:val="22"/>
                <w:szCs w:val="22"/>
              </w:rPr>
            </w:pPr>
            <w:r w:rsidRPr="00854EE6">
              <w:rPr>
                <w:rStyle w:val="Strong"/>
                <w:rFonts w:ascii="Arial" w:hAnsi="Arial" w:cs="Arial"/>
                <w:sz w:val="22"/>
                <w:szCs w:val="22"/>
              </w:rPr>
              <w:t>2021</w:t>
            </w:r>
          </w:p>
        </w:tc>
        <w:tc>
          <w:tcPr>
            <w:tcW w:w="2016" w:type="dxa"/>
            <w:vAlign w:val="center"/>
            <w:hideMark/>
          </w:tcPr>
          <w:p w14:paraId="25956C68"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0.87</w:t>
            </w:r>
          </w:p>
        </w:tc>
        <w:tc>
          <w:tcPr>
            <w:tcW w:w="2016" w:type="dxa"/>
            <w:vAlign w:val="center"/>
            <w:hideMark/>
          </w:tcPr>
          <w:p w14:paraId="706C918B"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$1,307.14</w:t>
            </w:r>
          </w:p>
        </w:tc>
        <w:tc>
          <w:tcPr>
            <w:tcW w:w="2016" w:type="dxa"/>
            <w:vAlign w:val="center"/>
            <w:hideMark/>
          </w:tcPr>
          <w:p w14:paraId="10187171"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$1,141.40</w:t>
            </w:r>
          </w:p>
        </w:tc>
      </w:tr>
      <w:tr w:rsidR="00854EE6" w:rsidRPr="00854EE6" w14:paraId="69CDC705" w14:textId="77777777" w:rsidTr="00854EE6">
        <w:trPr>
          <w:jc w:val="center"/>
        </w:trPr>
        <w:tc>
          <w:tcPr>
            <w:tcW w:w="1008" w:type="dxa"/>
            <w:shd w:val="clear" w:color="auto" w:fill="D9D9D9" w:themeFill="background1" w:themeFillShade="D9"/>
            <w:vAlign w:val="center"/>
            <w:hideMark/>
          </w:tcPr>
          <w:p w14:paraId="5AB686E2" w14:textId="77777777" w:rsidR="00854EE6" w:rsidRPr="00854EE6" w:rsidRDefault="00854EE6" w:rsidP="00854EE6">
            <w:pPr>
              <w:spacing w:before="80" w:after="80"/>
              <w:jc w:val="center"/>
              <w:rPr>
                <w:rFonts w:ascii="Arial" w:hAnsi="Arial" w:cs="Arial"/>
                <w:sz w:val="22"/>
                <w:szCs w:val="22"/>
              </w:rPr>
            </w:pPr>
            <w:r w:rsidRPr="00854EE6">
              <w:rPr>
                <w:rStyle w:val="Strong"/>
                <w:rFonts w:ascii="Arial" w:hAnsi="Arial" w:cs="Arial"/>
                <w:sz w:val="22"/>
                <w:szCs w:val="22"/>
              </w:rPr>
              <w:t>2022</w:t>
            </w:r>
          </w:p>
        </w:tc>
        <w:tc>
          <w:tcPr>
            <w:tcW w:w="2016" w:type="dxa"/>
            <w:vAlign w:val="center"/>
            <w:hideMark/>
          </w:tcPr>
          <w:p w14:paraId="276173E1"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1.12</w:t>
            </w:r>
          </w:p>
        </w:tc>
        <w:tc>
          <w:tcPr>
            <w:tcW w:w="2016" w:type="dxa"/>
            <w:vAlign w:val="center"/>
            <w:hideMark/>
          </w:tcPr>
          <w:p w14:paraId="60A7482B"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$1,716.67</w:t>
            </w:r>
          </w:p>
        </w:tc>
        <w:tc>
          <w:tcPr>
            <w:tcW w:w="2016" w:type="dxa"/>
            <w:vAlign w:val="center"/>
            <w:hideMark/>
          </w:tcPr>
          <w:p w14:paraId="0C8873C3"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$1,925.97</w:t>
            </w:r>
          </w:p>
        </w:tc>
      </w:tr>
      <w:tr w:rsidR="00854EE6" w:rsidRPr="00854EE6" w14:paraId="339A0F42" w14:textId="77777777" w:rsidTr="00854EE6">
        <w:trPr>
          <w:jc w:val="center"/>
        </w:trPr>
        <w:tc>
          <w:tcPr>
            <w:tcW w:w="1008" w:type="dxa"/>
            <w:shd w:val="clear" w:color="auto" w:fill="D9D9D9" w:themeFill="background1" w:themeFillShade="D9"/>
            <w:vAlign w:val="center"/>
            <w:hideMark/>
          </w:tcPr>
          <w:p w14:paraId="1658FA16" w14:textId="77777777" w:rsidR="00854EE6" w:rsidRPr="00854EE6" w:rsidRDefault="00854EE6" w:rsidP="00854EE6">
            <w:pPr>
              <w:spacing w:before="80" w:after="80"/>
              <w:jc w:val="center"/>
              <w:rPr>
                <w:rFonts w:ascii="Arial" w:hAnsi="Arial" w:cs="Arial"/>
                <w:sz w:val="22"/>
                <w:szCs w:val="22"/>
              </w:rPr>
            </w:pPr>
            <w:r w:rsidRPr="00854EE6">
              <w:rPr>
                <w:rStyle w:val="Strong"/>
                <w:rFonts w:ascii="Arial" w:hAnsi="Arial" w:cs="Arial"/>
                <w:sz w:val="22"/>
                <w:szCs w:val="22"/>
              </w:rPr>
              <w:t>2023</w:t>
            </w:r>
          </w:p>
        </w:tc>
        <w:tc>
          <w:tcPr>
            <w:tcW w:w="2016" w:type="dxa"/>
            <w:vAlign w:val="center"/>
            <w:hideMark/>
          </w:tcPr>
          <w:p w14:paraId="6E7EEDB7"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1.03</w:t>
            </w:r>
          </w:p>
        </w:tc>
        <w:tc>
          <w:tcPr>
            <w:tcW w:w="2016" w:type="dxa"/>
            <w:vAlign w:val="center"/>
            <w:hideMark/>
          </w:tcPr>
          <w:p w14:paraId="16726983"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$1,320.00</w:t>
            </w:r>
          </w:p>
        </w:tc>
        <w:tc>
          <w:tcPr>
            <w:tcW w:w="2016" w:type="dxa"/>
            <w:vAlign w:val="center"/>
            <w:hideMark/>
          </w:tcPr>
          <w:p w14:paraId="3E468CF3"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$1,363.33</w:t>
            </w:r>
          </w:p>
        </w:tc>
      </w:tr>
      <w:tr w:rsidR="00854EE6" w:rsidRPr="00854EE6" w14:paraId="2324EAD5" w14:textId="77777777" w:rsidTr="00854EE6">
        <w:trPr>
          <w:jc w:val="center"/>
        </w:trPr>
        <w:tc>
          <w:tcPr>
            <w:tcW w:w="1008" w:type="dxa"/>
            <w:shd w:val="clear" w:color="auto" w:fill="D9D9D9" w:themeFill="background1" w:themeFillShade="D9"/>
            <w:vAlign w:val="center"/>
            <w:hideMark/>
          </w:tcPr>
          <w:p w14:paraId="38482DAB" w14:textId="77777777" w:rsidR="00854EE6" w:rsidRPr="00854EE6" w:rsidRDefault="00854EE6" w:rsidP="00854EE6">
            <w:pPr>
              <w:spacing w:before="80" w:after="80"/>
              <w:jc w:val="center"/>
              <w:rPr>
                <w:rFonts w:ascii="Arial" w:hAnsi="Arial" w:cs="Arial"/>
                <w:sz w:val="22"/>
                <w:szCs w:val="22"/>
              </w:rPr>
            </w:pPr>
            <w:r w:rsidRPr="00854EE6">
              <w:rPr>
                <w:rStyle w:val="Strong"/>
                <w:rFonts w:ascii="Arial" w:hAnsi="Arial" w:cs="Arial"/>
                <w:sz w:val="22"/>
                <w:szCs w:val="22"/>
              </w:rPr>
              <w:t>2024</w:t>
            </w:r>
          </w:p>
        </w:tc>
        <w:tc>
          <w:tcPr>
            <w:tcW w:w="2016" w:type="dxa"/>
            <w:vAlign w:val="center"/>
            <w:hideMark/>
          </w:tcPr>
          <w:p w14:paraId="440CD908"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0.88</w:t>
            </w:r>
          </w:p>
        </w:tc>
        <w:tc>
          <w:tcPr>
            <w:tcW w:w="2016" w:type="dxa"/>
            <w:vAlign w:val="center"/>
            <w:hideMark/>
          </w:tcPr>
          <w:p w14:paraId="3BEECE90"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$2,389.29</w:t>
            </w:r>
          </w:p>
        </w:tc>
        <w:tc>
          <w:tcPr>
            <w:tcW w:w="2016" w:type="dxa"/>
            <w:vAlign w:val="center"/>
            <w:hideMark/>
          </w:tcPr>
          <w:p w14:paraId="53774F2A"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$2,099.59</w:t>
            </w:r>
          </w:p>
        </w:tc>
      </w:tr>
      <w:tr w:rsidR="00854EE6" w:rsidRPr="00854EE6" w14:paraId="6305B6C2" w14:textId="77777777" w:rsidTr="00854EE6">
        <w:trPr>
          <w:jc w:val="center"/>
        </w:trPr>
        <w:tc>
          <w:tcPr>
            <w:tcW w:w="1008" w:type="dxa"/>
            <w:shd w:val="clear" w:color="auto" w:fill="D9D9D9" w:themeFill="background1" w:themeFillShade="D9"/>
            <w:vAlign w:val="center"/>
            <w:hideMark/>
          </w:tcPr>
          <w:p w14:paraId="5A51A86C" w14:textId="77777777" w:rsidR="00854EE6" w:rsidRPr="00854EE6" w:rsidRDefault="00854EE6" w:rsidP="00854EE6">
            <w:pPr>
              <w:spacing w:before="80" w:after="80"/>
              <w:jc w:val="center"/>
              <w:rPr>
                <w:rFonts w:ascii="Arial" w:hAnsi="Arial" w:cs="Arial"/>
                <w:sz w:val="22"/>
                <w:szCs w:val="22"/>
              </w:rPr>
            </w:pPr>
            <w:r w:rsidRPr="00854EE6">
              <w:rPr>
                <w:rStyle w:val="Strong"/>
                <w:rFonts w:ascii="Arial" w:hAnsi="Arial" w:cs="Arial"/>
                <w:sz w:val="22"/>
                <w:szCs w:val="22"/>
              </w:rPr>
              <w:t>2025</w:t>
            </w:r>
          </w:p>
        </w:tc>
        <w:tc>
          <w:tcPr>
            <w:tcW w:w="2016" w:type="dxa"/>
            <w:vAlign w:val="center"/>
            <w:hideMark/>
          </w:tcPr>
          <w:p w14:paraId="09B7162C"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1.12</w:t>
            </w:r>
          </w:p>
        </w:tc>
        <w:tc>
          <w:tcPr>
            <w:tcW w:w="2016" w:type="dxa"/>
            <w:vAlign w:val="center"/>
            <w:hideMark/>
          </w:tcPr>
          <w:p w14:paraId="4FDA4EC8"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$943.33</w:t>
            </w:r>
          </w:p>
        </w:tc>
        <w:tc>
          <w:tcPr>
            <w:tcW w:w="2016" w:type="dxa"/>
            <w:vAlign w:val="center"/>
            <w:hideMark/>
          </w:tcPr>
          <w:p w14:paraId="050D1C5C" w14:textId="77777777" w:rsidR="00854EE6" w:rsidRPr="00854EE6" w:rsidRDefault="00854EE6" w:rsidP="00854EE6">
            <w:pPr>
              <w:spacing w:before="80" w:after="80"/>
              <w:jc w:val="center"/>
              <w:rPr>
                <w:rFonts w:ascii="Arial" w:hAnsi="Arial" w:cs="Arial"/>
                <w:sz w:val="22"/>
                <w:szCs w:val="22"/>
              </w:rPr>
            </w:pPr>
            <w:r w:rsidRPr="00854EE6">
              <w:rPr>
                <w:rFonts w:ascii="Arial" w:hAnsi="Arial" w:cs="Arial"/>
                <w:sz w:val="22"/>
                <w:szCs w:val="22"/>
              </w:rPr>
              <w:t>$1,052.42</w:t>
            </w:r>
          </w:p>
        </w:tc>
      </w:tr>
    </w:tbl>
    <w:p w14:paraId="6D41194C" w14:textId="118F31A5" w:rsidR="00854EE6" w:rsidRPr="00854EE6" w:rsidRDefault="00854EE6" w:rsidP="00854EE6">
      <w:pPr>
        <w:spacing w:before="80"/>
        <w:jc w:val="center"/>
        <w:rPr>
          <w:rFonts w:ascii="Arial" w:hAnsi="Arial" w:cs="Arial"/>
          <w:sz w:val="18"/>
          <w:szCs w:val="18"/>
        </w:rPr>
      </w:pPr>
      <w:r w:rsidRPr="00854EE6">
        <w:rPr>
          <w:rStyle w:val="Strong"/>
          <w:rFonts w:ascii="Arial" w:hAnsi="Arial" w:cs="Arial"/>
          <w:sz w:val="18"/>
          <w:szCs w:val="18"/>
        </w:rPr>
        <w:t xml:space="preserve">Table </w:t>
      </w:r>
      <w:r w:rsidR="000932AC">
        <w:rPr>
          <w:rStyle w:val="Strong"/>
          <w:rFonts w:ascii="Arial" w:hAnsi="Arial" w:cs="Arial"/>
          <w:sz w:val="18"/>
          <w:szCs w:val="18"/>
        </w:rPr>
        <w:t>1.4</w:t>
      </w:r>
      <w:r w:rsidRPr="00854EE6">
        <w:rPr>
          <w:rStyle w:val="Strong"/>
          <w:rFonts w:ascii="Arial" w:hAnsi="Arial" w:cs="Arial"/>
          <w:sz w:val="18"/>
          <w:szCs w:val="18"/>
        </w:rPr>
        <w:t xml:space="preserve"> - Frequency, Severity, and Loss Cost by Underwriting Year</w:t>
      </w:r>
    </w:p>
    <w:p w14:paraId="75747D3B" w14:textId="0985C3DF" w:rsidR="00854EE6" w:rsidRPr="00854EE6" w:rsidRDefault="00854EE6" w:rsidP="00854EE6">
      <w:pPr>
        <w:pStyle w:val="Heading1"/>
        <w:spacing w:before="120" w:beforeAutospacing="0" w:after="0" w:afterAutospacing="0"/>
        <w:rPr>
          <w:rFonts w:ascii="Arial" w:hAnsi="Arial" w:cs="Arial"/>
          <w:sz w:val="22"/>
          <w:szCs w:val="22"/>
        </w:rPr>
      </w:pPr>
    </w:p>
    <w:p w14:paraId="10F52DC2" w14:textId="6BB7F39D" w:rsidR="00854EE6" w:rsidRDefault="00854EE6" w:rsidP="00CC7E05">
      <w:pPr>
        <w:pStyle w:val="NormalWeb"/>
        <w:spacing w:before="120" w:beforeAutospacing="0" w:after="0" w:afterAutospacing="0"/>
        <w:jc w:val="both"/>
        <w:rPr>
          <w:rFonts w:ascii="Arial" w:hAnsi="Arial" w:cs="Arial"/>
          <w:sz w:val="22"/>
          <w:szCs w:val="22"/>
        </w:rPr>
      </w:pPr>
      <w:r w:rsidRPr="00854EE6">
        <w:rPr>
          <w:rFonts w:ascii="Arial" w:hAnsi="Arial" w:cs="Arial"/>
          <w:sz w:val="22"/>
          <w:szCs w:val="22"/>
        </w:rPr>
        <w:t>The table shows that claim frequency varies moderately across the years, remaining close to or slightly above one claim per ERP unit. Frequency peaks in 2022 and 2025 at 1.12, while 2021 and 2024 show slightly lower values. Overall, the pattern is relatively stable and does not suggest unusual fluctuation in how often claims occur.</w:t>
      </w:r>
    </w:p>
    <w:p w14:paraId="0B09B152" w14:textId="77777777" w:rsidR="00854EE6" w:rsidRPr="00854EE6" w:rsidRDefault="00854EE6" w:rsidP="00CC7E05">
      <w:pPr>
        <w:pStyle w:val="NormalWeb"/>
        <w:spacing w:before="0" w:beforeAutospacing="0" w:after="0" w:afterAutospacing="0"/>
        <w:jc w:val="both"/>
        <w:rPr>
          <w:rFonts w:ascii="Arial" w:hAnsi="Arial" w:cs="Arial"/>
          <w:sz w:val="22"/>
          <w:szCs w:val="22"/>
        </w:rPr>
      </w:pPr>
    </w:p>
    <w:p w14:paraId="28E91F8E" w14:textId="2C733DB7" w:rsidR="00854EE6" w:rsidRDefault="002C1EDB" w:rsidP="00CC7E05">
      <w:pPr>
        <w:pStyle w:val="NormalWeb"/>
        <w:spacing w:before="120" w:beforeAutospacing="0" w:after="0" w:afterAutospacing="0"/>
        <w:jc w:val="both"/>
        <w:rPr>
          <w:rFonts w:ascii="Arial" w:hAnsi="Arial" w:cs="Arial"/>
          <w:sz w:val="22"/>
          <w:szCs w:val="22"/>
        </w:rPr>
      </w:pPr>
      <w:r>
        <w:rPr>
          <w:rFonts w:ascii="Arial" w:hAnsi="Arial" w:cs="Arial"/>
          <w:sz w:val="22"/>
          <w:szCs w:val="22"/>
        </w:rPr>
        <w:t>L</w:t>
      </w:r>
      <w:r w:rsidRPr="00854EE6">
        <w:rPr>
          <w:rFonts w:ascii="Arial" w:hAnsi="Arial" w:cs="Arial"/>
          <w:sz w:val="22"/>
          <w:szCs w:val="22"/>
        </w:rPr>
        <w:t>oss severity</w:t>
      </w:r>
      <w:r>
        <w:rPr>
          <w:rFonts w:ascii="Arial" w:hAnsi="Arial" w:cs="Arial"/>
          <w:sz w:val="22"/>
          <w:szCs w:val="22"/>
        </w:rPr>
        <w:t>, o</w:t>
      </w:r>
      <w:r w:rsidR="00CC7E05">
        <w:rPr>
          <w:rFonts w:ascii="Arial" w:hAnsi="Arial" w:cs="Arial"/>
          <w:sz w:val="22"/>
          <w:szCs w:val="22"/>
        </w:rPr>
        <w:t>n the other hand</w:t>
      </w:r>
      <w:r w:rsidR="00854EE6" w:rsidRPr="00854EE6">
        <w:rPr>
          <w:rFonts w:ascii="Arial" w:hAnsi="Arial" w:cs="Arial"/>
          <w:sz w:val="22"/>
          <w:szCs w:val="22"/>
        </w:rPr>
        <w:t xml:space="preserve">, displays more noticeable variation. </w:t>
      </w:r>
      <w:r w:rsidR="00CC7E05">
        <w:rPr>
          <w:rFonts w:ascii="Arial" w:hAnsi="Arial" w:cs="Arial"/>
          <w:sz w:val="22"/>
          <w:szCs w:val="22"/>
        </w:rPr>
        <w:t>It</w:t>
      </w:r>
      <w:r w:rsidR="00854EE6" w:rsidRPr="00854EE6">
        <w:rPr>
          <w:rFonts w:ascii="Arial" w:hAnsi="Arial" w:cs="Arial"/>
          <w:sz w:val="22"/>
          <w:szCs w:val="22"/>
        </w:rPr>
        <w:t xml:space="preserve"> reaches its highest level in 2024 at around $2,389, reinforcing the earlier observation that 2024 experienced heavier claim activity. In contrast, 2025 shows the lowest severity, which is expected for a still</w:t>
      </w:r>
      <w:r w:rsidR="00CC7E05">
        <w:rPr>
          <w:rFonts w:ascii="Arial" w:hAnsi="Arial" w:cs="Arial"/>
          <w:sz w:val="22"/>
          <w:szCs w:val="22"/>
        </w:rPr>
        <w:t xml:space="preserve"> </w:t>
      </w:r>
      <w:r w:rsidR="00854EE6" w:rsidRPr="00854EE6">
        <w:rPr>
          <w:rFonts w:ascii="Arial" w:hAnsi="Arial" w:cs="Arial"/>
          <w:sz w:val="22"/>
          <w:szCs w:val="22"/>
        </w:rPr>
        <w:t>developing underwriting year where not all claims have fully matured. The other years fall within a more typical range.</w:t>
      </w:r>
    </w:p>
    <w:p w14:paraId="0824B9D9" w14:textId="77777777" w:rsidR="00854EE6" w:rsidRPr="00854EE6" w:rsidRDefault="00854EE6" w:rsidP="00CC7E05">
      <w:pPr>
        <w:pStyle w:val="NormalWeb"/>
        <w:spacing w:before="0" w:beforeAutospacing="0" w:after="0" w:afterAutospacing="0"/>
        <w:jc w:val="both"/>
        <w:rPr>
          <w:rFonts w:ascii="Arial" w:hAnsi="Arial" w:cs="Arial"/>
          <w:sz w:val="22"/>
          <w:szCs w:val="22"/>
        </w:rPr>
      </w:pPr>
    </w:p>
    <w:p w14:paraId="126C4748" w14:textId="03FA666B" w:rsidR="00854EE6" w:rsidRDefault="00854EE6" w:rsidP="00CC7E05">
      <w:pPr>
        <w:pStyle w:val="NormalWeb"/>
        <w:spacing w:before="120" w:beforeAutospacing="0" w:after="0" w:afterAutospacing="0"/>
        <w:jc w:val="both"/>
        <w:rPr>
          <w:rFonts w:ascii="Arial" w:hAnsi="Arial" w:cs="Arial"/>
          <w:sz w:val="22"/>
          <w:szCs w:val="22"/>
        </w:rPr>
      </w:pPr>
      <w:r w:rsidRPr="00854EE6">
        <w:rPr>
          <w:rFonts w:ascii="Arial" w:hAnsi="Arial" w:cs="Arial"/>
          <w:sz w:val="22"/>
          <w:szCs w:val="22"/>
        </w:rPr>
        <w:t>Average loss cost reflects the combined effect of frequency and severity. It increases sharply in 2022 and reaches another peak in 2024, both driven by higher severity. These two years stand out as having the highest cost per unit of exposure. For 2025, the current loss cost is relatively low, but as with the previous tables, this figure is likely to evolve as the underwriting year develops.</w:t>
      </w:r>
    </w:p>
    <w:p w14:paraId="7DEF70D4" w14:textId="65B9B010" w:rsidR="00854EE6" w:rsidRDefault="00854EE6" w:rsidP="00CC7E05">
      <w:pPr>
        <w:jc w:val="both"/>
        <w:rPr>
          <w:rFonts w:ascii="Arial" w:hAnsi="Arial" w:cs="Arial"/>
          <w:sz w:val="22"/>
          <w:szCs w:val="22"/>
        </w:rPr>
      </w:pPr>
    </w:p>
    <w:p w14:paraId="1FA430DA" w14:textId="58447F25" w:rsidR="00CC7E05" w:rsidRDefault="00037362" w:rsidP="00CC7E05">
      <w:pPr>
        <w:jc w:val="both"/>
        <w:rPr>
          <w:rFonts w:ascii="Arial" w:hAnsi="Arial" w:cs="Arial"/>
          <w:sz w:val="22"/>
          <w:szCs w:val="22"/>
        </w:rPr>
      </w:pPr>
      <w:r>
        <w:rPr>
          <w:rFonts w:ascii="Arial" w:hAnsi="Arial" w:cs="Arial"/>
          <w:sz w:val="22"/>
          <w:szCs w:val="22"/>
        </w:rPr>
        <w:t>As seen</w:t>
      </w:r>
      <w:r w:rsidR="00CC7E05" w:rsidRPr="00CC7E05">
        <w:rPr>
          <w:rFonts w:ascii="Arial" w:hAnsi="Arial" w:cs="Arial"/>
          <w:sz w:val="22"/>
          <w:szCs w:val="22"/>
        </w:rPr>
        <w:t xml:space="preserve">, the results highlight the importance of monitoring severity trends as the portfolio expands. While frequency remains </w:t>
      </w:r>
      <w:proofErr w:type="gramStart"/>
      <w:r w:rsidR="00CC7E05" w:rsidRPr="00CC7E05">
        <w:rPr>
          <w:rFonts w:ascii="Arial" w:hAnsi="Arial" w:cs="Arial"/>
          <w:sz w:val="22"/>
          <w:szCs w:val="22"/>
        </w:rPr>
        <w:t>fairly</w:t>
      </w:r>
      <w:r w:rsidR="002C1EDB">
        <w:rPr>
          <w:rFonts w:ascii="Arial" w:hAnsi="Arial" w:cs="Arial"/>
          <w:sz w:val="22"/>
          <w:szCs w:val="22"/>
        </w:rPr>
        <w:t xml:space="preserve"> </w:t>
      </w:r>
      <w:r w:rsidR="00CC7E05" w:rsidRPr="00CC7E05">
        <w:rPr>
          <w:rFonts w:ascii="Arial" w:hAnsi="Arial" w:cs="Arial"/>
          <w:sz w:val="22"/>
          <w:szCs w:val="22"/>
        </w:rPr>
        <w:t>consistent</w:t>
      </w:r>
      <w:proofErr w:type="gramEnd"/>
      <w:r w:rsidR="00CC7E05" w:rsidRPr="00CC7E05">
        <w:rPr>
          <w:rFonts w:ascii="Arial" w:hAnsi="Arial" w:cs="Arial"/>
          <w:sz w:val="22"/>
          <w:szCs w:val="22"/>
        </w:rPr>
        <w:t>, shifts in severity can have a direct impact on underwriting performance and pricing decisions.</w:t>
      </w:r>
    </w:p>
    <w:p w14:paraId="3EA31234" w14:textId="77777777" w:rsidR="002C1EDB" w:rsidRDefault="002C1EDB" w:rsidP="00CC7E05">
      <w:pPr>
        <w:jc w:val="both"/>
        <w:rPr>
          <w:rFonts w:ascii="Arial" w:hAnsi="Arial" w:cs="Arial"/>
          <w:sz w:val="22"/>
          <w:szCs w:val="22"/>
        </w:rPr>
      </w:pPr>
    </w:p>
    <w:p w14:paraId="2D9B9E7F" w14:textId="461C3A1D" w:rsidR="00CC7E05" w:rsidRDefault="00CC7E05" w:rsidP="00CC7E05">
      <w:pPr>
        <w:jc w:val="both"/>
        <w:rPr>
          <w:rFonts w:ascii="Arial" w:hAnsi="Arial" w:cs="Arial"/>
          <w:sz w:val="22"/>
          <w:szCs w:val="22"/>
        </w:rPr>
      </w:pPr>
    </w:p>
    <w:p w14:paraId="4EB33660" w14:textId="77777777" w:rsidR="00EC6044" w:rsidRPr="00EC6044" w:rsidRDefault="00EC6044" w:rsidP="00EC6044">
      <w:pPr>
        <w:jc w:val="both"/>
        <w:rPr>
          <w:rFonts w:ascii="Arial" w:hAnsi="Arial" w:cs="Arial"/>
          <w:b/>
          <w:bCs/>
          <w:sz w:val="22"/>
          <w:szCs w:val="22"/>
        </w:rPr>
      </w:pPr>
      <w:r w:rsidRPr="00EC6044">
        <w:rPr>
          <w:rFonts w:ascii="Arial" w:hAnsi="Arial" w:cs="Arial"/>
          <w:b/>
          <w:bCs/>
          <w:sz w:val="22"/>
          <w:szCs w:val="22"/>
        </w:rPr>
        <w:t>3. Loss Ratio by Line of Business</w:t>
      </w:r>
    </w:p>
    <w:p w14:paraId="216B798E" w14:textId="77777777" w:rsidR="00EC6044" w:rsidRDefault="00EC6044" w:rsidP="00EC6044">
      <w:pPr>
        <w:jc w:val="both"/>
        <w:rPr>
          <w:rFonts w:ascii="Arial" w:hAnsi="Arial" w:cs="Arial"/>
          <w:b/>
          <w:bCs/>
          <w:sz w:val="22"/>
          <w:szCs w:val="22"/>
        </w:rPr>
      </w:pPr>
    </w:p>
    <w:p w14:paraId="65D58A21" w14:textId="41883D99" w:rsidR="00EC6044" w:rsidRPr="00EC6044" w:rsidRDefault="00EC6044" w:rsidP="00EC6044">
      <w:pPr>
        <w:spacing w:after="120"/>
        <w:jc w:val="both"/>
        <w:rPr>
          <w:rFonts w:ascii="Arial" w:hAnsi="Arial" w:cs="Arial"/>
          <w:b/>
          <w:bCs/>
          <w:sz w:val="22"/>
          <w:szCs w:val="22"/>
        </w:rPr>
      </w:pPr>
      <w:r w:rsidRPr="00EC6044">
        <w:rPr>
          <w:rFonts w:ascii="Arial" w:hAnsi="Arial" w:cs="Arial"/>
          <w:b/>
          <w:bCs/>
          <w:sz w:val="22"/>
          <w:szCs w:val="22"/>
        </w:rPr>
        <w:t>3.1 Medical Line of Business</w:t>
      </w:r>
    </w:p>
    <w:tbl>
      <w:tblPr>
        <w:tblStyle w:val="TableGrid"/>
        <w:tblW w:w="9457" w:type="dxa"/>
        <w:jc w:val="center"/>
        <w:tblLook w:val="04A0" w:firstRow="1" w:lastRow="0" w:firstColumn="1" w:lastColumn="0" w:noHBand="0" w:noVBand="1"/>
      </w:tblPr>
      <w:tblGrid>
        <w:gridCol w:w="1351"/>
        <w:gridCol w:w="1351"/>
        <w:gridCol w:w="1351"/>
        <w:gridCol w:w="1351"/>
        <w:gridCol w:w="1351"/>
        <w:gridCol w:w="1351"/>
        <w:gridCol w:w="1351"/>
      </w:tblGrid>
      <w:tr w:rsidR="00EC6044" w:rsidRPr="00EC6044" w14:paraId="1CCA5B8C" w14:textId="77777777" w:rsidTr="00EC6044">
        <w:trPr>
          <w:jc w:val="center"/>
        </w:trPr>
        <w:tc>
          <w:tcPr>
            <w:tcW w:w="1351" w:type="dxa"/>
            <w:shd w:val="clear" w:color="auto" w:fill="222A35" w:themeFill="text2" w:themeFillShade="80"/>
            <w:vAlign w:val="center"/>
            <w:hideMark/>
          </w:tcPr>
          <w:p w14:paraId="4C20FD69" w14:textId="77777777" w:rsidR="00EC6044" w:rsidRPr="00EC6044" w:rsidRDefault="00EC6044" w:rsidP="00EC6044">
            <w:pPr>
              <w:spacing w:before="80" w:after="80"/>
              <w:jc w:val="center"/>
              <w:rPr>
                <w:rFonts w:ascii="Arial" w:hAnsi="Arial" w:cs="Arial"/>
                <w:b/>
                <w:bCs/>
                <w:color w:val="FFFFFF" w:themeColor="background1"/>
                <w:sz w:val="22"/>
                <w:szCs w:val="22"/>
              </w:rPr>
            </w:pPr>
            <w:r w:rsidRPr="00EC6044">
              <w:rPr>
                <w:rFonts w:ascii="Arial" w:hAnsi="Arial" w:cs="Arial"/>
                <w:b/>
                <w:bCs/>
                <w:color w:val="FFFFFF" w:themeColor="background1"/>
                <w:sz w:val="22"/>
                <w:szCs w:val="22"/>
              </w:rPr>
              <w:t>UWY</w:t>
            </w:r>
          </w:p>
        </w:tc>
        <w:tc>
          <w:tcPr>
            <w:tcW w:w="1351" w:type="dxa"/>
            <w:shd w:val="clear" w:color="auto" w:fill="222A35" w:themeFill="text2" w:themeFillShade="80"/>
            <w:vAlign w:val="center"/>
            <w:hideMark/>
          </w:tcPr>
          <w:p w14:paraId="28A694CA" w14:textId="77777777" w:rsidR="00EC6044" w:rsidRPr="00EC6044" w:rsidRDefault="00EC6044" w:rsidP="00EC6044">
            <w:pPr>
              <w:spacing w:before="80" w:after="80"/>
              <w:jc w:val="center"/>
              <w:rPr>
                <w:rFonts w:ascii="Arial" w:hAnsi="Arial" w:cs="Arial"/>
                <w:b/>
                <w:bCs/>
                <w:color w:val="FFFFFF" w:themeColor="background1"/>
                <w:sz w:val="22"/>
                <w:szCs w:val="22"/>
              </w:rPr>
            </w:pPr>
            <w:r w:rsidRPr="00EC6044">
              <w:rPr>
                <w:rFonts w:ascii="Arial" w:hAnsi="Arial" w:cs="Arial"/>
                <w:b/>
                <w:bCs/>
                <w:color w:val="FFFFFF" w:themeColor="background1"/>
                <w:sz w:val="22"/>
                <w:szCs w:val="22"/>
              </w:rPr>
              <w:t>Written Premium</w:t>
            </w:r>
          </w:p>
        </w:tc>
        <w:tc>
          <w:tcPr>
            <w:tcW w:w="1351" w:type="dxa"/>
            <w:shd w:val="clear" w:color="auto" w:fill="222A35" w:themeFill="text2" w:themeFillShade="80"/>
            <w:vAlign w:val="center"/>
            <w:hideMark/>
          </w:tcPr>
          <w:p w14:paraId="19A6D596" w14:textId="77777777" w:rsidR="00EC6044" w:rsidRPr="00EC6044" w:rsidRDefault="00EC6044" w:rsidP="00EC6044">
            <w:pPr>
              <w:spacing w:before="80" w:after="80"/>
              <w:jc w:val="center"/>
              <w:rPr>
                <w:rFonts w:ascii="Arial" w:hAnsi="Arial" w:cs="Arial"/>
                <w:b/>
                <w:bCs/>
                <w:color w:val="FFFFFF" w:themeColor="background1"/>
                <w:sz w:val="22"/>
                <w:szCs w:val="22"/>
              </w:rPr>
            </w:pPr>
            <w:r w:rsidRPr="00EC6044">
              <w:rPr>
                <w:rFonts w:ascii="Arial" w:hAnsi="Arial" w:cs="Arial"/>
                <w:b/>
                <w:bCs/>
                <w:color w:val="FFFFFF" w:themeColor="background1"/>
                <w:sz w:val="22"/>
                <w:szCs w:val="22"/>
              </w:rPr>
              <w:t>Earned Premium</w:t>
            </w:r>
          </w:p>
        </w:tc>
        <w:tc>
          <w:tcPr>
            <w:tcW w:w="1351" w:type="dxa"/>
            <w:shd w:val="clear" w:color="auto" w:fill="222A35" w:themeFill="text2" w:themeFillShade="80"/>
            <w:vAlign w:val="center"/>
            <w:hideMark/>
          </w:tcPr>
          <w:p w14:paraId="305CAAEB" w14:textId="77777777" w:rsidR="00EC6044" w:rsidRPr="00EC6044" w:rsidRDefault="00EC6044" w:rsidP="00EC6044">
            <w:pPr>
              <w:spacing w:before="80" w:after="80"/>
              <w:jc w:val="center"/>
              <w:rPr>
                <w:rFonts w:ascii="Arial" w:hAnsi="Arial" w:cs="Arial"/>
                <w:b/>
                <w:bCs/>
                <w:color w:val="FFFFFF" w:themeColor="background1"/>
                <w:sz w:val="22"/>
                <w:szCs w:val="22"/>
              </w:rPr>
            </w:pPr>
            <w:r w:rsidRPr="00EC6044">
              <w:rPr>
                <w:rFonts w:ascii="Arial" w:hAnsi="Arial" w:cs="Arial"/>
                <w:b/>
                <w:bCs/>
                <w:color w:val="FFFFFF" w:themeColor="background1"/>
                <w:sz w:val="22"/>
                <w:szCs w:val="22"/>
              </w:rPr>
              <w:t>Paid Claims</w:t>
            </w:r>
          </w:p>
        </w:tc>
        <w:tc>
          <w:tcPr>
            <w:tcW w:w="1351" w:type="dxa"/>
            <w:shd w:val="clear" w:color="auto" w:fill="222A35" w:themeFill="text2" w:themeFillShade="80"/>
            <w:vAlign w:val="center"/>
            <w:hideMark/>
          </w:tcPr>
          <w:p w14:paraId="6E15C186" w14:textId="77777777" w:rsidR="00EC6044" w:rsidRPr="00EC6044" w:rsidRDefault="00EC6044" w:rsidP="00EC6044">
            <w:pPr>
              <w:spacing w:before="80" w:after="80"/>
              <w:jc w:val="center"/>
              <w:rPr>
                <w:rFonts w:ascii="Arial" w:hAnsi="Arial" w:cs="Arial"/>
                <w:b/>
                <w:bCs/>
                <w:color w:val="FFFFFF" w:themeColor="background1"/>
                <w:sz w:val="22"/>
                <w:szCs w:val="22"/>
              </w:rPr>
            </w:pPr>
            <w:r w:rsidRPr="00EC6044">
              <w:rPr>
                <w:rFonts w:ascii="Arial" w:hAnsi="Arial" w:cs="Arial"/>
                <w:b/>
                <w:bCs/>
                <w:color w:val="FFFFFF" w:themeColor="background1"/>
                <w:sz w:val="22"/>
                <w:szCs w:val="22"/>
              </w:rPr>
              <w:t>Case Reserves</w:t>
            </w:r>
          </w:p>
        </w:tc>
        <w:tc>
          <w:tcPr>
            <w:tcW w:w="1351" w:type="dxa"/>
            <w:shd w:val="clear" w:color="auto" w:fill="222A35" w:themeFill="text2" w:themeFillShade="80"/>
            <w:vAlign w:val="center"/>
            <w:hideMark/>
          </w:tcPr>
          <w:p w14:paraId="53AE2ECF" w14:textId="77777777" w:rsidR="00EC6044" w:rsidRPr="00EC6044" w:rsidRDefault="00EC6044" w:rsidP="00EC6044">
            <w:pPr>
              <w:spacing w:before="80" w:after="80"/>
              <w:jc w:val="center"/>
              <w:rPr>
                <w:rFonts w:ascii="Arial" w:hAnsi="Arial" w:cs="Arial"/>
                <w:b/>
                <w:bCs/>
                <w:color w:val="FFFFFF" w:themeColor="background1"/>
                <w:sz w:val="22"/>
                <w:szCs w:val="22"/>
              </w:rPr>
            </w:pPr>
            <w:r w:rsidRPr="00EC6044">
              <w:rPr>
                <w:rFonts w:ascii="Arial" w:hAnsi="Arial" w:cs="Arial"/>
                <w:b/>
                <w:bCs/>
                <w:color w:val="FFFFFF" w:themeColor="background1"/>
                <w:sz w:val="22"/>
                <w:szCs w:val="22"/>
              </w:rPr>
              <w:t>Incurred Claims</w:t>
            </w:r>
          </w:p>
        </w:tc>
        <w:tc>
          <w:tcPr>
            <w:tcW w:w="1351" w:type="dxa"/>
            <w:shd w:val="clear" w:color="auto" w:fill="222A35" w:themeFill="text2" w:themeFillShade="80"/>
            <w:vAlign w:val="center"/>
            <w:hideMark/>
          </w:tcPr>
          <w:p w14:paraId="5C46A239" w14:textId="77777777" w:rsidR="00EC6044" w:rsidRPr="00EC6044" w:rsidRDefault="00EC6044" w:rsidP="00EC6044">
            <w:pPr>
              <w:spacing w:before="80" w:after="80"/>
              <w:jc w:val="center"/>
              <w:rPr>
                <w:rFonts w:ascii="Arial" w:hAnsi="Arial" w:cs="Arial"/>
                <w:b/>
                <w:bCs/>
                <w:color w:val="FFFFFF" w:themeColor="background1"/>
                <w:sz w:val="22"/>
                <w:szCs w:val="22"/>
              </w:rPr>
            </w:pPr>
            <w:r w:rsidRPr="00EC6044">
              <w:rPr>
                <w:rFonts w:ascii="Arial" w:hAnsi="Arial" w:cs="Arial"/>
                <w:b/>
                <w:bCs/>
                <w:color w:val="FFFFFF" w:themeColor="background1"/>
                <w:sz w:val="22"/>
                <w:szCs w:val="22"/>
              </w:rPr>
              <w:t>Loss Ratio</w:t>
            </w:r>
          </w:p>
        </w:tc>
      </w:tr>
      <w:tr w:rsidR="00EC6044" w:rsidRPr="00EC6044" w14:paraId="1D32E781" w14:textId="77777777" w:rsidTr="00EC6044">
        <w:trPr>
          <w:jc w:val="center"/>
        </w:trPr>
        <w:tc>
          <w:tcPr>
            <w:tcW w:w="1351" w:type="dxa"/>
            <w:shd w:val="clear" w:color="auto" w:fill="D9D9D9" w:themeFill="background1" w:themeFillShade="D9"/>
            <w:vAlign w:val="center"/>
            <w:hideMark/>
          </w:tcPr>
          <w:p w14:paraId="1A26C07C" w14:textId="77777777" w:rsidR="00EC6044" w:rsidRPr="00EC6044" w:rsidRDefault="00EC6044" w:rsidP="00EC6044">
            <w:pPr>
              <w:spacing w:before="80" w:after="80"/>
              <w:jc w:val="center"/>
              <w:rPr>
                <w:rFonts w:ascii="Arial" w:hAnsi="Arial" w:cs="Arial"/>
                <w:sz w:val="22"/>
                <w:szCs w:val="22"/>
              </w:rPr>
            </w:pPr>
            <w:r w:rsidRPr="00EC6044">
              <w:rPr>
                <w:rFonts w:ascii="Arial" w:hAnsi="Arial" w:cs="Arial"/>
                <w:b/>
                <w:bCs/>
                <w:sz w:val="22"/>
                <w:szCs w:val="22"/>
              </w:rPr>
              <w:t>2021</w:t>
            </w:r>
          </w:p>
        </w:tc>
        <w:tc>
          <w:tcPr>
            <w:tcW w:w="1351" w:type="dxa"/>
            <w:vAlign w:val="center"/>
            <w:hideMark/>
          </w:tcPr>
          <w:p w14:paraId="5BB3187B" w14:textId="23851247"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2,700</w:t>
            </w:r>
          </w:p>
        </w:tc>
        <w:tc>
          <w:tcPr>
            <w:tcW w:w="1351" w:type="dxa"/>
            <w:vAlign w:val="center"/>
            <w:hideMark/>
          </w:tcPr>
          <w:p w14:paraId="00BF12CF" w14:textId="7B705816"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2,700</w:t>
            </w:r>
          </w:p>
        </w:tc>
        <w:tc>
          <w:tcPr>
            <w:tcW w:w="1351" w:type="dxa"/>
            <w:vAlign w:val="center"/>
            <w:hideMark/>
          </w:tcPr>
          <w:p w14:paraId="3D4146CC" w14:textId="2E386372"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2,200</w:t>
            </w:r>
          </w:p>
        </w:tc>
        <w:tc>
          <w:tcPr>
            <w:tcW w:w="1351" w:type="dxa"/>
            <w:vAlign w:val="center"/>
            <w:hideMark/>
          </w:tcPr>
          <w:p w14:paraId="0C45D169" w14:textId="232338DB" w:rsidR="00EC6044" w:rsidRPr="00EC6044" w:rsidRDefault="00EC6044" w:rsidP="00EC6044">
            <w:pPr>
              <w:spacing w:before="80" w:after="80"/>
              <w:jc w:val="center"/>
              <w:rPr>
                <w:rFonts w:ascii="Arial" w:hAnsi="Arial" w:cs="Arial"/>
                <w:sz w:val="22"/>
                <w:szCs w:val="22"/>
              </w:rPr>
            </w:pPr>
            <w:r>
              <w:rPr>
                <w:rFonts w:ascii="Arial" w:hAnsi="Arial" w:cs="Arial"/>
                <w:sz w:val="22"/>
                <w:szCs w:val="22"/>
              </w:rPr>
              <w:t>-</w:t>
            </w:r>
          </w:p>
        </w:tc>
        <w:tc>
          <w:tcPr>
            <w:tcW w:w="1351" w:type="dxa"/>
            <w:vAlign w:val="center"/>
            <w:hideMark/>
          </w:tcPr>
          <w:p w14:paraId="6D7F6B27" w14:textId="1D30D2F9"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2,200</w:t>
            </w:r>
          </w:p>
        </w:tc>
        <w:tc>
          <w:tcPr>
            <w:tcW w:w="1351" w:type="dxa"/>
            <w:vAlign w:val="center"/>
            <w:hideMark/>
          </w:tcPr>
          <w:p w14:paraId="4C3EB858" w14:textId="7CB2824B"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81</w:t>
            </w:r>
            <w:r>
              <w:rPr>
                <w:rFonts w:ascii="Arial" w:hAnsi="Arial" w:cs="Arial"/>
                <w:sz w:val="22"/>
                <w:szCs w:val="22"/>
              </w:rPr>
              <w:t xml:space="preserve"> </w:t>
            </w:r>
            <w:r w:rsidRPr="00EC6044">
              <w:rPr>
                <w:rFonts w:ascii="Arial" w:hAnsi="Arial" w:cs="Arial"/>
                <w:sz w:val="22"/>
                <w:szCs w:val="22"/>
              </w:rPr>
              <w:t>%</w:t>
            </w:r>
          </w:p>
        </w:tc>
      </w:tr>
      <w:tr w:rsidR="00EC6044" w:rsidRPr="00EC6044" w14:paraId="78AF6255" w14:textId="77777777" w:rsidTr="00EC6044">
        <w:trPr>
          <w:jc w:val="center"/>
        </w:trPr>
        <w:tc>
          <w:tcPr>
            <w:tcW w:w="1351" w:type="dxa"/>
            <w:shd w:val="clear" w:color="auto" w:fill="D9D9D9" w:themeFill="background1" w:themeFillShade="D9"/>
            <w:vAlign w:val="center"/>
            <w:hideMark/>
          </w:tcPr>
          <w:p w14:paraId="44E80A0B" w14:textId="77777777" w:rsidR="00EC6044" w:rsidRPr="00EC6044" w:rsidRDefault="00EC6044" w:rsidP="00EC6044">
            <w:pPr>
              <w:spacing w:before="80" w:after="80"/>
              <w:jc w:val="center"/>
              <w:rPr>
                <w:rFonts w:ascii="Arial" w:hAnsi="Arial" w:cs="Arial"/>
                <w:sz w:val="22"/>
                <w:szCs w:val="22"/>
              </w:rPr>
            </w:pPr>
            <w:r w:rsidRPr="00EC6044">
              <w:rPr>
                <w:rFonts w:ascii="Arial" w:hAnsi="Arial" w:cs="Arial"/>
                <w:b/>
                <w:bCs/>
                <w:sz w:val="22"/>
                <w:szCs w:val="22"/>
              </w:rPr>
              <w:t>2022</w:t>
            </w:r>
          </w:p>
        </w:tc>
        <w:tc>
          <w:tcPr>
            <w:tcW w:w="1351" w:type="dxa"/>
            <w:vAlign w:val="center"/>
            <w:hideMark/>
          </w:tcPr>
          <w:p w14:paraId="14D61B18" w14:textId="431AF7BF"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4,450</w:t>
            </w:r>
          </w:p>
        </w:tc>
        <w:tc>
          <w:tcPr>
            <w:tcW w:w="1351" w:type="dxa"/>
            <w:vAlign w:val="center"/>
            <w:hideMark/>
          </w:tcPr>
          <w:p w14:paraId="74DA2C0D" w14:textId="1FF04133"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4,450</w:t>
            </w:r>
          </w:p>
        </w:tc>
        <w:tc>
          <w:tcPr>
            <w:tcW w:w="1351" w:type="dxa"/>
            <w:vAlign w:val="center"/>
            <w:hideMark/>
          </w:tcPr>
          <w:p w14:paraId="70D8E1BC" w14:textId="444BE0A2"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4,000</w:t>
            </w:r>
          </w:p>
        </w:tc>
        <w:tc>
          <w:tcPr>
            <w:tcW w:w="1351" w:type="dxa"/>
            <w:vAlign w:val="center"/>
            <w:hideMark/>
          </w:tcPr>
          <w:p w14:paraId="4B58E29B" w14:textId="499FAD33" w:rsidR="00EC6044" w:rsidRPr="00EC6044" w:rsidRDefault="00EC6044" w:rsidP="00EC6044">
            <w:pPr>
              <w:spacing w:before="80" w:after="80"/>
              <w:jc w:val="center"/>
              <w:rPr>
                <w:rFonts w:ascii="Arial" w:hAnsi="Arial" w:cs="Arial"/>
                <w:sz w:val="22"/>
                <w:szCs w:val="22"/>
              </w:rPr>
            </w:pPr>
            <w:r>
              <w:rPr>
                <w:rFonts w:ascii="Arial" w:hAnsi="Arial" w:cs="Arial"/>
                <w:sz w:val="22"/>
                <w:szCs w:val="22"/>
              </w:rPr>
              <w:t>-</w:t>
            </w:r>
          </w:p>
        </w:tc>
        <w:tc>
          <w:tcPr>
            <w:tcW w:w="1351" w:type="dxa"/>
            <w:vAlign w:val="center"/>
            <w:hideMark/>
          </w:tcPr>
          <w:p w14:paraId="2BFA3125" w14:textId="751A611D"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4,000</w:t>
            </w:r>
          </w:p>
        </w:tc>
        <w:tc>
          <w:tcPr>
            <w:tcW w:w="1351" w:type="dxa"/>
            <w:vAlign w:val="center"/>
            <w:hideMark/>
          </w:tcPr>
          <w:p w14:paraId="383C344E" w14:textId="673D81A3"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90</w:t>
            </w:r>
            <w:r>
              <w:rPr>
                <w:rFonts w:ascii="Arial" w:hAnsi="Arial" w:cs="Arial"/>
                <w:sz w:val="22"/>
                <w:szCs w:val="22"/>
              </w:rPr>
              <w:t xml:space="preserve"> </w:t>
            </w:r>
            <w:r w:rsidRPr="00EC6044">
              <w:rPr>
                <w:rFonts w:ascii="Arial" w:hAnsi="Arial" w:cs="Arial"/>
                <w:sz w:val="22"/>
                <w:szCs w:val="22"/>
              </w:rPr>
              <w:t>%</w:t>
            </w:r>
          </w:p>
        </w:tc>
      </w:tr>
      <w:tr w:rsidR="00EC6044" w:rsidRPr="00EC6044" w14:paraId="590A7593" w14:textId="77777777" w:rsidTr="00EC6044">
        <w:trPr>
          <w:jc w:val="center"/>
        </w:trPr>
        <w:tc>
          <w:tcPr>
            <w:tcW w:w="1351" w:type="dxa"/>
            <w:shd w:val="clear" w:color="auto" w:fill="D9D9D9" w:themeFill="background1" w:themeFillShade="D9"/>
            <w:vAlign w:val="center"/>
            <w:hideMark/>
          </w:tcPr>
          <w:p w14:paraId="7B5C5A73" w14:textId="77777777" w:rsidR="00EC6044" w:rsidRPr="00EC6044" w:rsidRDefault="00EC6044" w:rsidP="00EC6044">
            <w:pPr>
              <w:spacing w:before="80" w:after="80"/>
              <w:jc w:val="center"/>
              <w:rPr>
                <w:rFonts w:ascii="Arial" w:hAnsi="Arial" w:cs="Arial"/>
                <w:sz w:val="22"/>
                <w:szCs w:val="22"/>
              </w:rPr>
            </w:pPr>
            <w:r w:rsidRPr="00EC6044">
              <w:rPr>
                <w:rFonts w:ascii="Arial" w:hAnsi="Arial" w:cs="Arial"/>
                <w:b/>
                <w:bCs/>
                <w:sz w:val="22"/>
                <w:szCs w:val="22"/>
              </w:rPr>
              <w:t>2023</w:t>
            </w:r>
          </w:p>
        </w:tc>
        <w:tc>
          <w:tcPr>
            <w:tcW w:w="1351" w:type="dxa"/>
            <w:vAlign w:val="center"/>
            <w:hideMark/>
          </w:tcPr>
          <w:p w14:paraId="2106EC7C" w14:textId="7C9F3EF0"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8,800</w:t>
            </w:r>
          </w:p>
        </w:tc>
        <w:tc>
          <w:tcPr>
            <w:tcW w:w="1351" w:type="dxa"/>
            <w:vAlign w:val="center"/>
            <w:hideMark/>
          </w:tcPr>
          <w:p w14:paraId="21AB0A85" w14:textId="5F020915"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8,800</w:t>
            </w:r>
          </w:p>
        </w:tc>
        <w:tc>
          <w:tcPr>
            <w:tcW w:w="1351" w:type="dxa"/>
            <w:vAlign w:val="center"/>
            <w:hideMark/>
          </w:tcPr>
          <w:p w14:paraId="39BF5002" w14:textId="2DF586FC"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7,000</w:t>
            </w:r>
          </w:p>
        </w:tc>
        <w:tc>
          <w:tcPr>
            <w:tcW w:w="1351" w:type="dxa"/>
            <w:vAlign w:val="center"/>
            <w:hideMark/>
          </w:tcPr>
          <w:p w14:paraId="7B6D1F56" w14:textId="5F64CBE7"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700</w:t>
            </w:r>
          </w:p>
        </w:tc>
        <w:tc>
          <w:tcPr>
            <w:tcW w:w="1351" w:type="dxa"/>
            <w:vAlign w:val="center"/>
            <w:hideMark/>
          </w:tcPr>
          <w:p w14:paraId="24581271" w14:textId="100C7A64"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7,700</w:t>
            </w:r>
          </w:p>
        </w:tc>
        <w:tc>
          <w:tcPr>
            <w:tcW w:w="1351" w:type="dxa"/>
            <w:vAlign w:val="center"/>
            <w:hideMark/>
          </w:tcPr>
          <w:p w14:paraId="61C8379D" w14:textId="3DA336F0"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88</w:t>
            </w:r>
            <w:r>
              <w:rPr>
                <w:rFonts w:ascii="Arial" w:hAnsi="Arial" w:cs="Arial"/>
                <w:sz w:val="22"/>
                <w:szCs w:val="22"/>
              </w:rPr>
              <w:t xml:space="preserve"> </w:t>
            </w:r>
            <w:r w:rsidRPr="00EC6044">
              <w:rPr>
                <w:rFonts w:ascii="Arial" w:hAnsi="Arial" w:cs="Arial"/>
                <w:sz w:val="22"/>
                <w:szCs w:val="22"/>
              </w:rPr>
              <w:t>%</w:t>
            </w:r>
          </w:p>
        </w:tc>
      </w:tr>
      <w:tr w:rsidR="00EC6044" w:rsidRPr="00EC6044" w14:paraId="18366BFF" w14:textId="77777777" w:rsidTr="00EC6044">
        <w:trPr>
          <w:jc w:val="center"/>
        </w:trPr>
        <w:tc>
          <w:tcPr>
            <w:tcW w:w="1351" w:type="dxa"/>
            <w:shd w:val="clear" w:color="auto" w:fill="D9D9D9" w:themeFill="background1" w:themeFillShade="D9"/>
            <w:vAlign w:val="center"/>
            <w:hideMark/>
          </w:tcPr>
          <w:p w14:paraId="014D65B1" w14:textId="77777777" w:rsidR="00EC6044" w:rsidRPr="00EC6044" w:rsidRDefault="00EC6044" w:rsidP="00EC6044">
            <w:pPr>
              <w:spacing w:before="80" w:after="80"/>
              <w:jc w:val="center"/>
              <w:rPr>
                <w:rFonts w:ascii="Arial" w:hAnsi="Arial" w:cs="Arial"/>
                <w:sz w:val="22"/>
                <w:szCs w:val="22"/>
              </w:rPr>
            </w:pPr>
            <w:r w:rsidRPr="00EC6044">
              <w:rPr>
                <w:rFonts w:ascii="Arial" w:hAnsi="Arial" w:cs="Arial"/>
                <w:b/>
                <w:bCs/>
                <w:sz w:val="22"/>
                <w:szCs w:val="22"/>
              </w:rPr>
              <w:lastRenderedPageBreak/>
              <w:t>2024</w:t>
            </w:r>
          </w:p>
        </w:tc>
        <w:tc>
          <w:tcPr>
            <w:tcW w:w="1351" w:type="dxa"/>
            <w:vAlign w:val="center"/>
            <w:hideMark/>
          </w:tcPr>
          <w:p w14:paraId="1142F040" w14:textId="043E7441"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15,050</w:t>
            </w:r>
          </w:p>
        </w:tc>
        <w:tc>
          <w:tcPr>
            <w:tcW w:w="1351" w:type="dxa"/>
            <w:vAlign w:val="center"/>
            <w:hideMark/>
          </w:tcPr>
          <w:p w14:paraId="50077C86" w14:textId="22B5825C"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$14,798.63</w:t>
            </w:r>
          </w:p>
        </w:tc>
        <w:tc>
          <w:tcPr>
            <w:tcW w:w="1351" w:type="dxa"/>
            <w:vAlign w:val="center"/>
            <w:hideMark/>
          </w:tcPr>
          <w:p w14:paraId="4A410BA4" w14:textId="3F484D1C"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17,150</w:t>
            </w:r>
          </w:p>
        </w:tc>
        <w:tc>
          <w:tcPr>
            <w:tcW w:w="1351" w:type="dxa"/>
            <w:vAlign w:val="center"/>
            <w:hideMark/>
          </w:tcPr>
          <w:p w14:paraId="3C686466" w14:textId="38EF37F5"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4,650</w:t>
            </w:r>
          </w:p>
        </w:tc>
        <w:tc>
          <w:tcPr>
            <w:tcW w:w="1351" w:type="dxa"/>
            <w:vAlign w:val="center"/>
            <w:hideMark/>
          </w:tcPr>
          <w:p w14:paraId="0BE08462" w14:textId="6FAD1E00"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21,800</w:t>
            </w:r>
          </w:p>
        </w:tc>
        <w:tc>
          <w:tcPr>
            <w:tcW w:w="1351" w:type="dxa"/>
            <w:vAlign w:val="center"/>
            <w:hideMark/>
          </w:tcPr>
          <w:p w14:paraId="3F436996" w14:textId="397F5E2B"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147</w:t>
            </w:r>
            <w:r>
              <w:rPr>
                <w:rFonts w:ascii="Arial" w:hAnsi="Arial" w:cs="Arial"/>
                <w:sz w:val="22"/>
                <w:szCs w:val="22"/>
              </w:rPr>
              <w:t xml:space="preserve"> </w:t>
            </w:r>
            <w:r w:rsidRPr="00EC6044">
              <w:rPr>
                <w:rFonts w:ascii="Arial" w:hAnsi="Arial" w:cs="Arial"/>
                <w:sz w:val="22"/>
                <w:szCs w:val="22"/>
              </w:rPr>
              <w:t>%</w:t>
            </w:r>
          </w:p>
        </w:tc>
      </w:tr>
      <w:tr w:rsidR="00EC6044" w:rsidRPr="00EC6044" w14:paraId="71C2F1EE" w14:textId="77777777" w:rsidTr="00EC6044">
        <w:trPr>
          <w:jc w:val="center"/>
        </w:trPr>
        <w:tc>
          <w:tcPr>
            <w:tcW w:w="1351" w:type="dxa"/>
            <w:shd w:val="clear" w:color="auto" w:fill="D9D9D9" w:themeFill="background1" w:themeFillShade="D9"/>
            <w:vAlign w:val="center"/>
            <w:hideMark/>
          </w:tcPr>
          <w:p w14:paraId="7AD9DA91" w14:textId="77777777" w:rsidR="00EC6044" w:rsidRPr="00EC6044" w:rsidRDefault="00EC6044" w:rsidP="00EC6044">
            <w:pPr>
              <w:spacing w:before="80" w:after="80"/>
              <w:jc w:val="center"/>
              <w:rPr>
                <w:rFonts w:ascii="Arial" w:hAnsi="Arial" w:cs="Arial"/>
                <w:sz w:val="22"/>
                <w:szCs w:val="22"/>
              </w:rPr>
            </w:pPr>
            <w:r w:rsidRPr="00EC6044">
              <w:rPr>
                <w:rFonts w:ascii="Arial" w:hAnsi="Arial" w:cs="Arial"/>
                <w:b/>
                <w:bCs/>
                <w:sz w:val="22"/>
                <w:szCs w:val="22"/>
              </w:rPr>
              <w:t>2025</w:t>
            </w:r>
          </w:p>
        </w:tc>
        <w:tc>
          <w:tcPr>
            <w:tcW w:w="1351" w:type="dxa"/>
            <w:vAlign w:val="center"/>
            <w:hideMark/>
          </w:tcPr>
          <w:p w14:paraId="12A2F114" w14:textId="6AFE86DA"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6,700</w:t>
            </w:r>
          </w:p>
        </w:tc>
        <w:tc>
          <w:tcPr>
            <w:tcW w:w="1351" w:type="dxa"/>
            <w:vAlign w:val="center"/>
            <w:hideMark/>
          </w:tcPr>
          <w:p w14:paraId="10073E3F" w14:textId="2856C30A"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2,583.80</w:t>
            </w:r>
          </w:p>
        </w:tc>
        <w:tc>
          <w:tcPr>
            <w:tcW w:w="1351" w:type="dxa"/>
            <w:vAlign w:val="center"/>
            <w:hideMark/>
          </w:tcPr>
          <w:p w14:paraId="00EBB049" w14:textId="53C303A9"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1,470</w:t>
            </w:r>
          </w:p>
        </w:tc>
        <w:tc>
          <w:tcPr>
            <w:tcW w:w="1351" w:type="dxa"/>
            <w:vAlign w:val="center"/>
            <w:hideMark/>
          </w:tcPr>
          <w:p w14:paraId="6CD6993D" w14:textId="4C428014"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850</w:t>
            </w:r>
          </w:p>
        </w:tc>
        <w:tc>
          <w:tcPr>
            <w:tcW w:w="1351" w:type="dxa"/>
            <w:vAlign w:val="center"/>
            <w:hideMark/>
          </w:tcPr>
          <w:p w14:paraId="7FC1A641" w14:textId="2C3F27B9"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w:t>
            </w:r>
            <w:r>
              <w:rPr>
                <w:rFonts w:ascii="Arial" w:hAnsi="Arial" w:cs="Arial"/>
                <w:sz w:val="22"/>
                <w:szCs w:val="22"/>
              </w:rPr>
              <w:t xml:space="preserve"> </w:t>
            </w:r>
            <w:r w:rsidRPr="00EC6044">
              <w:rPr>
                <w:rFonts w:ascii="Arial" w:hAnsi="Arial" w:cs="Arial"/>
                <w:sz w:val="22"/>
                <w:szCs w:val="22"/>
              </w:rPr>
              <w:t>2,320</w:t>
            </w:r>
          </w:p>
        </w:tc>
        <w:tc>
          <w:tcPr>
            <w:tcW w:w="1351" w:type="dxa"/>
            <w:vAlign w:val="center"/>
            <w:hideMark/>
          </w:tcPr>
          <w:p w14:paraId="431402F9" w14:textId="664C6E50" w:rsidR="00EC6044" w:rsidRPr="00EC6044" w:rsidRDefault="00EC6044" w:rsidP="00EC6044">
            <w:pPr>
              <w:spacing w:before="80" w:after="80"/>
              <w:jc w:val="center"/>
              <w:rPr>
                <w:rFonts w:ascii="Arial" w:hAnsi="Arial" w:cs="Arial"/>
                <w:sz w:val="22"/>
                <w:szCs w:val="22"/>
              </w:rPr>
            </w:pPr>
            <w:r w:rsidRPr="00EC6044">
              <w:rPr>
                <w:rFonts w:ascii="Arial" w:hAnsi="Arial" w:cs="Arial"/>
                <w:sz w:val="22"/>
                <w:szCs w:val="22"/>
              </w:rPr>
              <w:t>90</w:t>
            </w:r>
            <w:r>
              <w:rPr>
                <w:rFonts w:ascii="Arial" w:hAnsi="Arial" w:cs="Arial"/>
                <w:sz w:val="22"/>
                <w:szCs w:val="22"/>
              </w:rPr>
              <w:t xml:space="preserve"> </w:t>
            </w:r>
            <w:r w:rsidRPr="00EC6044">
              <w:rPr>
                <w:rFonts w:ascii="Arial" w:hAnsi="Arial" w:cs="Arial"/>
                <w:sz w:val="22"/>
                <w:szCs w:val="22"/>
              </w:rPr>
              <w:t>%</w:t>
            </w:r>
          </w:p>
        </w:tc>
      </w:tr>
    </w:tbl>
    <w:p w14:paraId="3DBD73C0" w14:textId="29BF6587" w:rsidR="004715F2" w:rsidRDefault="00EC6044" w:rsidP="00EC6044">
      <w:pPr>
        <w:spacing w:before="80"/>
        <w:jc w:val="center"/>
        <w:rPr>
          <w:rFonts w:ascii="Arial" w:hAnsi="Arial" w:cs="Arial"/>
          <w:b/>
          <w:bCs/>
          <w:sz w:val="18"/>
          <w:szCs w:val="18"/>
        </w:rPr>
      </w:pPr>
      <w:r w:rsidRPr="00EC6044">
        <w:rPr>
          <w:rFonts w:ascii="Arial" w:hAnsi="Arial" w:cs="Arial"/>
          <w:b/>
          <w:bCs/>
          <w:sz w:val="18"/>
          <w:szCs w:val="18"/>
        </w:rPr>
        <w:t xml:space="preserve">Table </w:t>
      </w:r>
      <w:r w:rsidR="000932AC">
        <w:rPr>
          <w:rFonts w:ascii="Arial" w:hAnsi="Arial" w:cs="Arial"/>
          <w:b/>
          <w:bCs/>
          <w:sz w:val="18"/>
          <w:szCs w:val="18"/>
        </w:rPr>
        <w:t>2</w:t>
      </w:r>
      <w:r>
        <w:rPr>
          <w:rFonts w:ascii="Arial" w:hAnsi="Arial" w:cs="Arial"/>
          <w:b/>
          <w:bCs/>
          <w:sz w:val="18"/>
          <w:szCs w:val="18"/>
        </w:rPr>
        <w:t>.1 -</w:t>
      </w:r>
      <w:r w:rsidRPr="00EC6044">
        <w:rPr>
          <w:rFonts w:ascii="Arial" w:hAnsi="Arial" w:cs="Arial"/>
          <w:b/>
          <w:bCs/>
          <w:sz w:val="18"/>
          <w:szCs w:val="18"/>
        </w:rPr>
        <w:t xml:space="preserve"> Medical Line of Business </w:t>
      </w:r>
      <w:r>
        <w:rPr>
          <w:rFonts w:ascii="Arial" w:hAnsi="Arial" w:cs="Arial"/>
          <w:b/>
          <w:bCs/>
          <w:sz w:val="18"/>
          <w:szCs w:val="18"/>
        </w:rPr>
        <w:t>Summary</w:t>
      </w:r>
    </w:p>
    <w:p w14:paraId="6A8D00B4" w14:textId="35AF8A2E" w:rsidR="00643719" w:rsidRPr="00643719" w:rsidRDefault="00EC6044" w:rsidP="00643719">
      <w:pPr>
        <w:spacing w:before="120"/>
        <w:jc w:val="both"/>
        <w:rPr>
          <w:rFonts w:ascii="Arial" w:hAnsi="Arial" w:cs="Arial"/>
          <w:sz w:val="22"/>
          <w:szCs w:val="22"/>
        </w:rPr>
      </w:pPr>
      <w:r>
        <w:rPr>
          <w:rFonts w:ascii="Arial" w:hAnsi="Arial" w:cs="Arial"/>
          <w:sz w:val="22"/>
          <w:szCs w:val="22"/>
        </w:rPr>
        <w:t>As seen in the table</w:t>
      </w:r>
      <w:r w:rsidR="00614705">
        <w:rPr>
          <w:rFonts w:ascii="Arial" w:hAnsi="Arial" w:cs="Arial"/>
          <w:sz w:val="22"/>
          <w:szCs w:val="22"/>
        </w:rPr>
        <w:t xml:space="preserve"> above</w:t>
      </w:r>
      <w:r>
        <w:rPr>
          <w:rFonts w:ascii="Arial" w:hAnsi="Arial" w:cs="Arial"/>
          <w:sz w:val="22"/>
          <w:szCs w:val="22"/>
        </w:rPr>
        <w:t>,</w:t>
      </w:r>
      <w:r w:rsidR="00643719" w:rsidRPr="00643719">
        <w:t xml:space="preserve"> </w:t>
      </w:r>
      <w:r w:rsidR="00643719">
        <w:rPr>
          <w:rFonts w:ascii="Arial" w:hAnsi="Arial" w:cs="Arial"/>
          <w:sz w:val="22"/>
          <w:szCs w:val="22"/>
        </w:rPr>
        <w:t>t</w:t>
      </w:r>
      <w:r w:rsidR="00643719" w:rsidRPr="00643719">
        <w:rPr>
          <w:rFonts w:ascii="Arial" w:hAnsi="Arial" w:cs="Arial"/>
          <w:sz w:val="22"/>
          <w:szCs w:val="22"/>
        </w:rPr>
        <w:t>he Medical line shows steady growth in premium from 2021 to 2024, reflecting an expanding presence in this segment. For the first three underwriting years, loss ratios fluctuate between 81% and 90%, which indicates a generally manageable experience with claims that remain in line with earned premium.</w:t>
      </w:r>
    </w:p>
    <w:p w14:paraId="3E60E25E" w14:textId="4C062C2B" w:rsidR="00643719" w:rsidRPr="00643719" w:rsidRDefault="00643719" w:rsidP="00643719">
      <w:pPr>
        <w:spacing w:before="120"/>
        <w:jc w:val="both"/>
        <w:rPr>
          <w:rFonts w:ascii="Arial" w:hAnsi="Arial" w:cs="Arial"/>
          <w:sz w:val="22"/>
          <w:szCs w:val="22"/>
        </w:rPr>
      </w:pPr>
      <w:r w:rsidRPr="00643719">
        <w:rPr>
          <w:rFonts w:ascii="Arial" w:hAnsi="Arial" w:cs="Arial"/>
          <w:sz w:val="22"/>
          <w:szCs w:val="22"/>
        </w:rPr>
        <w:t>The shift in 2024 is immediately noticeable. Incurred losses rise sharply to $21,800, while earned premium reaches about $14,799</w:t>
      </w:r>
      <w:r>
        <w:rPr>
          <w:rFonts w:ascii="Arial" w:hAnsi="Arial" w:cs="Arial"/>
          <w:sz w:val="22"/>
          <w:szCs w:val="22"/>
        </w:rPr>
        <w:t xml:space="preserve">, driving </w:t>
      </w:r>
      <w:r w:rsidRPr="00643719">
        <w:rPr>
          <w:rFonts w:ascii="Arial" w:hAnsi="Arial" w:cs="Arial"/>
          <w:sz w:val="22"/>
          <w:szCs w:val="22"/>
        </w:rPr>
        <w:t>the loss ratio up to 147%, making 2024 a clear outlier. When we investigated the individual claims, the increase was driven not only by higher frequency but also by a few medical cases, one of which continues to develop and was discussed later as part of the outlier review. The presence of a sizeable case reserve in 2024 is consistent with this pattern.</w:t>
      </w:r>
    </w:p>
    <w:p w14:paraId="25D8F5FC" w14:textId="77777777" w:rsidR="00643719" w:rsidRPr="00643719" w:rsidRDefault="00643719" w:rsidP="00643719">
      <w:pPr>
        <w:spacing w:before="120"/>
        <w:jc w:val="both"/>
        <w:rPr>
          <w:rFonts w:ascii="Arial" w:hAnsi="Arial" w:cs="Arial"/>
          <w:sz w:val="22"/>
          <w:szCs w:val="22"/>
        </w:rPr>
      </w:pPr>
      <w:r w:rsidRPr="00643719">
        <w:rPr>
          <w:rFonts w:ascii="Arial" w:hAnsi="Arial" w:cs="Arial"/>
          <w:sz w:val="22"/>
          <w:szCs w:val="22"/>
        </w:rPr>
        <w:t>For 2025, the loss ratio returns to 90%, but this figure should be interpreted cautiously. The year has only partially earned premium and several open claims, so additional development is expected. At this stage, the ratio simply reflects the early snapshot rather than the final picture.</w:t>
      </w:r>
    </w:p>
    <w:p w14:paraId="0F61831E" w14:textId="77777777" w:rsidR="00643719" w:rsidRPr="00643719" w:rsidRDefault="00643719" w:rsidP="00643719">
      <w:pPr>
        <w:spacing w:before="120"/>
        <w:jc w:val="both"/>
        <w:rPr>
          <w:rFonts w:ascii="Arial" w:hAnsi="Arial" w:cs="Arial"/>
          <w:sz w:val="22"/>
          <w:szCs w:val="22"/>
        </w:rPr>
      </w:pPr>
      <w:r w:rsidRPr="00643719">
        <w:rPr>
          <w:rFonts w:ascii="Arial" w:hAnsi="Arial" w:cs="Arial"/>
          <w:sz w:val="22"/>
          <w:szCs w:val="22"/>
        </w:rPr>
        <w:t>When looking at all five years together, the Medical line demonstrates the most pronounced volatility within the portfolio. The spike in 2024, combined with the immature state of 2025, suggests that Medical claims may require closer monitoring going forward, especially where severity is concerned.</w:t>
      </w:r>
    </w:p>
    <w:p w14:paraId="075D5C8A" w14:textId="2AEFBCB7" w:rsidR="00EC6044" w:rsidRDefault="00EC6044" w:rsidP="00643719">
      <w:pPr>
        <w:spacing w:before="120"/>
        <w:jc w:val="both"/>
        <w:rPr>
          <w:rFonts w:ascii="Arial" w:hAnsi="Arial" w:cs="Arial"/>
          <w:sz w:val="22"/>
          <w:szCs w:val="22"/>
        </w:rPr>
      </w:pPr>
    </w:p>
    <w:p w14:paraId="59A777D5" w14:textId="40B895A4" w:rsidR="000932AC" w:rsidRPr="00EC6044" w:rsidRDefault="000932AC" w:rsidP="000932AC">
      <w:pPr>
        <w:spacing w:after="120"/>
        <w:jc w:val="both"/>
        <w:rPr>
          <w:rFonts w:ascii="Arial" w:hAnsi="Arial" w:cs="Arial"/>
          <w:b/>
          <w:bCs/>
          <w:sz w:val="22"/>
          <w:szCs w:val="22"/>
        </w:rPr>
      </w:pPr>
      <w:r w:rsidRPr="00EC6044">
        <w:rPr>
          <w:rFonts w:ascii="Arial" w:hAnsi="Arial" w:cs="Arial"/>
          <w:b/>
          <w:bCs/>
          <w:sz w:val="22"/>
          <w:szCs w:val="22"/>
        </w:rPr>
        <w:t>3.</w:t>
      </w:r>
      <w:r>
        <w:rPr>
          <w:rFonts w:ascii="Arial" w:hAnsi="Arial" w:cs="Arial"/>
          <w:b/>
          <w:bCs/>
          <w:sz w:val="22"/>
          <w:szCs w:val="22"/>
        </w:rPr>
        <w:t>2</w:t>
      </w:r>
      <w:r w:rsidRPr="00EC6044">
        <w:rPr>
          <w:rFonts w:ascii="Arial" w:hAnsi="Arial" w:cs="Arial"/>
          <w:b/>
          <w:bCs/>
          <w:sz w:val="22"/>
          <w:szCs w:val="22"/>
        </w:rPr>
        <w:t xml:space="preserve"> </w:t>
      </w:r>
      <w:r>
        <w:rPr>
          <w:rFonts w:ascii="Arial" w:hAnsi="Arial" w:cs="Arial"/>
          <w:b/>
          <w:bCs/>
          <w:sz w:val="22"/>
          <w:szCs w:val="22"/>
        </w:rPr>
        <w:t>Motor</w:t>
      </w:r>
      <w:r w:rsidRPr="00EC6044">
        <w:rPr>
          <w:rFonts w:ascii="Arial" w:hAnsi="Arial" w:cs="Arial"/>
          <w:b/>
          <w:bCs/>
          <w:sz w:val="22"/>
          <w:szCs w:val="22"/>
        </w:rPr>
        <w:t xml:space="preserve"> Line of Business</w:t>
      </w:r>
    </w:p>
    <w:tbl>
      <w:tblPr>
        <w:tblStyle w:val="TableGrid"/>
        <w:tblW w:w="9457" w:type="dxa"/>
        <w:jc w:val="center"/>
        <w:tblLook w:val="04A0" w:firstRow="1" w:lastRow="0" w:firstColumn="1" w:lastColumn="0" w:noHBand="0" w:noVBand="1"/>
      </w:tblPr>
      <w:tblGrid>
        <w:gridCol w:w="1351"/>
        <w:gridCol w:w="1351"/>
        <w:gridCol w:w="1351"/>
        <w:gridCol w:w="1351"/>
        <w:gridCol w:w="1351"/>
        <w:gridCol w:w="1351"/>
        <w:gridCol w:w="1351"/>
      </w:tblGrid>
      <w:tr w:rsidR="000932AC" w:rsidRPr="00EC6044" w14:paraId="37007A31" w14:textId="77777777" w:rsidTr="00DD4B24">
        <w:trPr>
          <w:jc w:val="center"/>
        </w:trPr>
        <w:tc>
          <w:tcPr>
            <w:tcW w:w="1351" w:type="dxa"/>
            <w:shd w:val="clear" w:color="auto" w:fill="222A35" w:themeFill="text2" w:themeFillShade="80"/>
            <w:vAlign w:val="center"/>
            <w:hideMark/>
          </w:tcPr>
          <w:p w14:paraId="08AD076A" w14:textId="65A92320" w:rsidR="000932AC" w:rsidRPr="00EC6044" w:rsidRDefault="000932AC" w:rsidP="000932AC">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UWY</w:t>
            </w:r>
          </w:p>
        </w:tc>
        <w:tc>
          <w:tcPr>
            <w:tcW w:w="1351" w:type="dxa"/>
            <w:shd w:val="clear" w:color="auto" w:fill="222A35" w:themeFill="text2" w:themeFillShade="80"/>
            <w:vAlign w:val="center"/>
            <w:hideMark/>
          </w:tcPr>
          <w:p w14:paraId="71022999" w14:textId="1E819627" w:rsidR="000932AC" w:rsidRPr="00EC6044" w:rsidRDefault="000932AC" w:rsidP="000932AC">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Written Premium</w:t>
            </w:r>
          </w:p>
        </w:tc>
        <w:tc>
          <w:tcPr>
            <w:tcW w:w="1351" w:type="dxa"/>
            <w:shd w:val="clear" w:color="auto" w:fill="222A35" w:themeFill="text2" w:themeFillShade="80"/>
            <w:vAlign w:val="center"/>
            <w:hideMark/>
          </w:tcPr>
          <w:p w14:paraId="7B02C658" w14:textId="3C42C221" w:rsidR="000932AC" w:rsidRPr="00EC6044" w:rsidRDefault="000932AC" w:rsidP="000932AC">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Earned Premium</w:t>
            </w:r>
          </w:p>
        </w:tc>
        <w:tc>
          <w:tcPr>
            <w:tcW w:w="1351" w:type="dxa"/>
            <w:shd w:val="clear" w:color="auto" w:fill="222A35" w:themeFill="text2" w:themeFillShade="80"/>
            <w:vAlign w:val="center"/>
            <w:hideMark/>
          </w:tcPr>
          <w:p w14:paraId="3480103C" w14:textId="6C302A46" w:rsidR="000932AC" w:rsidRPr="00EC6044" w:rsidRDefault="000932AC" w:rsidP="000932AC">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Paid Claims</w:t>
            </w:r>
          </w:p>
        </w:tc>
        <w:tc>
          <w:tcPr>
            <w:tcW w:w="1351" w:type="dxa"/>
            <w:shd w:val="clear" w:color="auto" w:fill="222A35" w:themeFill="text2" w:themeFillShade="80"/>
            <w:vAlign w:val="center"/>
            <w:hideMark/>
          </w:tcPr>
          <w:p w14:paraId="2FFBA7C9" w14:textId="4117F4C3" w:rsidR="000932AC" w:rsidRPr="00EC6044" w:rsidRDefault="000932AC" w:rsidP="000932AC">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Case Reserves</w:t>
            </w:r>
          </w:p>
        </w:tc>
        <w:tc>
          <w:tcPr>
            <w:tcW w:w="1351" w:type="dxa"/>
            <w:shd w:val="clear" w:color="auto" w:fill="222A35" w:themeFill="text2" w:themeFillShade="80"/>
            <w:vAlign w:val="center"/>
            <w:hideMark/>
          </w:tcPr>
          <w:p w14:paraId="6460A9A0" w14:textId="0D0B7A09" w:rsidR="000932AC" w:rsidRPr="00EC6044" w:rsidRDefault="000932AC" w:rsidP="000932AC">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Incurred Claims</w:t>
            </w:r>
          </w:p>
        </w:tc>
        <w:tc>
          <w:tcPr>
            <w:tcW w:w="1351" w:type="dxa"/>
            <w:shd w:val="clear" w:color="auto" w:fill="222A35" w:themeFill="text2" w:themeFillShade="80"/>
            <w:vAlign w:val="center"/>
            <w:hideMark/>
          </w:tcPr>
          <w:p w14:paraId="6B5856A2" w14:textId="435FA8B4" w:rsidR="000932AC" w:rsidRPr="00EC6044" w:rsidRDefault="000932AC" w:rsidP="000932AC">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Loss Ratio</w:t>
            </w:r>
          </w:p>
        </w:tc>
      </w:tr>
      <w:tr w:rsidR="000932AC" w:rsidRPr="00EC6044" w14:paraId="39A24AC2" w14:textId="77777777" w:rsidTr="00DD4B24">
        <w:trPr>
          <w:jc w:val="center"/>
        </w:trPr>
        <w:tc>
          <w:tcPr>
            <w:tcW w:w="1351" w:type="dxa"/>
            <w:shd w:val="clear" w:color="auto" w:fill="D9D9D9" w:themeFill="background1" w:themeFillShade="D9"/>
            <w:vAlign w:val="center"/>
            <w:hideMark/>
          </w:tcPr>
          <w:p w14:paraId="285C6EA9" w14:textId="3F6113D7" w:rsidR="000932AC" w:rsidRPr="00EC6044" w:rsidRDefault="000932AC" w:rsidP="000932AC">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2021</w:t>
            </w:r>
          </w:p>
        </w:tc>
        <w:tc>
          <w:tcPr>
            <w:tcW w:w="1351" w:type="dxa"/>
            <w:vAlign w:val="center"/>
            <w:hideMark/>
          </w:tcPr>
          <w:p w14:paraId="7D0E2075" w14:textId="4321F272"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$ 5,050</w:t>
            </w:r>
          </w:p>
        </w:tc>
        <w:tc>
          <w:tcPr>
            <w:tcW w:w="1351" w:type="dxa"/>
            <w:vAlign w:val="center"/>
            <w:hideMark/>
          </w:tcPr>
          <w:p w14:paraId="22002B42" w14:textId="3779DE8A"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$ 5,050</w:t>
            </w:r>
          </w:p>
        </w:tc>
        <w:tc>
          <w:tcPr>
            <w:tcW w:w="1351" w:type="dxa"/>
            <w:vAlign w:val="center"/>
            <w:hideMark/>
          </w:tcPr>
          <w:p w14:paraId="7B88351A" w14:textId="18D1A8B6"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$ 4,450</w:t>
            </w:r>
          </w:p>
        </w:tc>
        <w:tc>
          <w:tcPr>
            <w:tcW w:w="1351" w:type="dxa"/>
            <w:vAlign w:val="center"/>
            <w:hideMark/>
          </w:tcPr>
          <w:p w14:paraId="336A1424" w14:textId="6A69F71C" w:rsidR="000932AC" w:rsidRPr="00EC6044" w:rsidRDefault="000932AC" w:rsidP="000932AC">
            <w:pPr>
              <w:spacing w:before="80" w:after="80"/>
              <w:jc w:val="center"/>
              <w:rPr>
                <w:rFonts w:asciiTheme="minorBidi" w:hAnsiTheme="minorBidi" w:cstheme="minorBidi"/>
                <w:sz w:val="22"/>
                <w:szCs w:val="22"/>
              </w:rPr>
            </w:pPr>
            <w:r>
              <w:rPr>
                <w:rFonts w:asciiTheme="minorBidi" w:hAnsiTheme="minorBidi" w:cstheme="minorBidi"/>
                <w:sz w:val="22"/>
                <w:szCs w:val="22"/>
              </w:rPr>
              <w:t>-</w:t>
            </w:r>
          </w:p>
        </w:tc>
        <w:tc>
          <w:tcPr>
            <w:tcW w:w="1351" w:type="dxa"/>
            <w:vAlign w:val="center"/>
            <w:hideMark/>
          </w:tcPr>
          <w:p w14:paraId="07937FEC" w14:textId="52D4EF59"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$ 4,450</w:t>
            </w:r>
          </w:p>
        </w:tc>
        <w:tc>
          <w:tcPr>
            <w:tcW w:w="1351" w:type="dxa"/>
            <w:vAlign w:val="center"/>
            <w:hideMark/>
          </w:tcPr>
          <w:p w14:paraId="409F4837" w14:textId="65ACDCE7"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88 %</w:t>
            </w:r>
          </w:p>
        </w:tc>
      </w:tr>
      <w:tr w:rsidR="000932AC" w:rsidRPr="00EC6044" w14:paraId="232CD4B8" w14:textId="77777777" w:rsidTr="00DD4B24">
        <w:trPr>
          <w:jc w:val="center"/>
        </w:trPr>
        <w:tc>
          <w:tcPr>
            <w:tcW w:w="1351" w:type="dxa"/>
            <w:shd w:val="clear" w:color="auto" w:fill="D9D9D9" w:themeFill="background1" w:themeFillShade="D9"/>
            <w:vAlign w:val="center"/>
            <w:hideMark/>
          </w:tcPr>
          <w:p w14:paraId="221ADA15" w14:textId="233BC158" w:rsidR="000932AC" w:rsidRPr="00EC6044" w:rsidRDefault="000932AC" w:rsidP="000932AC">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2022</w:t>
            </w:r>
          </w:p>
        </w:tc>
        <w:tc>
          <w:tcPr>
            <w:tcW w:w="1351" w:type="dxa"/>
            <w:vAlign w:val="center"/>
            <w:hideMark/>
          </w:tcPr>
          <w:p w14:paraId="7B2D16CA" w14:textId="1173C907"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$ 4,850</w:t>
            </w:r>
          </w:p>
        </w:tc>
        <w:tc>
          <w:tcPr>
            <w:tcW w:w="1351" w:type="dxa"/>
            <w:vAlign w:val="center"/>
            <w:hideMark/>
          </w:tcPr>
          <w:p w14:paraId="0BD0484F" w14:textId="234C9ACA"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$ 4,850</w:t>
            </w:r>
          </w:p>
        </w:tc>
        <w:tc>
          <w:tcPr>
            <w:tcW w:w="1351" w:type="dxa"/>
            <w:vAlign w:val="center"/>
            <w:hideMark/>
          </w:tcPr>
          <w:p w14:paraId="5072BB2A" w14:textId="057F2AF3"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$ 4,250</w:t>
            </w:r>
          </w:p>
        </w:tc>
        <w:tc>
          <w:tcPr>
            <w:tcW w:w="1351" w:type="dxa"/>
            <w:vAlign w:val="center"/>
            <w:hideMark/>
          </w:tcPr>
          <w:p w14:paraId="5C832A80" w14:textId="2651E654" w:rsidR="000932AC" w:rsidRPr="000932AC" w:rsidRDefault="000932AC" w:rsidP="000932AC">
            <w:pPr>
              <w:spacing w:before="80" w:after="80"/>
              <w:jc w:val="center"/>
              <w:rPr>
                <w:rFonts w:asciiTheme="minorBidi" w:hAnsiTheme="minorBidi" w:cstheme="minorBidi"/>
                <w:sz w:val="22"/>
                <w:szCs w:val="22"/>
              </w:rPr>
            </w:pPr>
            <w:r>
              <w:rPr>
                <w:rFonts w:asciiTheme="minorBidi" w:hAnsiTheme="minorBidi" w:cstheme="minorBidi"/>
                <w:sz w:val="22"/>
                <w:szCs w:val="22"/>
              </w:rPr>
              <w:t>-</w:t>
            </w:r>
          </w:p>
        </w:tc>
        <w:tc>
          <w:tcPr>
            <w:tcW w:w="1351" w:type="dxa"/>
            <w:vAlign w:val="center"/>
            <w:hideMark/>
          </w:tcPr>
          <w:p w14:paraId="2F024E16" w14:textId="300B2115"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$ 4,250</w:t>
            </w:r>
          </w:p>
        </w:tc>
        <w:tc>
          <w:tcPr>
            <w:tcW w:w="1351" w:type="dxa"/>
            <w:vAlign w:val="center"/>
            <w:hideMark/>
          </w:tcPr>
          <w:p w14:paraId="067A76D1" w14:textId="5AFA0645"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88 %</w:t>
            </w:r>
          </w:p>
        </w:tc>
      </w:tr>
      <w:tr w:rsidR="000932AC" w:rsidRPr="00EC6044" w14:paraId="4DD3BFD4" w14:textId="77777777" w:rsidTr="00DD4B24">
        <w:trPr>
          <w:jc w:val="center"/>
        </w:trPr>
        <w:tc>
          <w:tcPr>
            <w:tcW w:w="1351" w:type="dxa"/>
            <w:shd w:val="clear" w:color="auto" w:fill="D9D9D9" w:themeFill="background1" w:themeFillShade="D9"/>
            <w:vAlign w:val="center"/>
            <w:hideMark/>
          </w:tcPr>
          <w:p w14:paraId="09E95171" w14:textId="649AE361" w:rsidR="000932AC" w:rsidRPr="00EC6044" w:rsidRDefault="000932AC" w:rsidP="000932AC">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2023</w:t>
            </w:r>
          </w:p>
        </w:tc>
        <w:tc>
          <w:tcPr>
            <w:tcW w:w="1351" w:type="dxa"/>
            <w:vAlign w:val="center"/>
            <w:hideMark/>
          </w:tcPr>
          <w:p w14:paraId="56E6112D" w14:textId="3C3ADCA8"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$ 5,000</w:t>
            </w:r>
          </w:p>
        </w:tc>
        <w:tc>
          <w:tcPr>
            <w:tcW w:w="1351" w:type="dxa"/>
            <w:vAlign w:val="center"/>
            <w:hideMark/>
          </w:tcPr>
          <w:p w14:paraId="532DBCDE" w14:textId="009EDA04"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$ 5,000</w:t>
            </w:r>
          </w:p>
        </w:tc>
        <w:tc>
          <w:tcPr>
            <w:tcW w:w="1351" w:type="dxa"/>
            <w:vAlign w:val="center"/>
            <w:hideMark/>
          </w:tcPr>
          <w:p w14:paraId="1CB38278" w14:textId="4EDEE5D4"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$ 3,150</w:t>
            </w:r>
          </w:p>
        </w:tc>
        <w:tc>
          <w:tcPr>
            <w:tcW w:w="1351" w:type="dxa"/>
            <w:vAlign w:val="center"/>
            <w:hideMark/>
          </w:tcPr>
          <w:p w14:paraId="2DA0E5B3" w14:textId="708AFA7F"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$ 450</w:t>
            </w:r>
          </w:p>
        </w:tc>
        <w:tc>
          <w:tcPr>
            <w:tcW w:w="1351" w:type="dxa"/>
            <w:vAlign w:val="center"/>
            <w:hideMark/>
          </w:tcPr>
          <w:p w14:paraId="1098CF09" w14:textId="31EE0C30"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$ 3,600</w:t>
            </w:r>
          </w:p>
        </w:tc>
        <w:tc>
          <w:tcPr>
            <w:tcW w:w="1351" w:type="dxa"/>
            <w:vAlign w:val="center"/>
            <w:hideMark/>
          </w:tcPr>
          <w:p w14:paraId="514B38ED" w14:textId="4FD396D6"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72 %</w:t>
            </w:r>
          </w:p>
        </w:tc>
      </w:tr>
      <w:tr w:rsidR="000932AC" w:rsidRPr="00EC6044" w14:paraId="3E960175" w14:textId="77777777" w:rsidTr="00DD4B24">
        <w:trPr>
          <w:jc w:val="center"/>
        </w:trPr>
        <w:tc>
          <w:tcPr>
            <w:tcW w:w="1351" w:type="dxa"/>
            <w:shd w:val="clear" w:color="auto" w:fill="D9D9D9" w:themeFill="background1" w:themeFillShade="D9"/>
            <w:vAlign w:val="center"/>
            <w:hideMark/>
          </w:tcPr>
          <w:p w14:paraId="4F72F8CA" w14:textId="757F84E8" w:rsidR="000932AC" w:rsidRPr="00EC6044" w:rsidRDefault="000932AC" w:rsidP="000932AC">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2024</w:t>
            </w:r>
          </w:p>
        </w:tc>
        <w:tc>
          <w:tcPr>
            <w:tcW w:w="1351" w:type="dxa"/>
            <w:vAlign w:val="center"/>
            <w:hideMark/>
          </w:tcPr>
          <w:p w14:paraId="08BF2FE2" w14:textId="715895FF"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$ 7,800</w:t>
            </w:r>
          </w:p>
        </w:tc>
        <w:tc>
          <w:tcPr>
            <w:tcW w:w="1351" w:type="dxa"/>
            <w:vAlign w:val="center"/>
            <w:hideMark/>
          </w:tcPr>
          <w:p w14:paraId="299CA40E" w14:textId="248519DC"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$ 7,482</w:t>
            </w:r>
          </w:p>
        </w:tc>
        <w:tc>
          <w:tcPr>
            <w:tcW w:w="1351" w:type="dxa"/>
            <w:vAlign w:val="center"/>
            <w:hideMark/>
          </w:tcPr>
          <w:p w14:paraId="794E7457" w14:textId="5BEAB99E"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$ 3,600</w:t>
            </w:r>
          </w:p>
        </w:tc>
        <w:tc>
          <w:tcPr>
            <w:tcW w:w="1351" w:type="dxa"/>
            <w:vAlign w:val="center"/>
            <w:hideMark/>
          </w:tcPr>
          <w:p w14:paraId="51D223D7" w14:textId="6313E180"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$ 1,450</w:t>
            </w:r>
          </w:p>
        </w:tc>
        <w:tc>
          <w:tcPr>
            <w:tcW w:w="1351" w:type="dxa"/>
            <w:vAlign w:val="center"/>
            <w:hideMark/>
          </w:tcPr>
          <w:p w14:paraId="05B5E13A" w14:textId="0E68E37D"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$ 5,050</w:t>
            </w:r>
          </w:p>
        </w:tc>
        <w:tc>
          <w:tcPr>
            <w:tcW w:w="1351" w:type="dxa"/>
            <w:vAlign w:val="center"/>
            <w:hideMark/>
          </w:tcPr>
          <w:p w14:paraId="2D8E13B0" w14:textId="3B0D5C17"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67 %</w:t>
            </w:r>
          </w:p>
        </w:tc>
      </w:tr>
      <w:tr w:rsidR="000932AC" w:rsidRPr="00EC6044" w14:paraId="2C9D1216" w14:textId="77777777" w:rsidTr="00DD4B24">
        <w:trPr>
          <w:jc w:val="center"/>
        </w:trPr>
        <w:tc>
          <w:tcPr>
            <w:tcW w:w="1351" w:type="dxa"/>
            <w:shd w:val="clear" w:color="auto" w:fill="D9D9D9" w:themeFill="background1" w:themeFillShade="D9"/>
            <w:vAlign w:val="center"/>
            <w:hideMark/>
          </w:tcPr>
          <w:p w14:paraId="1BC2BA07" w14:textId="36305030" w:rsidR="000932AC" w:rsidRPr="00EC6044" w:rsidRDefault="000932AC" w:rsidP="000932AC">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2025</w:t>
            </w:r>
          </w:p>
        </w:tc>
        <w:tc>
          <w:tcPr>
            <w:tcW w:w="1351" w:type="dxa"/>
            <w:vAlign w:val="center"/>
            <w:hideMark/>
          </w:tcPr>
          <w:p w14:paraId="18674DD3" w14:textId="4F262550"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$ 5,150</w:t>
            </w:r>
          </w:p>
        </w:tc>
        <w:tc>
          <w:tcPr>
            <w:tcW w:w="1351" w:type="dxa"/>
            <w:vAlign w:val="center"/>
            <w:hideMark/>
          </w:tcPr>
          <w:p w14:paraId="4E2162BB" w14:textId="0DCFA87D"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$ 2,029</w:t>
            </w:r>
          </w:p>
        </w:tc>
        <w:tc>
          <w:tcPr>
            <w:tcW w:w="1351" w:type="dxa"/>
            <w:vAlign w:val="center"/>
            <w:hideMark/>
          </w:tcPr>
          <w:p w14:paraId="71D579EB" w14:textId="1EB5F780"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$ 1,050</w:t>
            </w:r>
          </w:p>
        </w:tc>
        <w:tc>
          <w:tcPr>
            <w:tcW w:w="1351" w:type="dxa"/>
            <w:vAlign w:val="center"/>
            <w:hideMark/>
          </w:tcPr>
          <w:p w14:paraId="25B33258" w14:textId="72E4C0C2"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$ 650</w:t>
            </w:r>
          </w:p>
        </w:tc>
        <w:tc>
          <w:tcPr>
            <w:tcW w:w="1351" w:type="dxa"/>
            <w:vAlign w:val="center"/>
            <w:hideMark/>
          </w:tcPr>
          <w:p w14:paraId="669F2B1D" w14:textId="0F92EDAB"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$ 1,700</w:t>
            </w:r>
          </w:p>
        </w:tc>
        <w:tc>
          <w:tcPr>
            <w:tcW w:w="1351" w:type="dxa"/>
            <w:vAlign w:val="center"/>
            <w:hideMark/>
          </w:tcPr>
          <w:p w14:paraId="0345ECE0" w14:textId="2F43D4EB" w:rsidR="000932AC" w:rsidRPr="00EC6044" w:rsidRDefault="000932AC" w:rsidP="000932AC">
            <w:pPr>
              <w:spacing w:before="80" w:after="80"/>
              <w:jc w:val="center"/>
              <w:rPr>
                <w:rFonts w:asciiTheme="minorBidi" w:hAnsiTheme="minorBidi" w:cstheme="minorBidi"/>
                <w:sz w:val="22"/>
                <w:szCs w:val="22"/>
              </w:rPr>
            </w:pPr>
            <w:r w:rsidRPr="000932AC">
              <w:rPr>
                <w:rFonts w:asciiTheme="minorBidi" w:hAnsiTheme="minorBidi" w:cstheme="minorBidi"/>
                <w:sz w:val="22"/>
                <w:szCs w:val="22"/>
              </w:rPr>
              <w:t>84 %</w:t>
            </w:r>
          </w:p>
        </w:tc>
      </w:tr>
    </w:tbl>
    <w:p w14:paraId="20CB9F20" w14:textId="4CDD3979" w:rsidR="000932AC" w:rsidRDefault="000932AC" w:rsidP="000932AC">
      <w:pPr>
        <w:spacing w:before="80"/>
        <w:jc w:val="center"/>
        <w:rPr>
          <w:rFonts w:ascii="Arial" w:hAnsi="Arial" w:cs="Arial"/>
          <w:b/>
          <w:bCs/>
          <w:sz w:val="18"/>
          <w:szCs w:val="18"/>
        </w:rPr>
      </w:pPr>
      <w:r w:rsidRPr="00EC6044">
        <w:rPr>
          <w:rFonts w:ascii="Arial" w:hAnsi="Arial" w:cs="Arial"/>
          <w:b/>
          <w:bCs/>
          <w:sz w:val="18"/>
          <w:szCs w:val="18"/>
        </w:rPr>
        <w:t xml:space="preserve">Table </w:t>
      </w:r>
      <w:r>
        <w:rPr>
          <w:rFonts w:ascii="Arial" w:hAnsi="Arial" w:cs="Arial"/>
          <w:b/>
          <w:bCs/>
          <w:sz w:val="18"/>
          <w:szCs w:val="18"/>
        </w:rPr>
        <w:t>2.2 -</w:t>
      </w:r>
      <w:r w:rsidRPr="00EC6044">
        <w:rPr>
          <w:rFonts w:ascii="Arial" w:hAnsi="Arial" w:cs="Arial"/>
          <w:b/>
          <w:bCs/>
          <w:sz w:val="18"/>
          <w:szCs w:val="18"/>
        </w:rPr>
        <w:t xml:space="preserve"> </w:t>
      </w:r>
      <w:r>
        <w:rPr>
          <w:rFonts w:ascii="Arial" w:hAnsi="Arial" w:cs="Arial"/>
          <w:b/>
          <w:bCs/>
          <w:sz w:val="18"/>
          <w:szCs w:val="18"/>
        </w:rPr>
        <w:t>Motor</w:t>
      </w:r>
      <w:r w:rsidRPr="00EC6044">
        <w:rPr>
          <w:rFonts w:ascii="Arial" w:hAnsi="Arial" w:cs="Arial"/>
          <w:b/>
          <w:bCs/>
          <w:sz w:val="18"/>
          <w:szCs w:val="18"/>
        </w:rPr>
        <w:t xml:space="preserve"> Line of Business </w:t>
      </w:r>
      <w:r>
        <w:rPr>
          <w:rFonts w:ascii="Arial" w:hAnsi="Arial" w:cs="Arial"/>
          <w:b/>
          <w:bCs/>
          <w:sz w:val="18"/>
          <w:szCs w:val="18"/>
        </w:rPr>
        <w:t>Summary</w:t>
      </w:r>
    </w:p>
    <w:p w14:paraId="7CDD8796" w14:textId="453A73CB" w:rsidR="000932AC" w:rsidRDefault="000932AC" w:rsidP="00EC6044">
      <w:pPr>
        <w:spacing w:before="80"/>
        <w:rPr>
          <w:rFonts w:ascii="Arial" w:hAnsi="Arial" w:cs="Arial"/>
          <w:sz w:val="22"/>
          <w:szCs w:val="22"/>
        </w:rPr>
      </w:pPr>
    </w:p>
    <w:p w14:paraId="4AD0E2DC" w14:textId="5AE7070E" w:rsidR="00F116C6" w:rsidRDefault="00F116C6" w:rsidP="00F116C6">
      <w:pPr>
        <w:spacing w:before="120"/>
        <w:jc w:val="both"/>
        <w:rPr>
          <w:rFonts w:ascii="Arial" w:hAnsi="Arial" w:cs="Arial"/>
          <w:sz w:val="22"/>
          <w:szCs w:val="22"/>
        </w:rPr>
      </w:pPr>
      <w:r w:rsidRPr="00F116C6">
        <w:rPr>
          <w:rFonts w:ascii="Arial" w:hAnsi="Arial" w:cs="Arial"/>
          <w:sz w:val="22"/>
          <w:szCs w:val="22"/>
        </w:rPr>
        <w:t>The Motor line presents a more stable pattern overall. Loss ratios remain at 88% in both 2021 and 2022, reflecting predictable claim activity during these years. In 2023, the ratio improves to 72%, supported by relatively lower incurred claims compared to premium. A similar improvement is seen in 2024, where the loss ratio drops further to 67%. Despite the increase in written premium that year, claims remained well controlled</w:t>
      </w:r>
      <w:r>
        <w:rPr>
          <w:rFonts w:ascii="Arial" w:hAnsi="Arial" w:cs="Arial"/>
          <w:sz w:val="22"/>
          <w:szCs w:val="22"/>
        </w:rPr>
        <w:t>.</w:t>
      </w:r>
    </w:p>
    <w:p w14:paraId="7E21D789" w14:textId="13C36A47" w:rsidR="000932AC" w:rsidRPr="000932AC" w:rsidRDefault="000932AC" w:rsidP="00F116C6">
      <w:pPr>
        <w:spacing w:before="120"/>
        <w:jc w:val="both"/>
        <w:rPr>
          <w:rFonts w:ascii="Arial" w:hAnsi="Arial" w:cs="Arial"/>
          <w:sz w:val="22"/>
          <w:szCs w:val="22"/>
        </w:rPr>
      </w:pPr>
      <w:r w:rsidRPr="000932AC">
        <w:rPr>
          <w:rFonts w:ascii="Arial" w:hAnsi="Arial" w:cs="Arial"/>
          <w:sz w:val="22"/>
          <w:szCs w:val="22"/>
        </w:rPr>
        <w:t>In 2025, the loss ratio increases to 84%. Since the year is still immature and only part of the premium has been earned, this result should be interpreted with caution. Additional claim development may shift the ratio as the year matures.</w:t>
      </w:r>
    </w:p>
    <w:p w14:paraId="6E790F94" w14:textId="1236C1B2" w:rsidR="000932AC" w:rsidRDefault="00F116C6" w:rsidP="00F116C6">
      <w:pPr>
        <w:spacing w:before="80"/>
        <w:jc w:val="both"/>
        <w:rPr>
          <w:rFonts w:ascii="Arial" w:hAnsi="Arial" w:cs="Arial"/>
          <w:sz w:val="22"/>
          <w:szCs w:val="22"/>
        </w:rPr>
      </w:pPr>
      <w:r w:rsidRPr="00F116C6">
        <w:rPr>
          <w:rFonts w:ascii="Arial" w:hAnsi="Arial" w:cs="Arial"/>
          <w:sz w:val="22"/>
          <w:szCs w:val="22"/>
        </w:rPr>
        <w:lastRenderedPageBreak/>
        <w:t>Compared to the Medical line, Motor results show less volatility and a more consistent trend over time. The improvements in 2023 and 2024 suggest favorable performance, even though the early indication for 2025 shows a slight reversal.</w:t>
      </w:r>
    </w:p>
    <w:p w14:paraId="59B17725" w14:textId="77777777" w:rsidR="00F116C6" w:rsidRDefault="00F116C6" w:rsidP="00F116C6">
      <w:pPr>
        <w:spacing w:before="80"/>
        <w:jc w:val="both"/>
        <w:rPr>
          <w:rFonts w:ascii="Arial" w:hAnsi="Arial" w:cs="Arial"/>
          <w:sz w:val="22"/>
          <w:szCs w:val="22"/>
        </w:rPr>
      </w:pPr>
    </w:p>
    <w:p w14:paraId="1B83444A" w14:textId="676E4AE2" w:rsidR="00614705" w:rsidRPr="00F116C6" w:rsidRDefault="00614705" w:rsidP="00F116C6">
      <w:pPr>
        <w:rPr>
          <w:rFonts w:ascii="Arial" w:hAnsi="Arial" w:cs="Arial"/>
          <w:sz w:val="22"/>
          <w:szCs w:val="22"/>
        </w:rPr>
      </w:pPr>
      <w:r w:rsidRPr="00614705">
        <w:rPr>
          <w:rFonts w:ascii="Arial" w:hAnsi="Arial" w:cs="Arial"/>
          <w:b/>
          <w:bCs/>
          <w:sz w:val="22"/>
          <w:szCs w:val="22"/>
        </w:rPr>
        <w:t>3.3 Property Line of Business</w:t>
      </w:r>
    </w:p>
    <w:p w14:paraId="692A8224" w14:textId="77777777" w:rsidR="00614705" w:rsidRDefault="00614705" w:rsidP="00614705">
      <w:pPr>
        <w:spacing w:before="80"/>
        <w:jc w:val="both"/>
        <w:rPr>
          <w:rFonts w:ascii="Arial" w:hAnsi="Arial" w:cs="Arial"/>
          <w:b/>
          <w:bCs/>
          <w:sz w:val="22"/>
          <w:szCs w:val="22"/>
        </w:rPr>
      </w:pPr>
    </w:p>
    <w:tbl>
      <w:tblPr>
        <w:tblStyle w:val="TableGrid"/>
        <w:tblW w:w="9457" w:type="dxa"/>
        <w:jc w:val="center"/>
        <w:tblLook w:val="04A0" w:firstRow="1" w:lastRow="0" w:firstColumn="1" w:lastColumn="0" w:noHBand="0" w:noVBand="1"/>
      </w:tblPr>
      <w:tblGrid>
        <w:gridCol w:w="1351"/>
        <w:gridCol w:w="1351"/>
        <w:gridCol w:w="1351"/>
        <w:gridCol w:w="1351"/>
        <w:gridCol w:w="1351"/>
        <w:gridCol w:w="1351"/>
        <w:gridCol w:w="1351"/>
      </w:tblGrid>
      <w:tr w:rsidR="00614705" w:rsidRPr="00EC6044" w14:paraId="4C95800A" w14:textId="77777777" w:rsidTr="00614705">
        <w:trPr>
          <w:jc w:val="center"/>
        </w:trPr>
        <w:tc>
          <w:tcPr>
            <w:tcW w:w="1351" w:type="dxa"/>
            <w:shd w:val="clear" w:color="auto" w:fill="222A35" w:themeFill="text2" w:themeFillShade="80"/>
            <w:vAlign w:val="center"/>
            <w:hideMark/>
          </w:tcPr>
          <w:p w14:paraId="0A381536" w14:textId="77777777" w:rsidR="00614705" w:rsidRPr="00EC6044" w:rsidRDefault="00614705" w:rsidP="00DD4B24">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UWY</w:t>
            </w:r>
          </w:p>
        </w:tc>
        <w:tc>
          <w:tcPr>
            <w:tcW w:w="1351" w:type="dxa"/>
            <w:shd w:val="clear" w:color="auto" w:fill="222A35" w:themeFill="text2" w:themeFillShade="80"/>
            <w:vAlign w:val="center"/>
            <w:hideMark/>
          </w:tcPr>
          <w:p w14:paraId="24926128" w14:textId="77777777" w:rsidR="00614705" w:rsidRPr="00EC6044" w:rsidRDefault="00614705" w:rsidP="00DD4B24">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Written Premium</w:t>
            </w:r>
          </w:p>
        </w:tc>
        <w:tc>
          <w:tcPr>
            <w:tcW w:w="1351" w:type="dxa"/>
            <w:shd w:val="clear" w:color="auto" w:fill="222A35" w:themeFill="text2" w:themeFillShade="80"/>
            <w:vAlign w:val="center"/>
            <w:hideMark/>
          </w:tcPr>
          <w:p w14:paraId="1EA5F946" w14:textId="77777777" w:rsidR="00614705" w:rsidRPr="00EC6044" w:rsidRDefault="00614705" w:rsidP="00DD4B24">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Earned Premium</w:t>
            </w:r>
          </w:p>
        </w:tc>
        <w:tc>
          <w:tcPr>
            <w:tcW w:w="1351" w:type="dxa"/>
            <w:shd w:val="clear" w:color="auto" w:fill="222A35" w:themeFill="text2" w:themeFillShade="80"/>
            <w:vAlign w:val="center"/>
            <w:hideMark/>
          </w:tcPr>
          <w:p w14:paraId="6058BFAE" w14:textId="77777777" w:rsidR="00614705" w:rsidRPr="00EC6044" w:rsidRDefault="00614705" w:rsidP="00DD4B24">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Paid Claims</w:t>
            </w:r>
          </w:p>
        </w:tc>
        <w:tc>
          <w:tcPr>
            <w:tcW w:w="1351" w:type="dxa"/>
            <w:shd w:val="clear" w:color="auto" w:fill="222A35" w:themeFill="text2" w:themeFillShade="80"/>
            <w:vAlign w:val="center"/>
            <w:hideMark/>
          </w:tcPr>
          <w:p w14:paraId="47BE5A77" w14:textId="77777777" w:rsidR="00614705" w:rsidRPr="00EC6044" w:rsidRDefault="00614705" w:rsidP="00DD4B24">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Case Reserves</w:t>
            </w:r>
          </w:p>
        </w:tc>
        <w:tc>
          <w:tcPr>
            <w:tcW w:w="1351" w:type="dxa"/>
            <w:shd w:val="clear" w:color="auto" w:fill="222A35" w:themeFill="text2" w:themeFillShade="80"/>
            <w:vAlign w:val="center"/>
            <w:hideMark/>
          </w:tcPr>
          <w:p w14:paraId="6CA1626A" w14:textId="77777777" w:rsidR="00614705" w:rsidRPr="00EC6044" w:rsidRDefault="00614705" w:rsidP="00DD4B24">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Incurred Claims</w:t>
            </w:r>
          </w:p>
        </w:tc>
        <w:tc>
          <w:tcPr>
            <w:tcW w:w="1351" w:type="dxa"/>
            <w:shd w:val="clear" w:color="auto" w:fill="222A35" w:themeFill="text2" w:themeFillShade="80"/>
            <w:vAlign w:val="center"/>
            <w:hideMark/>
          </w:tcPr>
          <w:p w14:paraId="06497EE3" w14:textId="77777777" w:rsidR="00614705" w:rsidRPr="00EC6044" w:rsidRDefault="00614705" w:rsidP="00DD4B24">
            <w:pPr>
              <w:spacing w:before="80" w:after="80"/>
              <w:jc w:val="center"/>
              <w:rPr>
                <w:rFonts w:asciiTheme="minorBidi" w:hAnsiTheme="minorBidi" w:cstheme="minorBidi"/>
                <w:b/>
                <w:bCs/>
                <w:color w:val="FFFFFF" w:themeColor="background1"/>
                <w:sz w:val="22"/>
                <w:szCs w:val="22"/>
              </w:rPr>
            </w:pPr>
            <w:r w:rsidRPr="000932AC">
              <w:rPr>
                <w:rStyle w:val="Strong"/>
                <w:rFonts w:asciiTheme="minorBidi" w:hAnsiTheme="minorBidi" w:cstheme="minorBidi"/>
                <w:sz w:val="22"/>
                <w:szCs w:val="22"/>
              </w:rPr>
              <w:t>Loss Ratio</w:t>
            </w:r>
          </w:p>
        </w:tc>
      </w:tr>
      <w:tr w:rsidR="00614705" w:rsidRPr="00EC6044" w14:paraId="5C447354" w14:textId="77777777" w:rsidTr="00614705">
        <w:trPr>
          <w:jc w:val="center"/>
        </w:trPr>
        <w:tc>
          <w:tcPr>
            <w:tcW w:w="1351" w:type="dxa"/>
            <w:shd w:val="clear" w:color="auto" w:fill="D9D9D9" w:themeFill="background1" w:themeFillShade="D9"/>
            <w:vAlign w:val="center"/>
            <w:hideMark/>
          </w:tcPr>
          <w:p w14:paraId="1E5DD49B" w14:textId="77777777" w:rsidR="00614705" w:rsidRPr="00EC6044" w:rsidRDefault="00614705" w:rsidP="00614705">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2021</w:t>
            </w:r>
          </w:p>
        </w:tc>
        <w:tc>
          <w:tcPr>
            <w:tcW w:w="1351" w:type="dxa"/>
            <w:vAlign w:val="center"/>
            <w:hideMark/>
          </w:tcPr>
          <w:p w14:paraId="10B1F10A" w14:textId="34649431"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$ 7,300</w:t>
            </w:r>
          </w:p>
        </w:tc>
        <w:tc>
          <w:tcPr>
            <w:tcW w:w="1351" w:type="dxa"/>
            <w:vAlign w:val="center"/>
            <w:hideMark/>
          </w:tcPr>
          <w:p w14:paraId="1578BEFD" w14:textId="2A40666E"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$ 7,300</w:t>
            </w:r>
          </w:p>
        </w:tc>
        <w:tc>
          <w:tcPr>
            <w:tcW w:w="1351" w:type="dxa"/>
            <w:vAlign w:val="center"/>
            <w:hideMark/>
          </w:tcPr>
          <w:p w14:paraId="5443A5C8" w14:textId="20584C45"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$ 2,500</w:t>
            </w:r>
          </w:p>
        </w:tc>
        <w:tc>
          <w:tcPr>
            <w:tcW w:w="1351" w:type="dxa"/>
            <w:vAlign w:val="center"/>
            <w:hideMark/>
          </w:tcPr>
          <w:p w14:paraId="423BDA80" w14:textId="28B9652B"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w:t>
            </w:r>
          </w:p>
        </w:tc>
        <w:tc>
          <w:tcPr>
            <w:tcW w:w="1351" w:type="dxa"/>
            <w:vAlign w:val="center"/>
            <w:hideMark/>
          </w:tcPr>
          <w:p w14:paraId="0D3A291C" w14:textId="7FB22B93"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$ 2,500</w:t>
            </w:r>
          </w:p>
        </w:tc>
        <w:tc>
          <w:tcPr>
            <w:tcW w:w="1351" w:type="dxa"/>
            <w:vAlign w:val="center"/>
            <w:hideMark/>
          </w:tcPr>
          <w:p w14:paraId="0B47CB07" w14:textId="0A3CE910"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34 %</w:t>
            </w:r>
          </w:p>
        </w:tc>
      </w:tr>
      <w:tr w:rsidR="00614705" w:rsidRPr="00EC6044" w14:paraId="2B6BD61C" w14:textId="77777777" w:rsidTr="00614705">
        <w:trPr>
          <w:jc w:val="center"/>
        </w:trPr>
        <w:tc>
          <w:tcPr>
            <w:tcW w:w="1351" w:type="dxa"/>
            <w:shd w:val="clear" w:color="auto" w:fill="D9D9D9" w:themeFill="background1" w:themeFillShade="D9"/>
            <w:vAlign w:val="center"/>
            <w:hideMark/>
          </w:tcPr>
          <w:p w14:paraId="490948AA" w14:textId="77777777" w:rsidR="00614705" w:rsidRPr="00EC6044" w:rsidRDefault="00614705" w:rsidP="00614705">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2022</w:t>
            </w:r>
          </w:p>
        </w:tc>
        <w:tc>
          <w:tcPr>
            <w:tcW w:w="1351" w:type="dxa"/>
            <w:vAlign w:val="center"/>
            <w:hideMark/>
          </w:tcPr>
          <w:p w14:paraId="043571DC" w14:textId="040586DF"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$ 17,700</w:t>
            </w:r>
          </w:p>
        </w:tc>
        <w:tc>
          <w:tcPr>
            <w:tcW w:w="1351" w:type="dxa"/>
            <w:vAlign w:val="center"/>
            <w:hideMark/>
          </w:tcPr>
          <w:p w14:paraId="115DBF12" w14:textId="0AA6DCEE"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$ 17,700</w:t>
            </w:r>
          </w:p>
        </w:tc>
        <w:tc>
          <w:tcPr>
            <w:tcW w:w="1351" w:type="dxa"/>
            <w:vAlign w:val="center"/>
            <w:hideMark/>
          </w:tcPr>
          <w:p w14:paraId="5477C737" w14:textId="5A5E551A"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$ 4,400</w:t>
            </w:r>
          </w:p>
        </w:tc>
        <w:tc>
          <w:tcPr>
            <w:tcW w:w="1351" w:type="dxa"/>
            <w:vAlign w:val="center"/>
            <w:hideMark/>
          </w:tcPr>
          <w:p w14:paraId="1222733B" w14:textId="705EA1EE" w:rsidR="00614705" w:rsidRPr="00614705" w:rsidRDefault="00614705" w:rsidP="00614705">
            <w:pPr>
              <w:spacing w:before="80" w:after="80"/>
              <w:jc w:val="center"/>
              <w:rPr>
                <w:rFonts w:ascii="Arial" w:hAnsi="Arial" w:cs="Arial"/>
                <w:sz w:val="22"/>
                <w:szCs w:val="22"/>
              </w:rPr>
            </w:pPr>
            <w:r w:rsidRPr="00614705">
              <w:rPr>
                <w:rFonts w:ascii="Arial" w:hAnsi="Arial" w:cs="Arial"/>
                <w:sz w:val="22"/>
                <w:szCs w:val="22"/>
              </w:rPr>
              <w:t>$ 2,800</w:t>
            </w:r>
          </w:p>
        </w:tc>
        <w:tc>
          <w:tcPr>
            <w:tcW w:w="1351" w:type="dxa"/>
            <w:vAlign w:val="center"/>
            <w:hideMark/>
          </w:tcPr>
          <w:p w14:paraId="4EAB67A3" w14:textId="69EC0581"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$ 7,200</w:t>
            </w:r>
          </w:p>
        </w:tc>
        <w:tc>
          <w:tcPr>
            <w:tcW w:w="1351" w:type="dxa"/>
            <w:vAlign w:val="center"/>
            <w:hideMark/>
          </w:tcPr>
          <w:p w14:paraId="20B3C3D0" w14:textId="6550C429"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41 %</w:t>
            </w:r>
          </w:p>
        </w:tc>
      </w:tr>
      <w:tr w:rsidR="00614705" w:rsidRPr="00EC6044" w14:paraId="592DC20E" w14:textId="77777777" w:rsidTr="00614705">
        <w:trPr>
          <w:jc w:val="center"/>
        </w:trPr>
        <w:tc>
          <w:tcPr>
            <w:tcW w:w="1351" w:type="dxa"/>
            <w:shd w:val="clear" w:color="auto" w:fill="D9D9D9" w:themeFill="background1" w:themeFillShade="D9"/>
            <w:vAlign w:val="center"/>
            <w:hideMark/>
          </w:tcPr>
          <w:p w14:paraId="6301B7F4" w14:textId="77777777" w:rsidR="00614705" w:rsidRPr="00EC6044" w:rsidRDefault="00614705" w:rsidP="00614705">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2023</w:t>
            </w:r>
          </w:p>
        </w:tc>
        <w:tc>
          <w:tcPr>
            <w:tcW w:w="1351" w:type="dxa"/>
            <w:vAlign w:val="center"/>
            <w:hideMark/>
          </w:tcPr>
          <w:p w14:paraId="53FAE5EE" w14:textId="2CEF5BD0"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$ 8,600</w:t>
            </w:r>
          </w:p>
        </w:tc>
        <w:tc>
          <w:tcPr>
            <w:tcW w:w="1351" w:type="dxa"/>
            <w:vAlign w:val="center"/>
            <w:hideMark/>
          </w:tcPr>
          <w:p w14:paraId="5B53B094" w14:textId="65548C55"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$ 8,600</w:t>
            </w:r>
          </w:p>
        </w:tc>
        <w:tc>
          <w:tcPr>
            <w:tcW w:w="1351" w:type="dxa"/>
            <w:vAlign w:val="center"/>
            <w:hideMark/>
          </w:tcPr>
          <w:p w14:paraId="34AA04CB" w14:textId="2E814E00"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$ 1,400</w:t>
            </w:r>
          </w:p>
        </w:tc>
        <w:tc>
          <w:tcPr>
            <w:tcW w:w="1351" w:type="dxa"/>
            <w:vAlign w:val="center"/>
            <w:hideMark/>
          </w:tcPr>
          <w:p w14:paraId="7986B037" w14:textId="00A639C0"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$ 500</w:t>
            </w:r>
          </w:p>
        </w:tc>
        <w:tc>
          <w:tcPr>
            <w:tcW w:w="1351" w:type="dxa"/>
            <w:vAlign w:val="center"/>
            <w:hideMark/>
          </w:tcPr>
          <w:p w14:paraId="3F233155" w14:textId="62FEF561"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$ 1,900</w:t>
            </w:r>
          </w:p>
        </w:tc>
        <w:tc>
          <w:tcPr>
            <w:tcW w:w="1351" w:type="dxa"/>
            <w:vAlign w:val="center"/>
            <w:hideMark/>
          </w:tcPr>
          <w:p w14:paraId="44284D64" w14:textId="479CA62F"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22 %</w:t>
            </w:r>
          </w:p>
        </w:tc>
      </w:tr>
      <w:tr w:rsidR="00614705" w:rsidRPr="00EC6044" w14:paraId="3E183FD9" w14:textId="77777777" w:rsidTr="00614705">
        <w:trPr>
          <w:jc w:val="center"/>
        </w:trPr>
        <w:tc>
          <w:tcPr>
            <w:tcW w:w="1351" w:type="dxa"/>
            <w:shd w:val="clear" w:color="auto" w:fill="D9D9D9" w:themeFill="background1" w:themeFillShade="D9"/>
            <w:vAlign w:val="center"/>
            <w:hideMark/>
          </w:tcPr>
          <w:p w14:paraId="4B7A6CED" w14:textId="77777777" w:rsidR="00614705" w:rsidRPr="00EC6044" w:rsidRDefault="00614705" w:rsidP="00614705">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2024</w:t>
            </w:r>
          </w:p>
        </w:tc>
        <w:tc>
          <w:tcPr>
            <w:tcW w:w="1351" w:type="dxa"/>
            <w:vAlign w:val="center"/>
            <w:hideMark/>
          </w:tcPr>
          <w:p w14:paraId="32B191C5" w14:textId="21A57779"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$ 13,750</w:t>
            </w:r>
          </w:p>
        </w:tc>
        <w:tc>
          <w:tcPr>
            <w:tcW w:w="1351" w:type="dxa"/>
            <w:vAlign w:val="center"/>
            <w:hideMark/>
          </w:tcPr>
          <w:p w14:paraId="61320BF4" w14:textId="67D66B6C"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$ 13,750</w:t>
            </w:r>
          </w:p>
        </w:tc>
        <w:tc>
          <w:tcPr>
            <w:tcW w:w="1351" w:type="dxa"/>
            <w:vAlign w:val="center"/>
            <w:hideMark/>
          </w:tcPr>
          <w:p w14:paraId="5801843A" w14:textId="709DCC4B"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$ 5,100</w:t>
            </w:r>
          </w:p>
        </w:tc>
        <w:tc>
          <w:tcPr>
            <w:tcW w:w="1351" w:type="dxa"/>
            <w:vAlign w:val="center"/>
            <w:hideMark/>
          </w:tcPr>
          <w:p w14:paraId="4D3A9730" w14:textId="26D55811"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$ 1,500</w:t>
            </w:r>
          </w:p>
        </w:tc>
        <w:tc>
          <w:tcPr>
            <w:tcW w:w="1351" w:type="dxa"/>
            <w:vAlign w:val="center"/>
            <w:hideMark/>
          </w:tcPr>
          <w:p w14:paraId="5BC6D86A" w14:textId="5E3868A9"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$ 6,600</w:t>
            </w:r>
          </w:p>
        </w:tc>
        <w:tc>
          <w:tcPr>
            <w:tcW w:w="1351" w:type="dxa"/>
            <w:vAlign w:val="center"/>
            <w:hideMark/>
          </w:tcPr>
          <w:p w14:paraId="76693B63" w14:textId="5CCD2CC6"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48 %</w:t>
            </w:r>
          </w:p>
        </w:tc>
      </w:tr>
      <w:tr w:rsidR="00614705" w:rsidRPr="00EC6044" w14:paraId="784BED22" w14:textId="77777777" w:rsidTr="00614705">
        <w:trPr>
          <w:jc w:val="center"/>
        </w:trPr>
        <w:tc>
          <w:tcPr>
            <w:tcW w:w="1351" w:type="dxa"/>
            <w:shd w:val="clear" w:color="auto" w:fill="D9D9D9" w:themeFill="background1" w:themeFillShade="D9"/>
            <w:vAlign w:val="center"/>
            <w:hideMark/>
          </w:tcPr>
          <w:p w14:paraId="43563D7A" w14:textId="77777777" w:rsidR="00614705" w:rsidRPr="00EC6044" w:rsidRDefault="00614705" w:rsidP="00614705">
            <w:pPr>
              <w:spacing w:before="80" w:after="80"/>
              <w:jc w:val="center"/>
              <w:rPr>
                <w:rFonts w:asciiTheme="minorBidi" w:hAnsiTheme="minorBidi" w:cstheme="minorBidi"/>
                <w:sz w:val="22"/>
                <w:szCs w:val="22"/>
              </w:rPr>
            </w:pPr>
            <w:r w:rsidRPr="000932AC">
              <w:rPr>
                <w:rStyle w:val="Strong"/>
                <w:rFonts w:asciiTheme="minorBidi" w:hAnsiTheme="minorBidi" w:cstheme="minorBidi"/>
                <w:sz w:val="22"/>
                <w:szCs w:val="22"/>
              </w:rPr>
              <w:t>2025</w:t>
            </w:r>
          </w:p>
        </w:tc>
        <w:tc>
          <w:tcPr>
            <w:tcW w:w="1351" w:type="dxa"/>
            <w:vAlign w:val="center"/>
            <w:hideMark/>
          </w:tcPr>
          <w:p w14:paraId="5E813C66" w14:textId="75E25DBC"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$ 17,400</w:t>
            </w:r>
          </w:p>
        </w:tc>
        <w:tc>
          <w:tcPr>
            <w:tcW w:w="1351" w:type="dxa"/>
            <w:vAlign w:val="center"/>
            <w:hideMark/>
          </w:tcPr>
          <w:p w14:paraId="1EF6EF0C" w14:textId="21F62FCE"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$ 10,375</w:t>
            </w:r>
          </w:p>
        </w:tc>
        <w:tc>
          <w:tcPr>
            <w:tcW w:w="1351" w:type="dxa"/>
            <w:vAlign w:val="center"/>
            <w:hideMark/>
          </w:tcPr>
          <w:p w14:paraId="023D589C" w14:textId="726DA7FE"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$ 5,700</w:t>
            </w:r>
          </w:p>
        </w:tc>
        <w:tc>
          <w:tcPr>
            <w:tcW w:w="1351" w:type="dxa"/>
            <w:vAlign w:val="center"/>
            <w:hideMark/>
          </w:tcPr>
          <w:p w14:paraId="067D0376" w14:textId="74A8DD7F"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$ 1,600</w:t>
            </w:r>
          </w:p>
        </w:tc>
        <w:tc>
          <w:tcPr>
            <w:tcW w:w="1351" w:type="dxa"/>
            <w:vAlign w:val="center"/>
            <w:hideMark/>
          </w:tcPr>
          <w:p w14:paraId="04FA6E7C" w14:textId="5E7FFEC8"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$ 7,300</w:t>
            </w:r>
          </w:p>
        </w:tc>
        <w:tc>
          <w:tcPr>
            <w:tcW w:w="1351" w:type="dxa"/>
            <w:vAlign w:val="center"/>
            <w:hideMark/>
          </w:tcPr>
          <w:p w14:paraId="166D4064" w14:textId="09236333" w:rsidR="00614705" w:rsidRPr="00EC6044" w:rsidRDefault="00614705" w:rsidP="00614705">
            <w:pPr>
              <w:spacing w:before="80" w:after="80"/>
              <w:jc w:val="center"/>
              <w:rPr>
                <w:rFonts w:ascii="Arial" w:hAnsi="Arial" w:cs="Arial"/>
                <w:sz w:val="22"/>
                <w:szCs w:val="22"/>
              </w:rPr>
            </w:pPr>
            <w:r w:rsidRPr="00614705">
              <w:rPr>
                <w:rFonts w:ascii="Arial" w:hAnsi="Arial" w:cs="Arial"/>
                <w:sz w:val="22"/>
                <w:szCs w:val="22"/>
              </w:rPr>
              <w:t>70 %</w:t>
            </w:r>
          </w:p>
        </w:tc>
      </w:tr>
    </w:tbl>
    <w:p w14:paraId="13D51C21" w14:textId="661C76A4" w:rsidR="00614705" w:rsidRDefault="00614705" w:rsidP="00614705">
      <w:pPr>
        <w:spacing w:before="80"/>
        <w:jc w:val="center"/>
        <w:rPr>
          <w:rFonts w:ascii="Arial" w:hAnsi="Arial" w:cs="Arial"/>
          <w:b/>
          <w:bCs/>
          <w:sz w:val="18"/>
          <w:szCs w:val="18"/>
        </w:rPr>
      </w:pPr>
      <w:r w:rsidRPr="00EC6044">
        <w:rPr>
          <w:rFonts w:ascii="Arial" w:hAnsi="Arial" w:cs="Arial"/>
          <w:b/>
          <w:bCs/>
          <w:sz w:val="18"/>
          <w:szCs w:val="18"/>
        </w:rPr>
        <w:t xml:space="preserve">Table </w:t>
      </w:r>
      <w:r>
        <w:rPr>
          <w:rFonts w:ascii="Arial" w:hAnsi="Arial" w:cs="Arial"/>
          <w:b/>
          <w:bCs/>
          <w:sz w:val="18"/>
          <w:szCs w:val="18"/>
        </w:rPr>
        <w:t>2.3 -</w:t>
      </w:r>
      <w:r w:rsidRPr="00EC6044">
        <w:rPr>
          <w:rFonts w:ascii="Arial" w:hAnsi="Arial" w:cs="Arial"/>
          <w:b/>
          <w:bCs/>
          <w:sz w:val="18"/>
          <w:szCs w:val="18"/>
        </w:rPr>
        <w:t xml:space="preserve"> </w:t>
      </w:r>
      <w:r>
        <w:rPr>
          <w:rFonts w:ascii="Arial" w:hAnsi="Arial" w:cs="Arial"/>
          <w:b/>
          <w:bCs/>
          <w:sz w:val="18"/>
          <w:szCs w:val="18"/>
        </w:rPr>
        <w:t>Property</w:t>
      </w:r>
      <w:r w:rsidRPr="00EC6044">
        <w:rPr>
          <w:rFonts w:ascii="Arial" w:hAnsi="Arial" w:cs="Arial"/>
          <w:b/>
          <w:bCs/>
          <w:sz w:val="18"/>
          <w:szCs w:val="18"/>
        </w:rPr>
        <w:t xml:space="preserve"> Line of Business </w:t>
      </w:r>
      <w:r>
        <w:rPr>
          <w:rFonts w:ascii="Arial" w:hAnsi="Arial" w:cs="Arial"/>
          <w:b/>
          <w:bCs/>
          <w:sz w:val="18"/>
          <w:szCs w:val="18"/>
        </w:rPr>
        <w:t>Summary</w:t>
      </w:r>
    </w:p>
    <w:p w14:paraId="6D45F550" w14:textId="01CE60E7" w:rsidR="00614705" w:rsidRPr="00614705" w:rsidRDefault="00614705" w:rsidP="00614705">
      <w:pPr>
        <w:spacing w:before="80"/>
        <w:jc w:val="both"/>
        <w:rPr>
          <w:rFonts w:ascii="Arial" w:hAnsi="Arial" w:cs="Arial"/>
          <w:sz w:val="22"/>
          <w:szCs w:val="22"/>
        </w:rPr>
      </w:pPr>
    </w:p>
    <w:p w14:paraId="06934403" w14:textId="77777777" w:rsidR="00F116C6" w:rsidRPr="00F116C6" w:rsidRDefault="00F116C6" w:rsidP="00F116C6">
      <w:pPr>
        <w:jc w:val="both"/>
        <w:rPr>
          <w:rFonts w:ascii="Arial" w:hAnsi="Arial" w:cs="Arial"/>
          <w:sz w:val="22"/>
          <w:szCs w:val="22"/>
        </w:rPr>
      </w:pPr>
      <w:r w:rsidRPr="00F116C6">
        <w:rPr>
          <w:rFonts w:ascii="Arial" w:hAnsi="Arial" w:cs="Arial"/>
          <w:sz w:val="22"/>
          <w:szCs w:val="22"/>
        </w:rPr>
        <w:t>The Property line is generally the most stable and profitable segment in the portfolio. Loss ratios remain low from 2021 through 2024, ranging from 22% to 48%. These values indicate relatively light claim activity for this line, even in years where premium or exposure increased. The presence of small case reserves between 2022 and 2024 reflects normal ongoing development but does not signal any major issues.</w:t>
      </w:r>
    </w:p>
    <w:p w14:paraId="4AB8C814" w14:textId="77777777" w:rsidR="00F116C6" w:rsidRDefault="00F116C6" w:rsidP="00F116C6">
      <w:pPr>
        <w:jc w:val="both"/>
        <w:rPr>
          <w:rFonts w:ascii="Arial" w:hAnsi="Arial" w:cs="Arial"/>
          <w:sz w:val="22"/>
          <w:szCs w:val="22"/>
        </w:rPr>
      </w:pPr>
    </w:p>
    <w:p w14:paraId="5AA4DB9D" w14:textId="11D8F196" w:rsidR="00F116C6" w:rsidRPr="00F116C6" w:rsidRDefault="00F116C6" w:rsidP="00F116C6">
      <w:pPr>
        <w:jc w:val="both"/>
        <w:rPr>
          <w:rFonts w:ascii="Arial" w:hAnsi="Arial" w:cs="Arial"/>
          <w:sz w:val="22"/>
          <w:szCs w:val="22"/>
        </w:rPr>
      </w:pPr>
      <w:r w:rsidRPr="00F116C6">
        <w:rPr>
          <w:rFonts w:ascii="Arial" w:hAnsi="Arial" w:cs="Arial"/>
          <w:sz w:val="22"/>
          <w:szCs w:val="22"/>
        </w:rPr>
        <w:t>In 2025, the loss ratio increases to 70%. As with the other lines, this figure is influenced by the immaturity of the underwriting year—earned premium is still accumulating, and several claims remain open. Given the historical pattern of this line, it is too early to treat the 2025 ratio as a sign of deterioration.</w:t>
      </w:r>
    </w:p>
    <w:p w14:paraId="1C12D476" w14:textId="77777777" w:rsidR="00F116C6" w:rsidRDefault="00F116C6" w:rsidP="00F116C6">
      <w:pPr>
        <w:jc w:val="both"/>
        <w:rPr>
          <w:rFonts w:ascii="Arial" w:hAnsi="Arial" w:cs="Arial"/>
          <w:sz w:val="22"/>
          <w:szCs w:val="22"/>
        </w:rPr>
      </w:pPr>
    </w:p>
    <w:p w14:paraId="0189FC8B" w14:textId="2DE09723" w:rsidR="00F116C6" w:rsidRPr="00F116C6" w:rsidRDefault="00F116C6" w:rsidP="00F116C6">
      <w:pPr>
        <w:jc w:val="both"/>
        <w:rPr>
          <w:rFonts w:ascii="Arial" w:hAnsi="Arial" w:cs="Arial"/>
          <w:sz w:val="22"/>
          <w:szCs w:val="22"/>
        </w:rPr>
      </w:pPr>
      <w:r w:rsidRPr="00F116C6">
        <w:rPr>
          <w:rFonts w:ascii="Arial" w:hAnsi="Arial" w:cs="Arial"/>
          <w:sz w:val="22"/>
          <w:szCs w:val="22"/>
        </w:rPr>
        <w:t>When comparing the three lines of business, the differences become clear. The Medical line shows the most variability, largely due to higher-severity claims. The Motor line remains relatively stable with gradual improvements in recent years. The Property line has been consistently profitable, contributing positively to the overall portfolio’s balance.</w:t>
      </w:r>
    </w:p>
    <w:p w14:paraId="1751F4BE" w14:textId="77777777" w:rsidR="00F116C6" w:rsidRDefault="00F116C6" w:rsidP="00F116C6">
      <w:pPr>
        <w:jc w:val="both"/>
        <w:rPr>
          <w:rFonts w:ascii="Arial" w:hAnsi="Arial" w:cs="Arial"/>
          <w:sz w:val="22"/>
          <w:szCs w:val="22"/>
        </w:rPr>
      </w:pPr>
    </w:p>
    <w:p w14:paraId="25AA0031" w14:textId="196D75EE" w:rsidR="00F116C6" w:rsidRPr="00F116C6" w:rsidRDefault="00F116C6" w:rsidP="00F116C6">
      <w:pPr>
        <w:jc w:val="both"/>
        <w:rPr>
          <w:rFonts w:ascii="Arial" w:hAnsi="Arial" w:cs="Arial"/>
          <w:sz w:val="22"/>
          <w:szCs w:val="22"/>
        </w:rPr>
      </w:pPr>
      <w:r w:rsidRPr="00F116C6">
        <w:rPr>
          <w:rFonts w:ascii="Arial" w:hAnsi="Arial" w:cs="Arial"/>
          <w:sz w:val="22"/>
          <w:szCs w:val="22"/>
        </w:rPr>
        <w:t>These contrasts help explain the shifts observed in the consolidated results and provide a clearer view of which segments are driving recent performance trends.</w:t>
      </w:r>
    </w:p>
    <w:p w14:paraId="31D947B4" w14:textId="77A080A1" w:rsidR="00272EC8" w:rsidRDefault="00272EC8">
      <w:pPr>
        <w:rPr>
          <w:rFonts w:ascii="Arial" w:hAnsi="Arial" w:cs="Arial"/>
          <w:sz w:val="22"/>
          <w:szCs w:val="22"/>
        </w:rPr>
      </w:pPr>
      <w:r>
        <w:rPr>
          <w:rFonts w:ascii="Arial" w:hAnsi="Arial" w:cs="Arial"/>
          <w:sz w:val="22"/>
          <w:szCs w:val="22"/>
        </w:rPr>
        <w:br w:type="page"/>
      </w:r>
    </w:p>
    <w:p w14:paraId="4C4BF2C1" w14:textId="77777777" w:rsidR="005542A7" w:rsidRPr="005542A7" w:rsidRDefault="005542A7" w:rsidP="003347D7">
      <w:pPr>
        <w:spacing w:before="120"/>
        <w:jc w:val="both"/>
        <w:rPr>
          <w:rFonts w:ascii="Arial" w:hAnsi="Arial" w:cs="Arial"/>
          <w:b/>
          <w:bCs/>
          <w:sz w:val="22"/>
          <w:szCs w:val="22"/>
        </w:rPr>
      </w:pPr>
      <w:r w:rsidRPr="005542A7">
        <w:rPr>
          <w:rFonts w:ascii="Arial" w:hAnsi="Arial" w:cs="Arial"/>
          <w:b/>
          <w:bCs/>
          <w:sz w:val="22"/>
          <w:szCs w:val="22"/>
        </w:rPr>
        <w:lastRenderedPageBreak/>
        <w:t>4. Data Review and Outliers Overview</w:t>
      </w:r>
    </w:p>
    <w:p w14:paraId="18ACC6E2" w14:textId="77777777" w:rsidR="005542A7" w:rsidRPr="005542A7" w:rsidRDefault="005542A7" w:rsidP="003347D7">
      <w:pPr>
        <w:spacing w:before="120"/>
        <w:jc w:val="both"/>
        <w:rPr>
          <w:rFonts w:ascii="Arial" w:hAnsi="Arial" w:cs="Arial"/>
          <w:b/>
          <w:bCs/>
          <w:sz w:val="22"/>
          <w:szCs w:val="22"/>
        </w:rPr>
      </w:pPr>
      <w:r w:rsidRPr="005542A7">
        <w:rPr>
          <w:rFonts w:ascii="Arial" w:hAnsi="Arial" w:cs="Arial"/>
          <w:b/>
          <w:bCs/>
          <w:sz w:val="22"/>
          <w:szCs w:val="22"/>
        </w:rPr>
        <w:t>4.1 Data Quality and Consistency Review</w:t>
      </w:r>
    </w:p>
    <w:p w14:paraId="203DAA28" w14:textId="77777777" w:rsidR="00F116C6" w:rsidRPr="00F116C6" w:rsidRDefault="005542A7" w:rsidP="00F116C6">
      <w:pPr>
        <w:spacing w:before="120"/>
        <w:jc w:val="both"/>
        <w:rPr>
          <w:rFonts w:ascii="Arial" w:hAnsi="Arial" w:cs="Arial"/>
          <w:sz w:val="22"/>
          <w:szCs w:val="22"/>
        </w:rPr>
      </w:pPr>
      <w:r w:rsidRPr="005542A7">
        <w:rPr>
          <w:rFonts w:ascii="Arial" w:hAnsi="Arial" w:cs="Arial"/>
          <w:sz w:val="22"/>
          <w:szCs w:val="22"/>
        </w:rPr>
        <w:t xml:space="preserve">Before proceeding with the development analysis, </w:t>
      </w:r>
      <w:r w:rsidR="00F116C6" w:rsidRPr="00F116C6">
        <w:rPr>
          <w:rFonts w:ascii="Arial" w:hAnsi="Arial" w:cs="Arial"/>
          <w:sz w:val="22"/>
          <w:szCs w:val="22"/>
        </w:rPr>
        <w:t>we reviewed the dataset to make sure the information was consistent across policies, loss dates, exposures, and incurred amounts. Overall, the data structure is clean and follows expected patterns. Policy effective dates align properly with underwriting years, and reported losses occur within the policy coverage periods. We did not encounter cases where claims fell outside the insured timeframe.</w:t>
      </w:r>
    </w:p>
    <w:p w14:paraId="78B593A0" w14:textId="77777777" w:rsidR="00F116C6" w:rsidRPr="00F116C6" w:rsidRDefault="00F116C6" w:rsidP="00F116C6">
      <w:pPr>
        <w:spacing w:before="120"/>
        <w:jc w:val="both"/>
        <w:rPr>
          <w:rFonts w:ascii="Arial" w:hAnsi="Arial" w:cs="Arial"/>
          <w:sz w:val="22"/>
          <w:szCs w:val="22"/>
        </w:rPr>
      </w:pPr>
      <w:r w:rsidRPr="00F116C6">
        <w:rPr>
          <w:rFonts w:ascii="Arial" w:hAnsi="Arial" w:cs="Arial"/>
          <w:sz w:val="22"/>
          <w:szCs w:val="22"/>
        </w:rPr>
        <w:t>Underwriting years 2021 to 2023 appear fully mature: exposures are complete, and there are no outstanding case reserves. On the other hand, UWYs 2024 and 2025 are still developing as of the valuation date (30 September 2025), which explains the partial exposures and the presence of open claims. These later years naturally carry more uncertainty and will require development adjustments when estimating ultimate losses.</w:t>
      </w:r>
    </w:p>
    <w:p w14:paraId="68ED4BD2" w14:textId="77777777" w:rsidR="00F116C6" w:rsidRPr="00F116C6" w:rsidRDefault="00F116C6" w:rsidP="00F116C6">
      <w:pPr>
        <w:spacing w:before="120"/>
        <w:jc w:val="both"/>
        <w:rPr>
          <w:rFonts w:ascii="Arial" w:hAnsi="Arial" w:cs="Arial"/>
          <w:sz w:val="22"/>
          <w:szCs w:val="22"/>
        </w:rPr>
      </w:pPr>
      <w:r w:rsidRPr="00F116C6">
        <w:rPr>
          <w:rFonts w:ascii="Arial" w:hAnsi="Arial" w:cs="Arial"/>
          <w:sz w:val="22"/>
          <w:szCs w:val="22"/>
        </w:rPr>
        <w:t>We also noticed some claims with a recorded loss date but no payment and no outstanding reserve. After looking closer, these appear to be reported claims that were either withdrawn, fell below a deductible, or concluded without cost. Since the dataset does not provide additional claim details, treating them as zero-incurred events was the most reasonable and internally consistent choice for a portfolio of this size.</w:t>
      </w:r>
    </w:p>
    <w:p w14:paraId="7282AA4D" w14:textId="77777777" w:rsidR="00F116C6" w:rsidRPr="00F116C6" w:rsidRDefault="00F116C6" w:rsidP="00F116C6">
      <w:pPr>
        <w:spacing w:before="120"/>
        <w:jc w:val="both"/>
        <w:rPr>
          <w:rFonts w:ascii="Arial" w:hAnsi="Arial" w:cs="Arial"/>
          <w:sz w:val="22"/>
          <w:szCs w:val="22"/>
        </w:rPr>
      </w:pPr>
      <w:r w:rsidRPr="00F116C6">
        <w:rPr>
          <w:rFonts w:ascii="Arial" w:hAnsi="Arial" w:cs="Arial"/>
          <w:sz w:val="22"/>
          <w:szCs w:val="22"/>
        </w:rPr>
        <w:t>Exposure values behave as expected based on policy terms and valuation timing. Partial exposure for policies extending into the following year is handled correctly, and the earned premium amounts reflect this pattern. Nothing in the exposure fields suggested systematic errors.</w:t>
      </w:r>
    </w:p>
    <w:p w14:paraId="631A4376" w14:textId="77777777" w:rsidR="00F116C6" w:rsidRDefault="00F116C6" w:rsidP="00F116C6">
      <w:pPr>
        <w:jc w:val="both"/>
        <w:rPr>
          <w:rFonts w:ascii="Arial" w:hAnsi="Arial" w:cs="Arial"/>
          <w:sz w:val="22"/>
          <w:szCs w:val="22"/>
        </w:rPr>
      </w:pPr>
    </w:p>
    <w:p w14:paraId="19CC4536" w14:textId="48AE55B1" w:rsidR="00F116C6" w:rsidRPr="00F116C6" w:rsidRDefault="00F116C6" w:rsidP="00F116C6">
      <w:pPr>
        <w:spacing w:before="120"/>
        <w:jc w:val="both"/>
        <w:rPr>
          <w:rFonts w:ascii="Arial" w:hAnsi="Arial" w:cs="Arial"/>
          <w:sz w:val="22"/>
          <w:szCs w:val="22"/>
        </w:rPr>
      </w:pPr>
      <w:r w:rsidRPr="00F116C6">
        <w:rPr>
          <w:rFonts w:ascii="Arial" w:hAnsi="Arial" w:cs="Arial"/>
          <w:sz w:val="22"/>
          <w:szCs w:val="22"/>
        </w:rPr>
        <w:t>Overall, the dataset is suitable for development analysis. The main considerations we kept in mind are the immaturity of the more recent underwriting years, the relatively small size of the portfolio, and the presence of some zero-cost reported claims. These factors became important when interpreting volatility in the development patterns later in the study.</w:t>
      </w:r>
    </w:p>
    <w:p w14:paraId="66A91D7F" w14:textId="4C87D832" w:rsidR="003347D7" w:rsidRDefault="003347D7" w:rsidP="00F116C6">
      <w:pPr>
        <w:spacing w:before="120"/>
        <w:jc w:val="both"/>
        <w:rPr>
          <w:rFonts w:ascii="Arial" w:hAnsi="Arial" w:cs="Arial"/>
          <w:sz w:val="22"/>
          <w:szCs w:val="22"/>
        </w:rPr>
      </w:pPr>
    </w:p>
    <w:p w14:paraId="11811778" w14:textId="733E671C" w:rsidR="003347D7" w:rsidRDefault="003347D7" w:rsidP="003347D7">
      <w:pPr>
        <w:spacing w:before="80"/>
        <w:jc w:val="both"/>
        <w:rPr>
          <w:rFonts w:ascii="Arial" w:hAnsi="Arial" w:cs="Arial"/>
          <w:b/>
          <w:bCs/>
          <w:sz w:val="22"/>
          <w:szCs w:val="22"/>
        </w:rPr>
      </w:pPr>
      <w:r w:rsidRPr="003347D7">
        <w:rPr>
          <w:rFonts w:ascii="Arial" w:hAnsi="Arial" w:cs="Arial"/>
          <w:b/>
          <w:bCs/>
          <w:sz w:val="22"/>
          <w:szCs w:val="22"/>
        </w:rPr>
        <w:t>4.2 Outliers Overview</w:t>
      </w:r>
      <w:r w:rsidR="007734EF">
        <w:rPr>
          <w:rFonts w:ascii="Arial" w:hAnsi="Arial" w:cs="Arial"/>
          <w:b/>
          <w:bCs/>
          <w:sz w:val="22"/>
          <w:szCs w:val="22"/>
        </w:rPr>
        <w:t xml:space="preserve"> </w:t>
      </w:r>
    </w:p>
    <w:p w14:paraId="72843354" w14:textId="64B16509" w:rsidR="003347D7" w:rsidRDefault="003347D7" w:rsidP="003347D7">
      <w:pPr>
        <w:spacing w:before="80"/>
        <w:jc w:val="center"/>
        <w:rPr>
          <w:rFonts w:ascii="Arial" w:hAnsi="Arial" w:cs="Arial"/>
          <w:b/>
          <w:bCs/>
          <w:sz w:val="22"/>
          <w:szCs w:val="22"/>
        </w:rPr>
      </w:pPr>
      <w:r>
        <w:rPr>
          <w:rFonts w:ascii="Arial" w:hAnsi="Arial" w:cs="Arial"/>
          <w:b/>
          <w:bCs/>
          <w:noProof/>
          <w:sz w:val="22"/>
          <w:szCs w:val="22"/>
        </w:rPr>
        <w:drawing>
          <wp:inline distT="0" distB="0" distL="0" distR="0" wp14:anchorId="578BB88B" wp14:editId="2937056E">
            <wp:extent cx="3393831" cy="1990436"/>
            <wp:effectExtent l="0" t="0" r="0" b="3810"/>
            <wp:docPr id="10258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48372" name="Picture 10258483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5051" cy="2002881"/>
                    </a:xfrm>
                    <a:prstGeom prst="rect">
                      <a:avLst/>
                    </a:prstGeom>
                  </pic:spPr>
                </pic:pic>
              </a:graphicData>
            </a:graphic>
          </wp:inline>
        </w:drawing>
      </w:r>
    </w:p>
    <w:p w14:paraId="290921D3" w14:textId="3451D4D3" w:rsidR="00031D3E" w:rsidRDefault="00031D3E" w:rsidP="00031D3E">
      <w:pPr>
        <w:spacing w:before="80"/>
        <w:jc w:val="center"/>
        <w:rPr>
          <w:rFonts w:ascii="Arial" w:hAnsi="Arial" w:cs="Arial"/>
          <w:b/>
          <w:bCs/>
          <w:sz w:val="18"/>
          <w:szCs w:val="18"/>
        </w:rPr>
      </w:pPr>
      <w:r w:rsidRPr="00031D3E">
        <w:rPr>
          <w:rFonts w:ascii="Arial" w:hAnsi="Arial" w:cs="Arial"/>
          <w:b/>
          <w:bCs/>
          <w:sz w:val="18"/>
          <w:szCs w:val="18"/>
        </w:rPr>
        <w:t>Figure 1 - Incurred Claims with 97.5th Percentile Threshold Line</w:t>
      </w:r>
    </w:p>
    <w:p w14:paraId="425E8316" w14:textId="77777777" w:rsidR="00031D3E" w:rsidRPr="003347D7" w:rsidRDefault="00031D3E" w:rsidP="00031D3E">
      <w:pPr>
        <w:spacing w:before="80"/>
        <w:jc w:val="center"/>
        <w:rPr>
          <w:rFonts w:ascii="Arial" w:hAnsi="Arial" w:cs="Arial"/>
          <w:b/>
          <w:bCs/>
          <w:sz w:val="18"/>
          <w:szCs w:val="18"/>
        </w:rPr>
      </w:pPr>
    </w:p>
    <w:p w14:paraId="54B63304" w14:textId="6290E0F9" w:rsidR="00031D3E" w:rsidRDefault="003347D7" w:rsidP="001B2ADD">
      <w:pPr>
        <w:spacing w:before="80"/>
        <w:jc w:val="both"/>
        <w:rPr>
          <w:rFonts w:ascii="Arial" w:hAnsi="Arial" w:cs="Arial"/>
          <w:sz w:val="22"/>
          <w:szCs w:val="22"/>
        </w:rPr>
      </w:pPr>
      <w:r>
        <w:rPr>
          <w:rFonts w:ascii="Arial" w:hAnsi="Arial" w:cs="Arial"/>
          <w:sz w:val="22"/>
          <w:szCs w:val="22"/>
        </w:rPr>
        <w:t>While reviewing the data for outliers</w:t>
      </w:r>
      <w:r w:rsidR="001B2ADD">
        <w:rPr>
          <w:rFonts w:ascii="Arial" w:hAnsi="Arial" w:cs="Arial"/>
          <w:sz w:val="22"/>
          <w:szCs w:val="22"/>
        </w:rPr>
        <w:t>,</w:t>
      </w:r>
      <w:r>
        <w:rPr>
          <w:rFonts w:ascii="Arial" w:hAnsi="Arial" w:cs="Arial"/>
          <w:sz w:val="22"/>
          <w:szCs w:val="22"/>
        </w:rPr>
        <w:t xml:space="preserve"> </w:t>
      </w:r>
      <w:r w:rsidR="001B2ADD" w:rsidRPr="001B2ADD">
        <w:rPr>
          <w:rFonts w:ascii="Arial" w:hAnsi="Arial" w:cs="Arial"/>
          <w:sz w:val="22"/>
          <w:szCs w:val="22"/>
        </w:rPr>
        <w:t>we checked for unusually large severities using the 97.5th percentile threshold, which came out to $5,863.</w:t>
      </w:r>
      <w:r>
        <w:rPr>
          <w:rFonts w:ascii="Arial" w:hAnsi="Arial" w:cs="Arial"/>
          <w:sz w:val="22"/>
          <w:szCs w:val="22"/>
        </w:rPr>
        <w:t xml:space="preserve"> </w:t>
      </w:r>
      <w:r w:rsidR="001B2ADD">
        <w:rPr>
          <w:rFonts w:ascii="Arial" w:hAnsi="Arial" w:cs="Arial"/>
          <w:sz w:val="22"/>
          <w:szCs w:val="22"/>
        </w:rPr>
        <w:t>T</w:t>
      </w:r>
      <w:r w:rsidRPr="003347D7">
        <w:rPr>
          <w:rFonts w:ascii="Arial" w:hAnsi="Arial" w:cs="Arial"/>
          <w:sz w:val="22"/>
          <w:szCs w:val="22"/>
        </w:rPr>
        <w:t xml:space="preserve">wo incurred claims exceeded the </w:t>
      </w:r>
      <w:r w:rsidR="001B2ADD">
        <w:rPr>
          <w:rFonts w:ascii="Arial" w:hAnsi="Arial" w:cs="Arial"/>
          <w:sz w:val="22"/>
          <w:szCs w:val="22"/>
        </w:rPr>
        <w:t>threshold</w:t>
      </w:r>
      <w:r w:rsidR="00273D0B">
        <w:rPr>
          <w:rFonts w:ascii="Arial" w:hAnsi="Arial" w:cs="Arial"/>
          <w:sz w:val="22"/>
          <w:szCs w:val="22"/>
        </w:rPr>
        <w:t>,</w:t>
      </w:r>
      <w:r w:rsidRPr="003347D7">
        <w:rPr>
          <w:rFonts w:ascii="Arial" w:hAnsi="Arial" w:cs="Arial"/>
          <w:sz w:val="22"/>
          <w:szCs w:val="22"/>
        </w:rPr>
        <w:t xml:space="preserve"> a</w:t>
      </w:r>
      <w:r w:rsidR="001B2ADD">
        <w:rPr>
          <w:rFonts w:ascii="Arial" w:hAnsi="Arial" w:cs="Arial"/>
          <w:sz w:val="22"/>
          <w:szCs w:val="22"/>
        </w:rPr>
        <w:t xml:space="preserve"> </w:t>
      </w:r>
      <w:r w:rsidRPr="003347D7">
        <w:rPr>
          <w:rFonts w:ascii="Arial" w:hAnsi="Arial" w:cs="Arial"/>
          <w:sz w:val="22"/>
          <w:szCs w:val="22"/>
        </w:rPr>
        <w:t xml:space="preserve">Property claim </w:t>
      </w:r>
      <w:r w:rsidR="001B2ADD">
        <w:rPr>
          <w:rFonts w:ascii="Arial" w:hAnsi="Arial" w:cs="Arial"/>
          <w:sz w:val="22"/>
          <w:szCs w:val="22"/>
        </w:rPr>
        <w:t xml:space="preserve">around </w:t>
      </w:r>
      <w:r w:rsidR="001B2ADD" w:rsidRPr="003347D7">
        <w:rPr>
          <w:rFonts w:ascii="Arial" w:hAnsi="Arial" w:cs="Arial"/>
          <w:sz w:val="22"/>
          <w:szCs w:val="22"/>
        </w:rPr>
        <w:t xml:space="preserve">$6,000 </w:t>
      </w:r>
      <w:r w:rsidRPr="003347D7">
        <w:rPr>
          <w:rFonts w:ascii="Arial" w:hAnsi="Arial" w:cs="Arial"/>
          <w:sz w:val="22"/>
          <w:szCs w:val="22"/>
        </w:rPr>
        <w:t>and a</w:t>
      </w:r>
      <w:r w:rsidR="001B2ADD">
        <w:rPr>
          <w:rFonts w:ascii="Arial" w:hAnsi="Arial" w:cs="Arial"/>
          <w:sz w:val="22"/>
          <w:szCs w:val="22"/>
        </w:rPr>
        <w:t xml:space="preserve"> </w:t>
      </w:r>
      <w:r w:rsidRPr="003347D7">
        <w:rPr>
          <w:rFonts w:ascii="Arial" w:hAnsi="Arial" w:cs="Arial"/>
          <w:sz w:val="22"/>
          <w:szCs w:val="22"/>
        </w:rPr>
        <w:t>Medical claim</w:t>
      </w:r>
      <w:r w:rsidR="001B2ADD">
        <w:rPr>
          <w:rFonts w:ascii="Arial" w:hAnsi="Arial" w:cs="Arial"/>
          <w:sz w:val="22"/>
          <w:szCs w:val="22"/>
        </w:rPr>
        <w:t xml:space="preserve"> of </w:t>
      </w:r>
      <w:r w:rsidR="001B2ADD" w:rsidRPr="003347D7">
        <w:rPr>
          <w:rFonts w:ascii="Arial" w:hAnsi="Arial" w:cs="Arial"/>
          <w:sz w:val="22"/>
          <w:szCs w:val="22"/>
        </w:rPr>
        <w:t>$11,500</w:t>
      </w:r>
      <w:r w:rsidRPr="003347D7">
        <w:rPr>
          <w:rFonts w:ascii="Arial" w:hAnsi="Arial" w:cs="Arial"/>
          <w:sz w:val="22"/>
          <w:szCs w:val="22"/>
        </w:rPr>
        <w:t>.</w:t>
      </w:r>
      <w:r w:rsidR="00E90C4B">
        <w:rPr>
          <w:rFonts w:ascii="Arial" w:hAnsi="Arial" w:cs="Arial"/>
          <w:sz w:val="22"/>
          <w:szCs w:val="22"/>
        </w:rPr>
        <w:t xml:space="preserve"> </w:t>
      </w:r>
    </w:p>
    <w:p w14:paraId="2DD767C6" w14:textId="48E32759" w:rsidR="001B2ADD" w:rsidRDefault="001B2ADD" w:rsidP="001B2ADD">
      <w:pPr>
        <w:spacing w:before="120"/>
        <w:jc w:val="both"/>
        <w:rPr>
          <w:rFonts w:ascii="Arial" w:hAnsi="Arial" w:cs="Arial"/>
          <w:sz w:val="22"/>
          <w:szCs w:val="22"/>
        </w:rPr>
      </w:pPr>
      <w:r w:rsidRPr="001B2ADD">
        <w:rPr>
          <w:rFonts w:ascii="Arial" w:hAnsi="Arial" w:cs="Arial"/>
          <w:sz w:val="22"/>
          <w:szCs w:val="22"/>
        </w:rPr>
        <w:lastRenderedPageBreak/>
        <w:t>The Property claim was close enough to the threshold that we felt comfortable keeping it fully in the dataset</w:t>
      </w:r>
      <w:r>
        <w:rPr>
          <w:rFonts w:ascii="Arial" w:hAnsi="Arial" w:cs="Arial"/>
          <w:sz w:val="22"/>
          <w:szCs w:val="22"/>
        </w:rPr>
        <w:t>, since s</w:t>
      </w:r>
      <w:r w:rsidRPr="001B2ADD">
        <w:rPr>
          <w:rFonts w:ascii="Arial" w:hAnsi="Arial" w:cs="Arial"/>
          <w:sz w:val="22"/>
          <w:szCs w:val="22"/>
        </w:rPr>
        <w:t>imilar severities appeared elsewhere in the portfolio and removing it would have distorted the representation of Property risks.</w:t>
      </w:r>
    </w:p>
    <w:p w14:paraId="4D696536" w14:textId="20DBBB58" w:rsidR="001B2ADD" w:rsidRDefault="001B2ADD" w:rsidP="001B2ADD">
      <w:pPr>
        <w:spacing w:before="120"/>
        <w:jc w:val="both"/>
        <w:rPr>
          <w:rFonts w:ascii="Arial" w:hAnsi="Arial" w:cs="Arial"/>
          <w:sz w:val="22"/>
          <w:szCs w:val="22"/>
        </w:rPr>
      </w:pPr>
      <w:r>
        <w:rPr>
          <w:rFonts w:ascii="Arial" w:hAnsi="Arial" w:cs="Arial"/>
          <w:sz w:val="22"/>
          <w:szCs w:val="22"/>
        </w:rPr>
        <w:t>On the other hand, t</w:t>
      </w:r>
      <w:r w:rsidRPr="001B2ADD">
        <w:rPr>
          <w:rFonts w:ascii="Arial" w:hAnsi="Arial" w:cs="Arial"/>
          <w:sz w:val="22"/>
          <w:szCs w:val="22"/>
        </w:rPr>
        <w:t xml:space="preserve">he Medical claim was different. It was the only case of that magnitude across the four years and stands out as an extreme value, especially given the small size of the portfolio. In a real setting, we would </w:t>
      </w:r>
      <w:r>
        <w:rPr>
          <w:rFonts w:ascii="Arial" w:hAnsi="Arial" w:cs="Arial"/>
          <w:sz w:val="22"/>
          <w:szCs w:val="22"/>
        </w:rPr>
        <w:t xml:space="preserve">ask for </w:t>
      </w:r>
      <w:r w:rsidRPr="001B2ADD">
        <w:rPr>
          <w:rFonts w:ascii="Arial" w:hAnsi="Arial" w:cs="Arial"/>
          <w:sz w:val="22"/>
          <w:szCs w:val="22"/>
        </w:rPr>
        <w:t>medical reports or discuss the case with the claims department to confirm whether it reflects an isolated event or exposure that could recur. Since such details were not available, we did not want this single claim to drive the development factors too strongly.</w:t>
      </w:r>
    </w:p>
    <w:p w14:paraId="5781F586" w14:textId="77777777" w:rsidR="001B2ADD" w:rsidRDefault="00AC7963" w:rsidP="001B2ADD">
      <w:pPr>
        <w:spacing w:before="120"/>
        <w:jc w:val="both"/>
        <w:rPr>
          <w:rFonts w:ascii="Arial" w:hAnsi="Arial" w:cs="Arial"/>
          <w:sz w:val="22"/>
          <w:szCs w:val="22"/>
        </w:rPr>
      </w:pPr>
      <w:r w:rsidRPr="00AC7963">
        <w:rPr>
          <w:rFonts w:ascii="Arial" w:hAnsi="Arial" w:cs="Arial"/>
          <w:sz w:val="22"/>
          <w:szCs w:val="22"/>
        </w:rPr>
        <w:t xml:space="preserve">Since such an extreme event appears once in four years, a weight of 25 % was applied when incorporating it into the mean-based factor selection. </w:t>
      </w:r>
      <w:r w:rsidR="001B2ADD" w:rsidRPr="001B2ADD">
        <w:rPr>
          <w:rFonts w:ascii="Arial" w:hAnsi="Arial" w:cs="Arial"/>
          <w:sz w:val="22"/>
          <w:szCs w:val="22"/>
        </w:rPr>
        <w:t>This allowed us to acknowledge the claim without letting it distort the overall pattern, which felt like the most balanced approach for a small portfolio with limited data.</w:t>
      </w:r>
    </w:p>
    <w:p w14:paraId="3E28D616" w14:textId="52521214" w:rsidR="001B2ADD" w:rsidRPr="001B2ADD" w:rsidRDefault="001B2ADD" w:rsidP="001B2ADD">
      <w:pPr>
        <w:spacing w:before="120"/>
        <w:jc w:val="both"/>
        <w:rPr>
          <w:rFonts w:ascii="Arial" w:hAnsi="Arial" w:cs="Arial"/>
          <w:sz w:val="22"/>
          <w:szCs w:val="22"/>
        </w:rPr>
      </w:pPr>
      <w:r>
        <w:rPr>
          <w:rFonts w:ascii="Arial" w:hAnsi="Arial" w:cs="Arial"/>
          <w:sz w:val="22"/>
          <w:szCs w:val="22"/>
        </w:rPr>
        <w:t>In general, t</w:t>
      </w:r>
      <w:r w:rsidRPr="001B2ADD">
        <w:rPr>
          <w:rFonts w:ascii="Arial" w:hAnsi="Arial" w:cs="Arial"/>
          <w:sz w:val="22"/>
          <w:szCs w:val="22"/>
        </w:rPr>
        <w:t>he dataset does not contain many high</w:t>
      </w:r>
      <w:r>
        <w:rPr>
          <w:rFonts w:ascii="Arial" w:hAnsi="Arial" w:cs="Arial"/>
          <w:sz w:val="22"/>
          <w:szCs w:val="22"/>
        </w:rPr>
        <w:t xml:space="preserve"> </w:t>
      </w:r>
      <w:r w:rsidRPr="001B2ADD">
        <w:rPr>
          <w:rFonts w:ascii="Arial" w:hAnsi="Arial" w:cs="Arial"/>
          <w:sz w:val="22"/>
          <w:szCs w:val="22"/>
        </w:rPr>
        <w:t>severity cases, so even one large claim can noticeably affect the development pattern. Accounting for this appropriately helps avoid overstating future losses, especially for UWYs 2024 and 2025.</w:t>
      </w:r>
    </w:p>
    <w:p w14:paraId="742CD8AC" w14:textId="77777777" w:rsidR="001B2ADD" w:rsidRDefault="001B2ADD" w:rsidP="001B2ADD">
      <w:pPr>
        <w:spacing w:before="80"/>
        <w:jc w:val="both"/>
        <w:rPr>
          <w:rFonts w:ascii="Arial" w:hAnsi="Arial" w:cs="Arial"/>
          <w:sz w:val="22"/>
          <w:szCs w:val="22"/>
        </w:rPr>
      </w:pPr>
    </w:p>
    <w:p w14:paraId="3FA9D42C" w14:textId="318C7337" w:rsidR="001B2ADD" w:rsidRPr="001B2ADD" w:rsidRDefault="001B2ADD" w:rsidP="001B2ADD">
      <w:pPr>
        <w:spacing w:before="120"/>
        <w:jc w:val="both"/>
        <w:rPr>
          <w:rFonts w:ascii="Arial" w:hAnsi="Arial" w:cs="Arial"/>
          <w:sz w:val="22"/>
          <w:szCs w:val="22"/>
        </w:rPr>
      </w:pPr>
      <w:r w:rsidRPr="001B2ADD">
        <w:rPr>
          <w:rFonts w:ascii="Arial" w:hAnsi="Arial" w:cs="Arial"/>
          <w:sz w:val="22"/>
          <w:szCs w:val="22"/>
        </w:rPr>
        <w:t>With the dataset reviewed and the outlier treatment decided, we proceeded to build the monthly development triangles and estimate ultimate losses for the more recent underwriting years.</w:t>
      </w:r>
    </w:p>
    <w:p w14:paraId="3998AC0A" w14:textId="16D02158" w:rsidR="00031D3E" w:rsidRDefault="00031D3E" w:rsidP="00031D3E">
      <w:pPr>
        <w:spacing w:before="80"/>
        <w:jc w:val="both"/>
        <w:rPr>
          <w:rFonts w:ascii="Arial" w:hAnsi="Arial" w:cs="Arial"/>
          <w:sz w:val="22"/>
          <w:szCs w:val="22"/>
        </w:rPr>
      </w:pPr>
    </w:p>
    <w:p w14:paraId="29476491" w14:textId="77777777" w:rsidR="00EC3BB9" w:rsidRDefault="00EC3BB9" w:rsidP="00EC3BB9">
      <w:pPr>
        <w:rPr>
          <w:rFonts w:ascii="Arial" w:hAnsi="Arial" w:cs="Arial"/>
          <w:b/>
          <w:bCs/>
          <w:sz w:val="22"/>
          <w:szCs w:val="22"/>
        </w:rPr>
      </w:pPr>
    </w:p>
    <w:p w14:paraId="5DA207F5" w14:textId="78B094BF" w:rsidR="00BB18CC" w:rsidRPr="00BB18CC" w:rsidRDefault="00BB18CC" w:rsidP="00EC3BB9">
      <w:pPr>
        <w:rPr>
          <w:rFonts w:ascii="Arial" w:hAnsi="Arial" w:cs="Arial"/>
          <w:b/>
          <w:bCs/>
          <w:sz w:val="22"/>
          <w:szCs w:val="22"/>
        </w:rPr>
      </w:pPr>
      <w:r w:rsidRPr="00BB18CC">
        <w:rPr>
          <w:rFonts w:ascii="Arial" w:hAnsi="Arial" w:cs="Arial"/>
          <w:b/>
          <w:bCs/>
          <w:sz w:val="22"/>
          <w:szCs w:val="22"/>
        </w:rPr>
        <w:t>5. Loss Development and Ultimate Loss Estimation</w:t>
      </w:r>
    </w:p>
    <w:p w14:paraId="2C182D3A" w14:textId="643DF592" w:rsidR="00BB18CC" w:rsidRPr="00BB18CC" w:rsidRDefault="00BB18CC" w:rsidP="00EC4D22">
      <w:pPr>
        <w:jc w:val="both"/>
        <w:rPr>
          <w:rFonts w:ascii="Arial" w:hAnsi="Arial" w:cs="Arial"/>
          <w:b/>
          <w:bCs/>
          <w:sz w:val="22"/>
          <w:szCs w:val="22"/>
        </w:rPr>
      </w:pPr>
    </w:p>
    <w:p w14:paraId="61D31DB0" w14:textId="77777777" w:rsidR="00EC3BB9" w:rsidRDefault="00EC3BB9" w:rsidP="00EC3BB9">
      <w:pPr>
        <w:spacing w:before="120"/>
        <w:jc w:val="both"/>
        <w:rPr>
          <w:rFonts w:ascii="Arial" w:hAnsi="Arial" w:cs="Arial"/>
          <w:sz w:val="22"/>
          <w:szCs w:val="22"/>
        </w:rPr>
      </w:pPr>
      <w:r w:rsidRPr="00EC3BB9">
        <w:rPr>
          <w:rFonts w:ascii="Arial" w:hAnsi="Arial" w:cs="Arial"/>
          <w:sz w:val="22"/>
          <w:szCs w:val="22"/>
        </w:rPr>
        <w:t>After reviewing and preparing the dataset, we moved into the development analysis to estimate ultimate losses for UWY 2025. Although the original requirement suggested working with quarterly development, we quickly realized that quarterly aggregation was not ideal for this portfolio. With such a small number of claims, several payments occurred within the same month, and grouping them quarterly tended to smooth out meaningful variation.</w:t>
      </w:r>
    </w:p>
    <w:p w14:paraId="189735DD" w14:textId="665ECDE2" w:rsidR="00BB18CC" w:rsidRDefault="00EC3BB9" w:rsidP="00EC3BB9">
      <w:pPr>
        <w:spacing w:before="120"/>
        <w:jc w:val="both"/>
        <w:rPr>
          <w:rFonts w:ascii="Arial" w:hAnsi="Arial" w:cs="Arial"/>
          <w:sz w:val="22"/>
          <w:szCs w:val="22"/>
        </w:rPr>
      </w:pPr>
      <w:r>
        <w:rPr>
          <w:rFonts w:ascii="Arial" w:hAnsi="Arial" w:cs="Arial"/>
          <w:sz w:val="22"/>
          <w:szCs w:val="22"/>
        </w:rPr>
        <w:t>Therefore,</w:t>
      </w:r>
      <w:r w:rsidRPr="00EC3BB9">
        <w:rPr>
          <w:rFonts w:ascii="Arial" w:hAnsi="Arial" w:cs="Arial"/>
          <w:sz w:val="22"/>
          <w:szCs w:val="22"/>
        </w:rPr>
        <w:t xml:space="preserve"> we worked with monthly incurred development, which </w:t>
      </w:r>
      <w:r>
        <w:rPr>
          <w:rFonts w:ascii="Arial" w:hAnsi="Arial" w:cs="Arial"/>
          <w:sz w:val="22"/>
          <w:szCs w:val="22"/>
        </w:rPr>
        <w:t>provided</w:t>
      </w:r>
      <w:r w:rsidRPr="00EC3BB9">
        <w:rPr>
          <w:rFonts w:ascii="Arial" w:hAnsi="Arial" w:cs="Arial"/>
          <w:sz w:val="22"/>
          <w:szCs w:val="22"/>
        </w:rPr>
        <w:t xml:space="preserve"> a clearer view of how losses emerged over time across all underwriting years.</w:t>
      </w:r>
    </w:p>
    <w:p w14:paraId="6C0066D7" w14:textId="77777777" w:rsidR="00EC3BB9" w:rsidRPr="00BB18CC" w:rsidRDefault="00EC3BB9" w:rsidP="00EC3BB9">
      <w:pPr>
        <w:spacing w:before="80"/>
        <w:jc w:val="both"/>
        <w:rPr>
          <w:rFonts w:ascii="Arial" w:hAnsi="Arial" w:cs="Arial"/>
          <w:sz w:val="22"/>
          <w:szCs w:val="22"/>
        </w:rPr>
      </w:pPr>
    </w:p>
    <w:p w14:paraId="7E5FAAFA" w14:textId="5E0D4D30" w:rsidR="00677170" w:rsidRDefault="00BB18CC" w:rsidP="00EC3BB9">
      <w:pPr>
        <w:spacing w:before="80"/>
        <w:jc w:val="both"/>
        <w:rPr>
          <w:rFonts w:ascii="Arial" w:hAnsi="Arial" w:cs="Arial"/>
          <w:b/>
          <w:bCs/>
          <w:sz w:val="22"/>
          <w:szCs w:val="22"/>
        </w:rPr>
      </w:pPr>
      <w:r w:rsidRPr="00BB18CC">
        <w:rPr>
          <w:rFonts w:ascii="Arial" w:hAnsi="Arial" w:cs="Arial"/>
          <w:b/>
          <w:bCs/>
          <w:sz w:val="22"/>
          <w:szCs w:val="22"/>
        </w:rPr>
        <w:t>5.</w:t>
      </w:r>
      <w:r w:rsidR="0050282F">
        <w:rPr>
          <w:rFonts w:ascii="Arial" w:hAnsi="Arial" w:cs="Arial"/>
          <w:b/>
          <w:bCs/>
          <w:sz w:val="22"/>
          <w:szCs w:val="22"/>
        </w:rPr>
        <w:t>1</w:t>
      </w:r>
      <w:r w:rsidRPr="00BB18CC">
        <w:rPr>
          <w:rFonts w:ascii="Arial" w:hAnsi="Arial" w:cs="Arial"/>
          <w:b/>
          <w:bCs/>
          <w:sz w:val="22"/>
          <w:szCs w:val="22"/>
        </w:rPr>
        <w:t xml:space="preserve"> Building the Monthly Development Triangles</w:t>
      </w:r>
    </w:p>
    <w:p w14:paraId="2345138B" w14:textId="797AA2F7" w:rsidR="00EC3BB9" w:rsidRDefault="00EC3BB9" w:rsidP="00EC3BB9">
      <w:pPr>
        <w:spacing w:before="120"/>
        <w:jc w:val="both"/>
        <w:rPr>
          <w:rFonts w:ascii="Arial" w:hAnsi="Arial" w:cs="Arial"/>
          <w:sz w:val="22"/>
          <w:szCs w:val="22"/>
        </w:rPr>
      </w:pPr>
      <w:r w:rsidRPr="00EC3BB9">
        <w:rPr>
          <w:rFonts w:ascii="Arial" w:hAnsi="Arial" w:cs="Arial"/>
          <w:sz w:val="22"/>
          <w:szCs w:val="22"/>
        </w:rPr>
        <w:t>The monthly incurred development triangles, provided in the appendix, show how claim values evolved from early reporting stages to maturity for UWYs 2021 through 2025.</w:t>
      </w:r>
      <w:r>
        <w:rPr>
          <w:rFonts w:ascii="Arial" w:hAnsi="Arial" w:cs="Arial"/>
          <w:sz w:val="22"/>
          <w:szCs w:val="22"/>
        </w:rPr>
        <w:t xml:space="preserve"> Re</w:t>
      </w:r>
      <w:r w:rsidRPr="00847E41">
        <w:rPr>
          <w:rFonts w:ascii="Arial" w:hAnsi="Arial" w:cs="Arial"/>
          <w:sz w:val="22"/>
          <w:szCs w:val="22"/>
        </w:rPr>
        <w:t>view</w:t>
      </w:r>
      <w:r>
        <w:rPr>
          <w:rFonts w:ascii="Arial" w:hAnsi="Arial" w:cs="Arial"/>
          <w:sz w:val="22"/>
          <w:szCs w:val="22"/>
        </w:rPr>
        <w:t>ing</w:t>
      </w:r>
      <w:r w:rsidRPr="00847E41">
        <w:rPr>
          <w:rFonts w:ascii="Arial" w:hAnsi="Arial" w:cs="Arial"/>
          <w:sz w:val="22"/>
          <w:szCs w:val="22"/>
        </w:rPr>
        <w:t xml:space="preserve"> </w:t>
      </w:r>
      <w:r>
        <w:rPr>
          <w:rFonts w:ascii="Arial" w:hAnsi="Arial" w:cs="Arial"/>
          <w:sz w:val="22"/>
          <w:szCs w:val="22"/>
        </w:rPr>
        <w:t>t</w:t>
      </w:r>
      <w:r w:rsidRPr="00847E41">
        <w:rPr>
          <w:rFonts w:ascii="Arial" w:hAnsi="Arial" w:cs="Arial"/>
          <w:sz w:val="22"/>
          <w:szCs w:val="22"/>
        </w:rPr>
        <w:t>he five</w:t>
      </w:r>
      <w:r>
        <w:rPr>
          <w:rFonts w:ascii="Arial" w:hAnsi="Arial" w:cs="Arial"/>
          <w:sz w:val="22"/>
          <w:szCs w:val="22"/>
        </w:rPr>
        <w:t xml:space="preserve"> </w:t>
      </w:r>
      <w:r w:rsidRPr="00847E41">
        <w:rPr>
          <w:rFonts w:ascii="Arial" w:hAnsi="Arial" w:cs="Arial"/>
          <w:sz w:val="22"/>
          <w:szCs w:val="22"/>
        </w:rPr>
        <w:t>year</w:t>
      </w:r>
      <w:r>
        <w:rPr>
          <w:rFonts w:ascii="Arial" w:hAnsi="Arial" w:cs="Arial"/>
          <w:sz w:val="22"/>
          <w:szCs w:val="22"/>
        </w:rPr>
        <w:t>s</w:t>
      </w:r>
      <w:r w:rsidRPr="00847E41">
        <w:rPr>
          <w:rFonts w:ascii="Arial" w:hAnsi="Arial" w:cs="Arial"/>
          <w:sz w:val="22"/>
          <w:szCs w:val="22"/>
        </w:rPr>
        <w:t xml:space="preserve"> history shows that claims generally stop developing beyond 2</w:t>
      </w:r>
      <w:r>
        <w:rPr>
          <w:rFonts w:ascii="Arial" w:hAnsi="Arial" w:cs="Arial"/>
          <w:sz w:val="22"/>
          <w:szCs w:val="22"/>
        </w:rPr>
        <w:t>3</w:t>
      </w:r>
      <w:r w:rsidRPr="00847E41">
        <w:rPr>
          <w:rFonts w:ascii="Arial" w:hAnsi="Arial" w:cs="Arial"/>
          <w:sz w:val="22"/>
          <w:szCs w:val="22"/>
        </w:rPr>
        <w:t xml:space="preserve"> months.</w:t>
      </w:r>
      <w:r>
        <w:rPr>
          <w:rFonts w:ascii="Arial" w:hAnsi="Arial" w:cs="Arial"/>
          <w:sz w:val="22"/>
          <w:szCs w:val="22"/>
        </w:rPr>
        <w:t xml:space="preserve"> </w:t>
      </w:r>
      <w:r w:rsidRPr="00EC3BB9">
        <w:rPr>
          <w:rFonts w:ascii="Arial" w:hAnsi="Arial" w:cs="Arial"/>
          <w:sz w:val="22"/>
          <w:szCs w:val="22"/>
        </w:rPr>
        <w:t>This was consistent across the older underwriting years, which helped validate the assumption of a roughly two-year development horizon for this portfolio.</w:t>
      </w:r>
    </w:p>
    <w:p w14:paraId="75F09CB7" w14:textId="3E5AC441" w:rsidR="00EC3BB9" w:rsidRPr="00EC3BB9" w:rsidRDefault="00EC3BB9" w:rsidP="00EC3BB9">
      <w:pPr>
        <w:spacing w:before="120"/>
        <w:jc w:val="both"/>
        <w:rPr>
          <w:rFonts w:ascii="Arial" w:hAnsi="Arial" w:cs="Arial"/>
          <w:sz w:val="22"/>
          <w:szCs w:val="22"/>
        </w:rPr>
      </w:pPr>
      <w:r w:rsidRPr="00EC3BB9">
        <w:rPr>
          <w:rFonts w:ascii="Arial" w:hAnsi="Arial" w:cs="Arial"/>
          <w:sz w:val="22"/>
          <w:szCs w:val="22"/>
        </w:rPr>
        <w:t>For the mature years (2021</w:t>
      </w:r>
      <w:r>
        <w:rPr>
          <w:rFonts w:ascii="Arial" w:hAnsi="Arial" w:cs="Arial"/>
          <w:sz w:val="22"/>
          <w:szCs w:val="22"/>
        </w:rPr>
        <w:t>-</w:t>
      </w:r>
      <w:r w:rsidRPr="00EC3BB9">
        <w:rPr>
          <w:rFonts w:ascii="Arial" w:hAnsi="Arial" w:cs="Arial"/>
          <w:sz w:val="22"/>
          <w:szCs w:val="22"/>
        </w:rPr>
        <w:t>2023), most claim activity concentrated within the first several months, with some adjustments continuing into the second year. This is typical of shorter</w:t>
      </w:r>
      <w:r>
        <w:rPr>
          <w:rFonts w:ascii="Arial" w:hAnsi="Arial" w:cs="Arial"/>
          <w:sz w:val="22"/>
          <w:szCs w:val="22"/>
        </w:rPr>
        <w:t xml:space="preserve"> </w:t>
      </w:r>
      <w:r w:rsidRPr="00EC3BB9">
        <w:rPr>
          <w:rFonts w:ascii="Arial" w:hAnsi="Arial" w:cs="Arial"/>
          <w:sz w:val="22"/>
          <w:szCs w:val="22"/>
        </w:rPr>
        <w:t>tailed lines, where claims settle relatively quickly. Meanwhile, UWYs 2024 and 2025 had not yet completed the full development span, so we relied on historical patterns to complete their development.</w:t>
      </w:r>
    </w:p>
    <w:p w14:paraId="5C41167C" w14:textId="77777777" w:rsidR="00EC3BB9" w:rsidRDefault="00EC3BB9" w:rsidP="00EC3BB9">
      <w:pPr>
        <w:jc w:val="both"/>
        <w:rPr>
          <w:rFonts w:ascii="Arial" w:hAnsi="Arial" w:cs="Arial"/>
          <w:sz w:val="22"/>
          <w:szCs w:val="22"/>
        </w:rPr>
      </w:pPr>
    </w:p>
    <w:p w14:paraId="2AB90966" w14:textId="025E5FAD" w:rsidR="00EC3BB9" w:rsidRPr="00EC3BB9" w:rsidRDefault="00EC3BB9" w:rsidP="00EC3BB9">
      <w:pPr>
        <w:spacing w:before="120"/>
        <w:jc w:val="both"/>
        <w:rPr>
          <w:rFonts w:ascii="Arial" w:hAnsi="Arial" w:cs="Arial"/>
          <w:sz w:val="22"/>
          <w:szCs w:val="22"/>
        </w:rPr>
      </w:pPr>
      <w:r w:rsidRPr="00EC3BB9">
        <w:rPr>
          <w:rFonts w:ascii="Arial" w:hAnsi="Arial" w:cs="Arial"/>
          <w:sz w:val="22"/>
          <w:szCs w:val="22"/>
        </w:rPr>
        <w:t>The triangles confirmed the portfolio’s overall behavior</w:t>
      </w:r>
      <w:r>
        <w:rPr>
          <w:rFonts w:ascii="Arial" w:hAnsi="Arial" w:cs="Arial"/>
          <w:sz w:val="22"/>
          <w:szCs w:val="22"/>
        </w:rPr>
        <w:t>,</w:t>
      </w:r>
      <w:r w:rsidRPr="00EC3BB9">
        <w:rPr>
          <w:rFonts w:ascii="Arial" w:hAnsi="Arial" w:cs="Arial"/>
          <w:sz w:val="22"/>
          <w:szCs w:val="22"/>
        </w:rPr>
        <w:t xml:space="preserve"> rapid early emergence, moderate adjustments afterward, and stabilization around the two-year mark. This helped guide our selection of development factors.</w:t>
      </w:r>
    </w:p>
    <w:p w14:paraId="47ED3AF0" w14:textId="71C5E960" w:rsidR="00070ABB" w:rsidRDefault="00BB18CC" w:rsidP="00070ABB">
      <w:pPr>
        <w:spacing w:before="80"/>
        <w:jc w:val="both"/>
        <w:rPr>
          <w:rFonts w:ascii="Arial" w:hAnsi="Arial" w:cs="Arial"/>
          <w:b/>
          <w:bCs/>
          <w:sz w:val="22"/>
          <w:szCs w:val="22"/>
        </w:rPr>
      </w:pPr>
      <w:r w:rsidRPr="00BB18CC">
        <w:rPr>
          <w:rFonts w:ascii="Arial" w:hAnsi="Arial" w:cs="Arial"/>
          <w:b/>
          <w:bCs/>
          <w:sz w:val="22"/>
          <w:szCs w:val="22"/>
        </w:rPr>
        <w:lastRenderedPageBreak/>
        <w:t>5.</w:t>
      </w:r>
      <w:r w:rsidR="007518F1">
        <w:rPr>
          <w:rFonts w:ascii="Arial" w:hAnsi="Arial" w:cs="Arial"/>
          <w:b/>
          <w:bCs/>
          <w:sz w:val="22"/>
          <w:szCs w:val="22"/>
        </w:rPr>
        <w:t>2</w:t>
      </w:r>
      <w:r w:rsidRPr="00BB18CC">
        <w:rPr>
          <w:rFonts w:ascii="Arial" w:hAnsi="Arial" w:cs="Arial"/>
          <w:b/>
          <w:bCs/>
          <w:sz w:val="22"/>
          <w:szCs w:val="22"/>
        </w:rPr>
        <w:t xml:space="preserve"> Age-to-Age Factors</w:t>
      </w:r>
      <w:r w:rsidR="00070ABB">
        <w:rPr>
          <w:rFonts w:ascii="Arial" w:hAnsi="Arial" w:cs="Arial"/>
          <w:b/>
          <w:bCs/>
          <w:sz w:val="22"/>
          <w:szCs w:val="22"/>
        </w:rPr>
        <w:t xml:space="preserve"> Selection</w:t>
      </w:r>
    </w:p>
    <w:p w14:paraId="50970441" w14:textId="77777777" w:rsidR="00070ABB" w:rsidRPr="00070ABB" w:rsidRDefault="00070ABB" w:rsidP="00EC4D22">
      <w:pPr>
        <w:jc w:val="both"/>
        <w:rPr>
          <w:rFonts w:ascii="Arial" w:hAnsi="Arial" w:cs="Arial"/>
          <w:b/>
          <w:bCs/>
          <w:sz w:val="22"/>
          <w:szCs w:val="22"/>
        </w:rPr>
      </w:pPr>
    </w:p>
    <w:p w14:paraId="508FA942" w14:textId="38992DF8" w:rsidR="00847E41" w:rsidRPr="000C1306" w:rsidRDefault="00847E41" w:rsidP="00847E41">
      <w:pPr>
        <w:spacing w:before="80"/>
        <w:jc w:val="both"/>
        <w:rPr>
          <w:rFonts w:ascii="Arial" w:hAnsi="Arial" w:cs="Arial"/>
          <w:sz w:val="22"/>
          <w:szCs w:val="22"/>
        </w:rPr>
      </w:pPr>
      <w:r w:rsidRPr="000C1306">
        <w:rPr>
          <w:rFonts w:ascii="Arial" w:hAnsi="Arial" w:cs="Arial"/>
          <w:sz w:val="22"/>
          <w:szCs w:val="22"/>
        </w:rPr>
        <w:t>Age-to-age factors measure how incurred losses evolve from one development period to the next and form the core of the ultimate loss projection. To derive credible factors, we calculated several averaging methods</w:t>
      </w:r>
      <w:r>
        <w:rPr>
          <w:rFonts w:ascii="Arial" w:hAnsi="Arial" w:cs="Arial"/>
          <w:sz w:val="22"/>
          <w:szCs w:val="22"/>
        </w:rPr>
        <w:t>,</w:t>
      </w:r>
      <w:r w:rsidRPr="000C1306">
        <w:rPr>
          <w:rFonts w:ascii="Arial" w:hAnsi="Arial" w:cs="Arial"/>
          <w:sz w:val="22"/>
          <w:szCs w:val="22"/>
        </w:rPr>
        <w:t xml:space="preserve"> simple average, volume-weighted mean, </w:t>
      </w:r>
      <w:r>
        <w:rPr>
          <w:rFonts w:ascii="Arial" w:hAnsi="Arial" w:cs="Arial"/>
          <w:sz w:val="22"/>
          <w:szCs w:val="22"/>
        </w:rPr>
        <w:t>3</w:t>
      </w:r>
      <w:r w:rsidRPr="000C1306">
        <w:rPr>
          <w:rFonts w:ascii="Arial" w:hAnsi="Arial" w:cs="Arial"/>
          <w:sz w:val="22"/>
          <w:szCs w:val="22"/>
        </w:rPr>
        <w:t>-year average, and geometric mean. UWY 2025 was excluded from the derivation because its early development is too unstable to provide reliable information.</w:t>
      </w:r>
    </w:p>
    <w:p w14:paraId="26066982" w14:textId="77777777" w:rsidR="00847E41" w:rsidRDefault="00847E41" w:rsidP="00847E41">
      <w:pPr>
        <w:spacing w:before="80"/>
        <w:jc w:val="both"/>
        <w:rPr>
          <w:rFonts w:ascii="Arial" w:hAnsi="Arial" w:cs="Arial"/>
          <w:sz w:val="22"/>
          <w:szCs w:val="22"/>
        </w:rPr>
      </w:pPr>
      <w:r w:rsidRPr="000C1306">
        <w:rPr>
          <w:rFonts w:ascii="Arial" w:hAnsi="Arial" w:cs="Arial"/>
          <w:sz w:val="22"/>
          <w:szCs w:val="22"/>
        </w:rPr>
        <w:t xml:space="preserve">Each averaging method was evaluated by testing its ability to project incurred losses from January 2025 to September 2025. The simple and </w:t>
      </w:r>
      <w:r>
        <w:rPr>
          <w:rFonts w:ascii="Arial" w:hAnsi="Arial" w:cs="Arial"/>
          <w:sz w:val="22"/>
          <w:szCs w:val="22"/>
        </w:rPr>
        <w:t>3</w:t>
      </w:r>
      <w:r w:rsidRPr="000C1306">
        <w:rPr>
          <w:rFonts w:ascii="Arial" w:hAnsi="Arial" w:cs="Arial"/>
          <w:sz w:val="22"/>
          <w:szCs w:val="22"/>
        </w:rPr>
        <w:t>-year averages were inflated by the heavy losses observed in 2024, while the geometric mean smoothed variations but understated the early emergence typical of this portfolio.</w:t>
      </w:r>
    </w:p>
    <w:p w14:paraId="325D27B0" w14:textId="5F0A5593" w:rsidR="00847E41" w:rsidRPr="000C1306" w:rsidRDefault="00847E41" w:rsidP="00847E41">
      <w:pPr>
        <w:spacing w:before="80"/>
        <w:rPr>
          <w:rFonts w:ascii="Arial" w:hAnsi="Arial" w:cs="Arial"/>
          <w:sz w:val="22"/>
          <w:szCs w:val="22"/>
        </w:rPr>
      </w:pPr>
      <w:r w:rsidRPr="000C1306">
        <w:rPr>
          <w:rFonts w:ascii="Arial" w:hAnsi="Arial" w:cs="Arial"/>
          <w:sz w:val="22"/>
          <w:szCs w:val="22"/>
        </w:rPr>
        <w:t>The volume-weighted mean produced the closest projection ($12,275 vs. actual $11,320) and was therefore selected as the primary basis for factor selection.</w:t>
      </w:r>
    </w:p>
    <w:p w14:paraId="3AC85531" w14:textId="77777777" w:rsidR="00847E41" w:rsidRPr="000C1306" w:rsidRDefault="00847E41" w:rsidP="00847E41">
      <w:pPr>
        <w:spacing w:before="80"/>
        <w:jc w:val="both"/>
        <w:rPr>
          <w:rFonts w:ascii="Arial" w:hAnsi="Arial" w:cs="Arial"/>
          <w:sz w:val="22"/>
          <w:szCs w:val="22"/>
        </w:rPr>
      </w:pPr>
      <w:r w:rsidRPr="000C1306">
        <w:rPr>
          <w:rFonts w:ascii="Arial" w:hAnsi="Arial" w:cs="Arial"/>
          <w:sz w:val="22"/>
          <w:szCs w:val="22"/>
        </w:rPr>
        <w:t xml:space="preserve">Across all underwriting years, most first claims were reported within the first three months, and development during this period was minimal. Assigning higher factors here would introduce artificial volatility, so the </w:t>
      </w:r>
      <w:r w:rsidRPr="000C1306">
        <w:rPr>
          <w:rFonts w:ascii="Arial" w:hAnsi="Arial" w:cs="Arial"/>
          <w:b/>
          <w:bCs/>
          <w:sz w:val="22"/>
          <w:szCs w:val="22"/>
        </w:rPr>
        <w:t xml:space="preserve">2/1 </w:t>
      </w:r>
      <w:r w:rsidRPr="000C1306">
        <w:rPr>
          <w:rFonts w:ascii="Arial" w:hAnsi="Arial" w:cs="Arial"/>
          <w:sz w:val="22"/>
          <w:szCs w:val="22"/>
        </w:rPr>
        <w:t>and</w:t>
      </w:r>
      <w:r w:rsidRPr="000C1306">
        <w:rPr>
          <w:rFonts w:ascii="Arial" w:hAnsi="Arial" w:cs="Arial"/>
          <w:b/>
          <w:bCs/>
          <w:sz w:val="22"/>
          <w:szCs w:val="22"/>
        </w:rPr>
        <w:t xml:space="preserve"> 3/2 </w:t>
      </w:r>
      <w:r w:rsidRPr="000C1306">
        <w:rPr>
          <w:rFonts w:ascii="Arial" w:hAnsi="Arial" w:cs="Arial"/>
          <w:sz w:val="22"/>
          <w:szCs w:val="22"/>
        </w:rPr>
        <w:t>factors were conservatively set to 1.</w:t>
      </w:r>
    </w:p>
    <w:p w14:paraId="327912DE" w14:textId="547540D0" w:rsidR="00847E41" w:rsidRPr="000C1306" w:rsidRDefault="00847E41" w:rsidP="00847E41">
      <w:pPr>
        <w:spacing w:before="80"/>
        <w:jc w:val="both"/>
        <w:rPr>
          <w:rFonts w:ascii="Arial" w:hAnsi="Arial" w:cs="Arial"/>
          <w:sz w:val="22"/>
          <w:szCs w:val="22"/>
        </w:rPr>
      </w:pPr>
      <w:r w:rsidRPr="000C1306">
        <w:rPr>
          <w:rFonts w:ascii="Arial" w:hAnsi="Arial" w:cs="Arial"/>
          <w:sz w:val="22"/>
          <w:szCs w:val="22"/>
        </w:rPr>
        <w:t>During the reasonableness checks, two unusually high factors</w:t>
      </w:r>
      <w:r>
        <w:rPr>
          <w:rFonts w:ascii="Arial" w:hAnsi="Arial" w:cs="Arial"/>
          <w:sz w:val="22"/>
          <w:szCs w:val="22"/>
        </w:rPr>
        <w:t xml:space="preserve">, </w:t>
      </w:r>
      <w:r w:rsidRPr="000C1306">
        <w:rPr>
          <w:rFonts w:ascii="Arial" w:hAnsi="Arial" w:cs="Arial"/>
          <w:sz w:val="22"/>
          <w:szCs w:val="22"/>
        </w:rPr>
        <w:t>around 5</w:t>
      </w:r>
      <w:r>
        <w:rPr>
          <w:rFonts w:ascii="Arial" w:hAnsi="Arial" w:cs="Arial"/>
          <w:sz w:val="22"/>
          <w:szCs w:val="22"/>
        </w:rPr>
        <w:t>,</w:t>
      </w:r>
      <w:r w:rsidRPr="000C1306">
        <w:rPr>
          <w:rFonts w:ascii="Arial" w:hAnsi="Arial" w:cs="Arial"/>
          <w:sz w:val="22"/>
          <w:szCs w:val="22"/>
        </w:rPr>
        <w:t xml:space="preserve"> appeared in the </w:t>
      </w:r>
      <w:r w:rsidRPr="000C1306">
        <w:rPr>
          <w:rFonts w:ascii="Arial" w:hAnsi="Arial" w:cs="Arial"/>
          <w:b/>
          <w:bCs/>
          <w:sz w:val="22"/>
          <w:szCs w:val="22"/>
        </w:rPr>
        <w:t>4/3</w:t>
      </w:r>
      <w:r w:rsidRPr="000C1306">
        <w:rPr>
          <w:rFonts w:ascii="Arial" w:hAnsi="Arial" w:cs="Arial"/>
          <w:sz w:val="22"/>
          <w:szCs w:val="22"/>
        </w:rPr>
        <w:t xml:space="preserve"> column, resulting in an average of 2.55. These arose from very small initial incurred amounts followed by normal subsequent development. Reducing these factors to 2 underestimated the development in earlier years, confirming that the high values reflect true volatility rather than data errors</w:t>
      </w:r>
      <w:r>
        <w:rPr>
          <w:rFonts w:ascii="Arial" w:hAnsi="Arial" w:cs="Arial"/>
          <w:sz w:val="22"/>
          <w:szCs w:val="22"/>
        </w:rPr>
        <w:t>, and</w:t>
      </w:r>
      <w:r w:rsidRPr="000C1306">
        <w:rPr>
          <w:rFonts w:ascii="Arial" w:hAnsi="Arial" w:cs="Arial"/>
          <w:sz w:val="22"/>
          <w:szCs w:val="22"/>
        </w:rPr>
        <w:t xml:space="preserve"> therefore, they were retained.</w:t>
      </w:r>
    </w:p>
    <w:p w14:paraId="69D58EDC" w14:textId="77777777" w:rsidR="00847E41" w:rsidRPr="000C1306" w:rsidRDefault="00847E41" w:rsidP="00847E41">
      <w:pPr>
        <w:spacing w:before="80"/>
        <w:jc w:val="both"/>
        <w:rPr>
          <w:rFonts w:ascii="Arial" w:hAnsi="Arial" w:cs="Arial"/>
          <w:sz w:val="22"/>
          <w:szCs w:val="22"/>
        </w:rPr>
      </w:pPr>
      <w:r w:rsidRPr="000C1306">
        <w:rPr>
          <w:rFonts w:ascii="Arial" w:hAnsi="Arial" w:cs="Arial"/>
          <w:sz w:val="22"/>
          <w:szCs w:val="22"/>
        </w:rPr>
        <w:t xml:space="preserve">We also examined the previously discussed claim outlier of $11,500. To assess its influence, we constructed an adjusted triangle where this claim was replaced with 25% of its value. New age-to-age factors were calculated beginning from the </w:t>
      </w:r>
      <w:r w:rsidRPr="000C1306">
        <w:rPr>
          <w:rFonts w:ascii="Arial" w:hAnsi="Arial" w:cs="Arial"/>
          <w:b/>
          <w:bCs/>
          <w:sz w:val="22"/>
          <w:szCs w:val="22"/>
        </w:rPr>
        <w:t>9/8</w:t>
      </w:r>
      <w:r w:rsidRPr="000C1306">
        <w:rPr>
          <w:rFonts w:ascii="Arial" w:hAnsi="Arial" w:cs="Arial"/>
          <w:sz w:val="22"/>
          <w:szCs w:val="22"/>
        </w:rPr>
        <w:t xml:space="preserve"> column, as the outlier emerged at month 9. The volume-weighted mean remained the most appropriate method under this adjusted scenario as well.</w:t>
      </w:r>
    </w:p>
    <w:p w14:paraId="40D68150" w14:textId="77777777" w:rsidR="00847E41" w:rsidRPr="000C1306" w:rsidRDefault="00847E41" w:rsidP="00847E41">
      <w:pPr>
        <w:spacing w:before="80"/>
        <w:jc w:val="both"/>
        <w:rPr>
          <w:rFonts w:ascii="Arial" w:hAnsi="Arial" w:cs="Arial"/>
          <w:sz w:val="22"/>
          <w:szCs w:val="22"/>
        </w:rPr>
      </w:pPr>
      <w:r w:rsidRPr="000C1306">
        <w:rPr>
          <w:rFonts w:ascii="Arial" w:hAnsi="Arial" w:cs="Arial"/>
          <w:sz w:val="22"/>
          <w:szCs w:val="22"/>
        </w:rPr>
        <w:t>The main triangle continues to reflect the real experience of the portfolio, so the outlier was kept in the primary data. The adjusted triangle was used only to evaluate the sensitivity of factor selection.</w:t>
      </w:r>
    </w:p>
    <w:p w14:paraId="07CCA2D6" w14:textId="77777777" w:rsidR="00847E41" w:rsidRDefault="00847E41" w:rsidP="00EC4D22">
      <w:pPr>
        <w:spacing w:before="120"/>
        <w:jc w:val="both"/>
        <w:rPr>
          <w:rFonts w:ascii="Arial" w:hAnsi="Arial" w:cs="Arial"/>
          <w:sz w:val="22"/>
          <w:szCs w:val="22"/>
        </w:rPr>
      </w:pPr>
    </w:p>
    <w:tbl>
      <w:tblPr>
        <w:tblStyle w:val="TableGrid"/>
        <w:tblW w:w="77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
        <w:gridCol w:w="1008"/>
        <w:gridCol w:w="1008"/>
        <w:gridCol w:w="1296"/>
        <w:gridCol w:w="1296"/>
        <w:gridCol w:w="557"/>
        <w:gridCol w:w="1008"/>
        <w:gridCol w:w="1008"/>
      </w:tblGrid>
      <w:tr w:rsidR="00936F0D" w14:paraId="085D7C84" w14:textId="47C1CA7B" w:rsidTr="00936F0D">
        <w:trPr>
          <w:jc w:val="center"/>
        </w:trPr>
        <w:tc>
          <w:tcPr>
            <w:tcW w:w="557" w:type="dxa"/>
            <w:vMerge w:val="restart"/>
            <w:shd w:val="clear" w:color="auto" w:fill="323E4F" w:themeFill="text2" w:themeFillShade="BF"/>
            <w:textDirection w:val="btLr"/>
            <w:vAlign w:val="center"/>
          </w:tcPr>
          <w:p w14:paraId="6038204C" w14:textId="410F1819" w:rsidR="00BC407E" w:rsidRPr="00936F0D" w:rsidRDefault="00BC407E" w:rsidP="00936F0D">
            <w:pPr>
              <w:spacing w:before="40" w:after="40"/>
              <w:ind w:left="113" w:right="113"/>
              <w:jc w:val="center"/>
              <w:rPr>
                <w:rFonts w:ascii="Arial" w:hAnsi="Arial" w:cs="Arial"/>
                <w:b/>
                <w:bCs/>
                <w:color w:val="FFFFFF" w:themeColor="background1"/>
                <w:sz w:val="22"/>
                <w:szCs w:val="22"/>
              </w:rPr>
            </w:pPr>
            <w:r w:rsidRPr="00936F0D">
              <w:rPr>
                <w:rFonts w:ascii="Arial" w:hAnsi="Arial" w:cs="Arial"/>
                <w:b/>
                <w:bCs/>
                <w:color w:val="FFFFFF" w:themeColor="background1"/>
                <w:sz w:val="22"/>
                <w:szCs w:val="22"/>
              </w:rPr>
              <w:t>Development Year 0</w:t>
            </w:r>
          </w:p>
        </w:tc>
        <w:tc>
          <w:tcPr>
            <w:tcW w:w="1008" w:type="dxa"/>
            <w:vAlign w:val="center"/>
          </w:tcPr>
          <w:p w14:paraId="643BF294" w14:textId="37E8320C"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2/1</w:t>
            </w:r>
          </w:p>
        </w:tc>
        <w:tc>
          <w:tcPr>
            <w:tcW w:w="1008" w:type="dxa"/>
            <w:vAlign w:val="center"/>
          </w:tcPr>
          <w:p w14:paraId="6AD5F1FA" w14:textId="7C646E63" w:rsidR="00BC407E" w:rsidRDefault="00BC407E" w:rsidP="00936F0D">
            <w:pPr>
              <w:spacing w:before="120"/>
              <w:jc w:val="center"/>
              <w:rPr>
                <w:rFonts w:ascii="Arial" w:hAnsi="Arial" w:cs="Arial"/>
                <w:sz w:val="22"/>
                <w:szCs w:val="22"/>
              </w:rPr>
            </w:pPr>
            <w:r>
              <w:rPr>
                <w:rFonts w:ascii="Arial" w:hAnsi="Arial" w:cs="Arial"/>
                <w:sz w:val="22"/>
                <w:szCs w:val="22"/>
              </w:rPr>
              <w:t>1</w:t>
            </w:r>
          </w:p>
        </w:tc>
        <w:tc>
          <w:tcPr>
            <w:tcW w:w="1296" w:type="dxa"/>
            <w:textDirection w:val="btLr"/>
            <w:vAlign w:val="center"/>
          </w:tcPr>
          <w:p w14:paraId="66457117" w14:textId="77777777" w:rsidR="00BC407E" w:rsidRDefault="00BC407E" w:rsidP="00936F0D">
            <w:pPr>
              <w:spacing w:before="120"/>
              <w:jc w:val="center"/>
              <w:rPr>
                <w:rFonts w:ascii="Arial" w:hAnsi="Arial" w:cs="Arial"/>
                <w:sz w:val="22"/>
                <w:szCs w:val="22"/>
              </w:rPr>
            </w:pPr>
          </w:p>
        </w:tc>
        <w:tc>
          <w:tcPr>
            <w:tcW w:w="1296" w:type="dxa"/>
            <w:textDirection w:val="btLr"/>
            <w:vAlign w:val="center"/>
          </w:tcPr>
          <w:p w14:paraId="75C9275E" w14:textId="3C38B35B" w:rsidR="00BC407E" w:rsidRDefault="00BC407E" w:rsidP="00936F0D">
            <w:pPr>
              <w:spacing w:before="120"/>
              <w:jc w:val="center"/>
              <w:rPr>
                <w:rFonts w:ascii="Arial" w:hAnsi="Arial" w:cs="Arial"/>
                <w:sz w:val="22"/>
                <w:szCs w:val="22"/>
              </w:rPr>
            </w:pPr>
          </w:p>
        </w:tc>
        <w:tc>
          <w:tcPr>
            <w:tcW w:w="557" w:type="dxa"/>
            <w:vMerge w:val="restart"/>
            <w:shd w:val="clear" w:color="auto" w:fill="323E4F" w:themeFill="text2" w:themeFillShade="BF"/>
            <w:textDirection w:val="btLr"/>
            <w:vAlign w:val="center"/>
          </w:tcPr>
          <w:p w14:paraId="2CB0F856" w14:textId="0B2A6DF6" w:rsidR="00BC407E" w:rsidRPr="00936F0D" w:rsidRDefault="00BC407E" w:rsidP="00936F0D">
            <w:pPr>
              <w:spacing w:before="40" w:after="40"/>
              <w:jc w:val="center"/>
              <w:rPr>
                <w:rFonts w:ascii="Arial" w:hAnsi="Arial" w:cs="Arial"/>
                <w:b/>
                <w:bCs/>
                <w:color w:val="FFFFFF" w:themeColor="background1"/>
                <w:sz w:val="22"/>
                <w:szCs w:val="22"/>
              </w:rPr>
            </w:pPr>
            <w:r w:rsidRPr="00936F0D">
              <w:rPr>
                <w:rFonts w:ascii="Arial" w:hAnsi="Arial" w:cs="Arial"/>
                <w:b/>
                <w:bCs/>
                <w:color w:val="FFFFFF" w:themeColor="background1"/>
                <w:sz w:val="22"/>
                <w:szCs w:val="22"/>
              </w:rPr>
              <w:t>Development Year 1</w:t>
            </w:r>
          </w:p>
        </w:tc>
        <w:tc>
          <w:tcPr>
            <w:tcW w:w="1008" w:type="dxa"/>
            <w:vAlign w:val="center"/>
          </w:tcPr>
          <w:p w14:paraId="1C33C01B" w14:textId="7442EA6B"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2/1</w:t>
            </w:r>
          </w:p>
        </w:tc>
        <w:tc>
          <w:tcPr>
            <w:tcW w:w="1008" w:type="dxa"/>
            <w:vAlign w:val="center"/>
          </w:tcPr>
          <w:p w14:paraId="7081A4C0" w14:textId="2BD0860A" w:rsidR="00BC407E" w:rsidRDefault="00BC407E" w:rsidP="00936F0D">
            <w:pPr>
              <w:spacing w:before="120"/>
              <w:jc w:val="center"/>
              <w:rPr>
                <w:rFonts w:ascii="Arial" w:hAnsi="Arial" w:cs="Arial"/>
                <w:sz w:val="22"/>
                <w:szCs w:val="22"/>
              </w:rPr>
            </w:pPr>
            <w:r>
              <w:rPr>
                <w:rFonts w:ascii="Arial" w:hAnsi="Arial" w:cs="Arial"/>
                <w:sz w:val="22"/>
                <w:szCs w:val="22"/>
              </w:rPr>
              <w:t>1</w:t>
            </w:r>
          </w:p>
        </w:tc>
      </w:tr>
      <w:tr w:rsidR="00936F0D" w14:paraId="774D00A9" w14:textId="389A524F" w:rsidTr="00936F0D">
        <w:trPr>
          <w:jc w:val="center"/>
        </w:trPr>
        <w:tc>
          <w:tcPr>
            <w:tcW w:w="557" w:type="dxa"/>
            <w:vMerge/>
            <w:shd w:val="clear" w:color="auto" w:fill="323E4F" w:themeFill="text2" w:themeFillShade="BF"/>
            <w:vAlign w:val="center"/>
          </w:tcPr>
          <w:p w14:paraId="057E89FB" w14:textId="77777777" w:rsidR="00BC407E" w:rsidRDefault="00BC407E" w:rsidP="00936F0D">
            <w:pPr>
              <w:spacing w:before="120"/>
              <w:jc w:val="center"/>
              <w:rPr>
                <w:rFonts w:ascii="Arial" w:hAnsi="Arial" w:cs="Arial"/>
                <w:sz w:val="22"/>
                <w:szCs w:val="22"/>
              </w:rPr>
            </w:pPr>
          </w:p>
        </w:tc>
        <w:tc>
          <w:tcPr>
            <w:tcW w:w="1008" w:type="dxa"/>
            <w:vAlign w:val="center"/>
          </w:tcPr>
          <w:p w14:paraId="6280143C" w14:textId="269A79E6"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3/2</w:t>
            </w:r>
          </w:p>
        </w:tc>
        <w:tc>
          <w:tcPr>
            <w:tcW w:w="1008" w:type="dxa"/>
            <w:vAlign w:val="center"/>
          </w:tcPr>
          <w:p w14:paraId="66952886" w14:textId="33EBC9C5" w:rsidR="00BC407E" w:rsidRDefault="00BC407E" w:rsidP="00936F0D">
            <w:pPr>
              <w:spacing w:before="120"/>
              <w:jc w:val="center"/>
              <w:rPr>
                <w:rFonts w:ascii="Arial" w:hAnsi="Arial" w:cs="Arial"/>
                <w:sz w:val="22"/>
                <w:szCs w:val="22"/>
              </w:rPr>
            </w:pPr>
            <w:r>
              <w:rPr>
                <w:rFonts w:ascii="Arial" w:hAnsi="Arial" w:cs="Arial"/>
                <w:sz w:val="22"/>
                <w:szCs w:val="22"/>
              </w:rPr>
              <w:t>1</w:t>
            </w:r>
          </w:p>
        </w:tc>
        <w:tc>
          <w:tcPr>
            <w:tcW w:w="1296" w:type="dxa"/>
            <w:vAlign w:val="center"/>
          </w:tcPr>
          <w:p w14:paraId="3C5A17E7" w14:textId="77777777" w:rsidR="00BC407E" w:rsidRDefault="00BC407E" w:rsidP="00936F0D">
            <w:pPr>
              <w:spacing w:before="120"/>
              <w:jc w:val="center"/>
              <w:rPr>
                <w:rFonts w:ascii="Arial" w:hAnsi="Arial" w:cs="Arial"/>
                <w:sz w:val="22"/>
                <w:szCs w:val="22"/>
              </w:rPr>
            </w:pPr>
          </w:p>
        </w:tc>
        <w:tc>
          <w:tcPr>
            <w:tcW w:w="1296" w:type="dxa"/>
            <w:vAlign w:val="center"/>
          </w:tcPr>
          <w:p w14:paraId="0DBF3927" w14:textId="111060B1"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034077A6" w14:textId="40F83969" w:rsidR="00BC407E" w:rsidRDefault="00BC407E" w:rsidP="00936F0D">
            <w:pPr>
              <w:spacing w:before="120"/>
              <w:jc w:val="center"/>
              <w:rPr>
                <w:rFonts w:ascii="Arial" w:hAnsi="Arial" w:cs="Arial"/>
                <w:sz w:val="22"/>
                <w:szCs w:val="22"/>
              </w:rPr>
            </w:pPr>
          </w:p>
        </w:tc>
        <w:tc>
          <w:tcPr>
            <w:tcW w:w="1008" w:type="dxa"/>
            <w:vAlign w:val="center"/>
          </w:tcPr>
          <w:p w14:paraId="5B3ABC0C" w14:textId="26E79940"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3/2</w:t>
            </w:r>
          </w:p>
        </w:tc>
        <w:tc>
          <w:tcPr>
            <w:tcW w:w="1008" w:type="dxa"/>
            <w:vAlign w:val="center"/>
          </w:tcPr>
          <w:p w14:paraId="13548495" w14:textId="79B2E706" w:rsidR="00BC407E" w:rsidRDefault="00BC407E" w:rsidP="00936F0D">
            <w:pPr>
              <w:spacing w:before="120"/>
              <w:jc w:val="center"/>
              <w:rPr>
                <w:rFonts w:ascii="Arial" w:hAnsi="Arial" w:cs="Arial"/>
                <w:sz w:val="22"/>
                <w:szCs w:val="22"/>
              </w:rPr>
            </w:pPr>
            <w:r>
              <w:rPr>
                <w:rFonts w:ascii="Arial" w:hAnsi="Arial" w:cs="Arial"/>
                <w:sz w:val="22"/>
                <w:szCs w:val="22"/>
              </w:rPr>
              <w:t>1</w:t>
            </w:r>
          </w:p>
        </w:tc>
      </w:tr>
      <w:tr w:rsidR="00936F0D" w14:paraId="7A27E80C" w14:textId="2C6F007A" w:rsidTr="00936F0D">
        <w:trPr>
          <w:jc w:val="center"/>
        </w:trPr>
        <w:tc>
          <w:tcPr>
            <w:tcW w:w="557" w:type="dxa"/>
            <w:vMerge/>
            <w:shd w:val="clear" w:color="auto" w:fill="323E4F" w:themeFill="text2" w:themeFillShade="BF"/>
            <w:vAlign w:val="center"/>
          </w:tcPr>
          <w:p w14:paraId="601F3E3E" w14:textId="77777777" w:rsidR="00BC407E" w:rsidRDefault="00BC407E" w:rsidP="00936F0D">
            <w:pPr>
              <w:spacing w:before="120"/>
              <w:jc w:val="center"/>
              <w:rPr>
                <w:rFonts w:ascii="Arial" w:hAnsi="Arial" w:cs="Arial"/>
                <w:sz w:val="22"/>
                <w:szCs w:val="22"/>
              </w:rPr>
            </w:pPr>
          </w:p>
        </w:tc>
        <w:tc>
          <w:tcPr>
            <w:tcW w:w="1008" w:type="dxa"/>
            <w:vAlign w:val="center"/>
          </w:tcPr>
          <w:p w14:paraId="29A3AB43" w14:textId="08C7140E"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4/3</w:t>
            </w:r>
          </w:p>
        </w:tc>
        <w:tc>
          <w:tcPr>
            <w:tcW w:w="1008" w:type="dxa"/>
            <w:vAlign w:val="center"/>
          </w:tcPr>
          <w:p w14:paraId="06EE01E9" w14:textId="45449F57" w:rsidR="00BC407E" w:rsidRDefault="00BC407E" w:rsidP="00936F0D">
            <w:pPr>
              <w:spacing w:before="120"/>
              <w:jc w:val="center"/>
              <w:rPr>
                <w:rFonts w:ascii="Arial" w:hAnsi="Arial" w:cs="Arial"/>
                <w:sz w:val="22"/>
                <w:szCs w:val="22"/>
              </w:rPr>
            </w:pPr>
            <w:r>
              <w:rPr>
                <w:rFonts w:ascii="Arial" w:hAnsi="Arial" w:cs="Arial"/>
                <w:sz w:val="22"/>
                <w:szCs w:val="22"/>
              </w:rPr>
              <w:t>2.550</w:t>
            </w:r>
          </w:p>
        </w:tc>
        <w:tc>
          <w:tcPr>
            <w:tcW w:w="1296" w:type="dxa"/>
            <w:vAlign w:val="center"/>
          </w:tcPr>
          <w:p w14:paraId="17335DDB" w14:textId="77777777" w:rsidR="00BC407E" w:rsidRDefault="00BC407E" w:rsidP="00936F0D">
            <w:pPr>
              <w:spacing w:before="120"/>
              <w:jc w:val="center"/>
              <w:rPr>
                <w:rFonts w:ascii="Arial" w:hAnsi="Arial" w:cs="Arial"/>
                <w:sz w:val="22"/>
                <w:szCs w:val="22"/>
              </w:rPr>
            </w:pPr>
          </w:p>
        </w:tc>
        <w:tc>
          <w:tcPr>
            <w:tcW w:w="1296" w:type="dxa"/>
            <w:vAlign w:val="center"/>
          </w:tcPr>
          <w:p w14:paraId="33F006C2" w14:textId="6753DC32"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73CBEF94" w14:textId="7C0055FF" w:rsidR="00BC407E" w:rsidRDefault="00BC407E" w:rsidP="00936F0D">
            <w:pPr>
              <w:spacing w:before="120"/>
              <w:jc w:val="center"/>
              <w:rPr>
                <w:rFonts w:ascii="Arial" w:hAnsi="Arial" w:cs="Arial"/>
                <w:sz w:val="22"/>
                <w:szCs w:val="22"/>
              </w:rPr>
            </w:pPr>
          </w:p>
        </w:tc>
        <w:tc>
          <w:tcPr>
            <w:tcW w:w="1008" w:type="dxa"/>
            <w:vAlign w:val="center"/>
          </w:tcPr>
          <w:p w14:paraId="71B2F9D9" w14:textId="1DEEF801"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4/3</w:t>
            </w:r>
          </w:p>
        </w:tc>
        <w:tc>
          <w:tcPr>
            <w:tcW w:w="1008" w:type="dxa"/>
            <w:vAlign w:val="center"/>
          </w:tcPr>
          <w:p w14:paraId="39721293" w14:textId="5D29E1BD" w:rsidR="00BC407E" w:rsidRDefault="00BC407E" w:rsidP="00936F0D">
            <w:pPr>
              <w:spacing w:before="120"/>
              <w:jc w:val="center"/>
              <w:rPr>
                <w:rFonts w:ascii="Arial" w:hAnsi="Arial" w:cs="Arial"/>
                <w:sz w:val="22"/>
                <w:szCs w:val="22"/>
              </w:rPr>
            </w:pPr>
            <w:r>
              <w:rPr>
                <w:rFonts w:ascii="Arial" w:hAnsi="Arial" w:cs="Arial"/>
                <w:sz w:val="22"/>
                <w:szCs w:val="22"/>
              </w:rPr>
              <w:t>1.017</w:t>
            </w:r>
          </w:p>
        </w:tc>
      </w:tr>
      <w:tr w:rsidR="00936F0D" w14:paraId="1321B855" w14:textId="683F6B77" w:rsidTr="00936F0D">
        <w:trPr>
          <w:jc w:val="center"/>
        </w:trPr>
        <w:tc>
          <w:tcPr>
            <w:tcW w:w="557" w:type="dxa"/>
            <w:vMerge/>
            <w:shd w:val="clear" w:color="auto" w:fill="323E4F" w:themeFill="text2" w:themeFillShade="BF"/>
            <w:vAlign w:val="center"/>
          </w:tcPr>
          <w:p w14:paraId="67FE1C0D" w14:textId="77777777" w:rsidR="00BC407E" w:rsidRDefault="00BC407E" w:rsidP="00936F0D">
            <w:pPr>
              <w:spacing w:before="120"/>
              <w:jc w:val="center"/>
              <w:rPr>
                <w:rFonts w:ascii="Arial" w:hAnsi="Arial" w:cs="Arial"/>
                <w:sz w:val="22"/>
                <w:szCs w:val="22"/>
              </w:rPr>
            </w:pPr>
          </w:p>
        </w:tc>
        <w:tc>
          <w:tcPr>
            <w:tcW w:w="1008" w:type="dxa"/>
            <w:vAlign w:val="center"/>
          </w:tcPr>
          <w:p w14:paraId="1A871D21" w14:textId="20CA3542"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5/4</w:t>
            </w:r>
          </w:p>
        </w:tc>
        <w:tc>
          <w:tcPr>
            <w:tcW w:w="1008" w:type="dxa"/>
            <w:vAlign w:val="center"/>
          </w:tcPr>
          <w:p w14:paraId="4C753EDF" w14:textId="15A064B8" w:rsidR="00BC407E" w:rsidRDefault="00BC407E" w:rsidP="00936F0D">
            <w:pPr>
              <w:spacing w:before="120"/>
              <w:jc w:val="center"/>
              <w:rPr>
                <w:rFonts w:ascii="Arial" w:hAnsi="Arial" w:cs="Arial"/>
                <w:sz w:val="22"/>
                <w:szCs w:val="22"/>
              </w:rPr>
            </w:pPr>
            <w:r>
              <w:rPr>
                <w:rFonts w:ascii="Arial" w:hAnsi="Arial" w:cs="Arial"/>
                <w:sz w:val="22"/>
                <w:szCs w:val="22"/>
              </w:rPr>
              <w:t>1.441</w:t>
            </w:r>
          </w:p>
        </w:tc>
        <w:tc>
          <w:tcPr>
            <w:tcW w:w="1296" w:type="dxa"/>
            <w:vAlign w:val="center"/>
          </w:tcPr>
          <w:p w14:paraId="44ED62F0" w14:textId="77777777" w:rsidR="00BC407E" w:rsidRDefault="00BC407E" w:rsidP="00936F0D">
            <w:pPr>
              <w:spacing w:before="120"/>
              <w:jc w:val="center"/>
              <w:rPr>
                <w:rFonts w:ascii="Arial" w:hAnsi="Arial" w:cs="Arial"/>
                <w:sz w:val="22"/>
                <w:szCs w:val="22"/>
              </w:rPr>
            </w:pPr>
          </w:p>
        </w:tc>
        <w:tc>
          <w:tcPr>
            <w:tcW w:w="1296" w:type="dxa"/>
            <w:vAlign w:val="center"/>
          </w:tcPr>
          <w:p w14:paraId="24A6907C" w14:textId="28A45F6B"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48F9E094" w14:textId="1A400257" w:rsidR="00BC407E" w:rsidRDefault="00BC407E" w:rsidP="00936F0D">
            <w:pPr>
              <w:spacing w:before="120"/>
              <w:jc w:val="center"/>
              <w:rPr>
                <w:rFonts w:ascii="Arial" w:hAnsi="Arial" w:cs="Arial"/>
                <w:sz w:val="22"/>
                <w:szCs w:val="22"/>
              </w:rPr>
            </w:pPr>
          </w:p>
        </w:tc>
        <w:tc>
          <w:tcPr>
            <w:tcW w:w="1008" w:type="dxa"/>
            <w:vAlign w:val="center"/>
          </w:tcPr>
          <w:p w14:paraId="3529795D" w14:textId="73AD0A56"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5/4</w:t>
            </w:r>
          </w:p>
        </w:tc>
        <w:tc>
          <w:tcPr>
            <w:tcW w:w="1008" w:type="dxa"/>
            <w:vAlign w:val="center"/>
          </w:tcPr>
          <w:p w14:paraId="640A9ACE" w14:textId="2AC5E78D" w:rsidR="00BC407E" w:rsidRDefault="00BC407E" w:rsidP="00936F0D">
            <w:pPr>
              <w:spacing w:before="120"/>
              <w:jc w:val="center"/>
              <w:rPr>
                <w:rFonts w:ascii="Arial" w:hAnsi="Arial" w:cs="Arial"/>
                <w:sz w:val="22"/>
                <w:szCs w:val="22"/>
              </w:rPr>
            </w:pPr>
            <w:r>
              <w:rPr>
                <w:rFonts w:ascii="Arial" w:hAnsi="Arial" w:cs="Arial"/>
                <w:sz w:val="22"/>
                <w:szCs w:val="22"/>
              </w:rPr>
              <w:t>1</w:t>
            </w:r>
          </w:p>
        </w:tc>
      </w:tr>
      <w:tr w:rsidR="00936F0D" w14:paraId="1B5198E6" w14:textId="05E1C43B" w:rsidTr="00936F0D">
        <w:trPr>
          <w:jc w:val="center"/>
        </w:trPr>
        <w:tc>
          <w:tcPr>
            <w:tcW w:w="557" w:type="dxa"/>
            <w:vMerge/>
            <w:shd w:val="clear" w:color="auto" w:fill="323E4F" w:themeFill="text2" w:themeFillShade="BF"/>
            <w:vAlign w:val="center"/>
          </w:tcPr>
          <w:p w14:paraId="0FA95CAA" w14:textId="77777777" w:rsidR="00936F0D" w:rsidRDefault="00936F0D" w:rsidP="00936F0D">
            <w:pPr>
              <w:spacing w:before="120"/>
              <w:jc w:val="center"/>
              <w:rPr>
                <w:rFonts w:ascii="Arial" w:hAnsi="Arial" w:cs="Arial"/>
                <w:sz w:val="22"/>
                <w:szCs w:val="22"/>
              </w:rPr>
            </w:pPr>
          </w:p>
        </w:tc>
        <w:tc>
          <w:tcPr>
            <w:tcW w:w="1008" w:type="dxa"/>
            <w:vAlign w:val="center"/>
          </w:tcPr>
          <w:p w14:paraId="6F5499AE" w14:textId="3BF51390" w:rsidR="00936F0D" w:rsidRPr="00936F0D" w:rsidRDefault="00936F0D" w:rsidP="00936F0D">
            <w:pPr>
              <w:spacing w:before="120"/>
              <w:jc w:val="center"/>
              <w:rPr>
                <w:rFonts w:ascii="Arial" w:hAnsi="Arial" w:cs="Arial"/>
                <w:b/>
                <w:bCs/>
                <w:sz w:val="22"/>
                <w:szCs w:val="22"/>
              </w:rPr>
            </w:pPr>
            <w:r w:rsidRPr="00936F0D">
              <w:rPr>
                <w:rFonts w:ascii="Arial" w:hAnsi="Arial" w:cs="Arial"/>
                <w:b/>
                <w:bCs/>
                <w:sz w:val="22"/>
                <w:szCs w:val="22"/>
              </w:rPr>
              <w:t>6/5</w:t>
            </w:r>
          </w:p>
        </w:tc>
        <w:tc>
          <w:tcPr>
            <w:tcW w:w="1008" w:type="dxa"/>
            <w:vAlign w:val="center"/>
          </w:tcPr>
          <w:p w14:paraId="1B98A3B2" w14:textId="07B56D86" w:rsidR="00936F0D" w:rsidRDefault="00936F0D" w:rsidP="00936F0D">
            <w:pPr>
              <w:spacing w:before="120"/>
              <w:jc w:val="center"/>
              <w:rPr>
                <w:rFonts w:ascii="Arial" w:hAnsi="Arial" w:cs="Arial"/>
                <w:sz w:val="22"/>
                <w:szCs w:val="22"/>
              </w:rPr>
            </w:pPr>
            <w:r>
              <w:rPr>
                <w:rFonts w:ascii="Arial" w:hAnsi="Arial" w:cs="Arial"/>
                <w:sz w:val="22"/>
                <w:szCs w:val="22"/>
              </w:rPr>
              <w:t>1.310</w:t>
            </w:r>
          </w:p>
        </w:tc>
        <w:tc>
          <w:tcPr>
            <w:tcW w:w="1296" w:type="dxa"/>
            <w:vAlign w:val="center"/>
          </w:tcPr>
          <w:p w14:paraId="38ED78D2" w14:textId="49213946" w:rsidR="00936F0D" w:rsidRPr="00936F0D" w:rsidRDefault="00936F0D" w:rsidP="00936F0D">
            <w:pPr>
              <w:spacing w:before="120"/>
              <w:jc w:val="center"/>
              <w:rPr>
                <w:rFonts w:ascii="Arial" w:hAnsi="Arial" w:cs="Arial"/>
                <w:b/>
                <w:bCs/>
                <w:sz w:val="22"/>
                <w:szCs w:val="22"/>
              </w:rPr>
            </w:pPr>
            <w:r w:rsidRPr="00936F0D">
              <w:rPr>
                <w:rFonts w:ascii="Arial" w:hAnsi="Arial" w:cs="Arial"/>
                <w:b/>
                <w:bCs/>
                <w:sz w:val="22"/>
                <w:szCs w:val="22"/>
              </w:rPr>
              <w:t>Tail factor</w:t>
            </w:r>
          </w:p>
        </w:tc>
        <w:tc>
          <w:tcPr>
            <w:tcW w:w="1296" w:type="dxa"/>
            <w:vMerge w:val="restart"/>
            <w:vAlign w:val="center"/>
          </w:tcPr>
          <w:p w14:paraId="4B5BC64C" w14:textId="25E3B90D" w:rsidR="00936F0D" w:rsidRDefault="00936F0D" w:rsidP="00936F0D">
            <w:pPr>
              <w:spacing w:before="120"/>
              <w:jc w:val="center"/>
              <w:rPr>
                <w:rFonts w:ascii="Arial" w:hAnsi="Arial" w:cs="Arial"/>
                <w:sz w:val="22"/>
                <w:szCs w:val="22"/>
              </w:rPr>
            </w:pPr>
            <w:r>
              <w:rPr>
                <w:rFonts w:ascii="Arial" w:hAnsi="Arial" w:cs="Arial"/>
                <w:sz w:val="22"/>
                <w:szCs w:val="22"/>
              </w:rPr>
              <w:t>1.097</w:t>
            </w:r>
          </w:p>
        </w:tc>
        <w:tc>
          <w:tcPr>
            <w:tcW w:w="557" w:type="dxa"/>
            <w:vMerge/>
            <w:shd w:val="clear" w:color="auto" w:fill="323E4F" w:themeFill="text2" w:themeFillShade="BF"/>
            <w:vAlign w:val="center"/>
          </w:tcPr>
          <w:p w14:paraId="49CCA454" w14:textId="2501A676" w:rsidR="00936F0D" w:rsidRDefault="00936F0D" w:rsidP="00936F0D">
            <w:pPr>
              <w:spacing w:before="120"/>
              <w:jc w:val="center"/>
              <w:rPr>
                <w:rFonts w:ascii="Arial" w:hAnsi="Arial" w:cs="Arial"/>
                <w:sz w:val="22"/>
                <w:szCs w:val="22"/>
              </w:rPr>
            </w:pPr>
          </w:p>
        </w:tc>
        <w:tc>
          <w:tcPr>
            <w:tcW w:w="1008" w:type="dxa"/>
            <w:vAlign w:val="center"/>
          </w:tcPr>
          <w:p w14:paraId="4AC8FAFD" w14:textId="50728C7D" w:rsidR="00936F0D" w:rsidRPr="00936F0D" w:rsidRDefault="00936F0D" w:rsidP="00936F0D">
            <w:pPr>
              <w:spacing w:before="120"/>
              <w:jc w:val="center"/>
              <w:rPr>
                <w:rFonts w:ascii="Arial" w:hAnsi="Arial" w:cs="Arial"/>
                <w:b/>
                <w:bCs/>
                <w:sz w:val="22"/>
                <w:szCs w:val="22"/>
              </w:rPr>
            </w:pPr>
            <w:r w:rsidRPr="00936F0D">
              <w:rPr>
                <w:rFonts w:ascii="Arial" w:hAnsi="Arial" w:cs="Arial"/>
                <w:b/>
                <w:bCs/>
                <w:sz w:val="22"/>
                <w:szCs w:val="22"/>
              </w:rPr>
              <w:t>6/5</w:t>
            </w:r>
          </w:p>
        </w:tc>
        <w:tc>
          <w:tcPr>
            <w:tcW w:w="1008" w:type="dxa"/>
            <w:vAlign w:val="center"/>
          </w:tcPr>
          <w:p w14:paraId="4131B46B" w14:textId="0550E88A" w:rsidR="00936F0D" w:rsidRDefault="00936F0D" w:rsidP="00936F0D">
            <w:pPr>
              <w:spacing w:before="120"/>
              <w:jc w:val="center"/>
              <w:rPr>
                <w:rFonts w:ascii="Arial" w:hAnsi="Arial" w:cs="Arial"/>
                <w:sz w:val="22"/>
                <w:szCs w:val="22"/>
              </w:rPr>
            </w:pPr>
            <w:r>
              <w:rPr>
                <w:rFonts w:ascii="Arial" w:hAnsi="Arial" w:cs="Arial"/>
                <w:sz w:val="22"/>
                <w:szCs w:val="22"/>
              </w:rPr>
              <w:t>1</w:t>
            </w:r>
          </w:p>
        </w:tc>
      </w:tr>
      <w:tr w:rsidR="00936F0D" w14:paraId="1E9E2E7C" w14:textId="2AE3546C" w:rsidTr="00936F0D">
        <w:trPr>
          <w:jc w:val="center"/>
        </w:trPr>
        <w:tc>
          <w:tcPr>
            <w:tcW w:w="557" w:type="dxa"/>
            <w:vMerge/>
            <w:shd w:val="clear" w:color="auto" w:fill="323E4F" w:themeFill="text2" w:themeFillShade="BF"/>
            <w:vAlign w:val="center"/>
          </w:tcPr>
          <w:p w14:paraId="246372FE" w14:textId="77777777" w:rsidR="00936F0D" w:rsidRDefault="00936F0D" w:rsidP="00936F0D">
            <w:pPr>
              <w:spacing w:before="120"/>
              <w:jc w:val="center"/>
              <w:rPr>
                <w:rFonts w:ascii="Arial" w:hAnsi="Arial" w:cs="Arial"/>
                <w:sz w:val="22"/>
                <w:szCs w:val="22"/>
              </w:rPr>
            </w:pPr>
          </w:p>
        </w:tc>
        <w:tc>
          <w:tcPr>
            <w:tcW w:w="1008" w:type="dxa"/>
            <w:vAlign w:val="center"/>
          </w:tcPr>
          <w:p w14:paraId="163F4009" w14:textId="4754A469" w:rsidR="00936F0D" w:rsidRPr="00936F0D" w:rsidRDefault="00936F0D" w:rsidP="00936F0D">
            <w:pPr>
              <w:spacing w:before="120"/>
              <w:jc w:val="center"/>
              <w:rPr>
                <w:rFonts w:ascii="Arial" w:hAnsi="Arial" w:cs="Arial"/>
                <w:b/>
                <w:bCs/>
                <w:sz w:val="22"/>
                <w:szCs w:val="22"/>
              </w:rPr>
            </w:pPr>
            <w:r w:rsidRPr="00936F0D">
              <w:rPr>
                <w:rFonts w:ascii="Arial" w:hAnsi="Arial" w:cs="Arial"/>
                <w:b/>
                <w:bCs/>
                <w:sz w:val="22"/>
                <w:szCs w:val="22"/>
              </w:rPr>
              <w:t>7/6</w:t>
            </w:r>
          </w:p>
        </w:tc>
        <w:tc>
          <w:tcPr>
            <w:tcW w:w="1008" w:type="dxa"/>
            <w:vAlign w:val="center"/>
          </w:tcPr>
          <w:p w14:paraId="138850DF" w14:textId="60777809" w:rsidR="00936F0D" w:rsidRDefault="00936F0D" w:rsidP="00936F0D">
            <w:pPr>
              <w:spacing w:before="120"/>
              <w:jc w:val="center"/>
              <w:rPr>
                <w:rFonts w:ascii="Arial" w:hAnsi="Arial" w:cs="Arial"/>
                <w:sz w:val="22"/>
                <w:szCs w:val="22"/>
              </w:rPr>
            </w:pPr>
            <w:r>
              <w:rPr>
                <w:rFonts w:ascii="Arial" w:hAnsi="Arial" w:cs="Arial"/>
                <w:sz w:val="22"/>
                <w:szCs w:val="22"/>
              </w:rPr>
              <w:t>1.519</w:t>
            </w:r>
          </w:p>
        </w:tc>
        <w:tc>
          <w:tcPr>
            <w:tcW w:w="1296" w:type="dxa"/>
            <w:vAlign w:val="center"/>
          </w:tcPr>
          <w:p w14:paraId="169171A2" w14:textId="353D1086" w:rsidR="00936F0D" w:rsidRPr="00936F0D" w:rsidRDefault="00936F0D" w:rsidP="00936F0D">
            <w:pPr>
              <w:spacing w:before="120"/>
              <w:jc w:val="center"/>
              <w:rPr>
                <w:rFonts w:ascii="Arial" w:hAnsi="Arial" w:cs="Arial"/>
                <w:b/>
                <w:bCs/>
                <w:sz w:val="22"/>
                <w:szCs w:val="22"/>
              </w:rPr>
            </w:pPr>
            <w:r w:rsidRPr="00936F0D">
              <w:rPr>
                <w:rFonts w:ascii="Arial" w:hAnsi="Arial" w:cs="Arial"/>
                <w:b/>
                <w:bCs/>
                <w:sz w:val="22"/>
                <w:szCs w:val="22"/>
              </w:rPr>
              <w:t>1/12</w:t>
            </w:r>
          </w:p>
        </w:tc>
        <w:tc>
          <w:tcPr>
            <w:tcW w:w="1296" w:type="dxa"/>
            <w:vMerge/>
            <w:vAlign w:val="center"/>
          </w:tcPr>
          <w:p w14:paraId="32422BEF" w14:textId="0940D0A8" w:rsidR="00936F0D" w:rsidRDefault="00936F0D"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6F9325F1" w14:textId="1AD32BC0" w:rsidR="00936F0D" w:rsidRDefault="00936F0D" w:rsidP="00936F0D">
            <w:pPr>
              <w:spacing w:before="120"/>
              <w:jc w:val="center"/>
              <w:rPr>
                <w:rFonts w:ascii="Arial" w:hAnsi="Arial" w:cs="Arial"/>
                <w:sz w:val="22"/>
                <w:szCs w:val="22"/>
              </w:rPr>
            </w:pPr>
          </w:p>
        </w:tc>
        <w:tc>
          <w:tcPr>
            <w:tcW w:w="1008" w:type="dxa"/>
            <w:vAlign w:val="center"/>
          </w:tcPr>
          <w:p w14:paraId="7B2391D2" w14:textId="55846C01" w:rsidR="00936F0D" w:rsidRPr="00936F0D" w:rsidRDefault="00936F0D" w:rsidP="00936F0D">
            <w:pPr>
              <w:spacing w:before="120"/>
              <w:jc w:val="center"/>
              <w:rPr>
                <w:rFonts w:ascii="Arial" w:hAnsi="Arial" w:cs="Arial"/>
                <w:b/>
                <w:bCs/>
                <w:sz w:val="22"/>
                <w:szCs w:val="22"/>
              </w:rPr>
            </w:pPr>
            <w:r w:rsidRPr="00936F0D">
              <w:rPr>
                <w:rFonts w:ascii="Arial" w:hAnsi="Arial" w:cs="Arial"/>
                <w:b/>
                <w:bCs/>
                <w:sz w:val="22"/>
                <w:szCs w:val="22"/>
              </w:rPr>
              <w:t>7/6</w:t>
            </w:r>
          </w:p>
        </w:tc>
        <w:tc>
          <w:tcPr>
            <w:tcW w:w="1008" w:type="dxa"/>
            <w:vAlign w:val="center"/>
          </w:tcPr>
          <w:p w14:paraId="6E2A8E1F" w14:textId="764351BA" w:rsidR="00936F0D" w:rsidRDefault="00936F0D" w:rsidP="00936F0D">
            <w:pPr>
              <w:spacing w:before="120"/>
              <w:jc w:val="center"/>
              <w:rPr>
                <w:rFonts w:ascii="Arial" w:hAnsi="Arial" w:cs="Arial"/>
                <w:sz w:val="22"/>
                <w:szCs w:val="22"/>
              </w:rPr>
            </w:pPr>
            <w:r>
              <w:rPr>
                <w:rFonts w:ascii="Arial" w:hAnsi="Arial" w:cs="Arial"/>
                <w:sz w:val="22"/>
                <w:szCs w:val="22"/>
              </w:rPr>
              <w:t>1.030</w:t>
            </w:r>
          </w:p>
        </w:tc>
      </w:tr>
      <w:tr w:rsidR="00936F0D" w14:paraId="045166FF" w14:textId="719B21C3" w:rsidTr="00936F0D">
        <w:trPr>
          <w:jc w:val="center"/>
        </w:trPr>
        <w:tc>
          <w:tcPr>
            <w:tcW w:w="557" w:type="dxa"/>
            <w:vMerge/>
            <w:shd w:val="clear" w:color="auto" w:fill="323E4F" w:themeFill="text2" w:themeFillShade="BF"/>
            <w:vAlign w:val="center"/>
          </w:tcPr>
          <w:p w14:paraId="356A1501" w14:textId="77777777" w:rsidR="00BC407E" w:rsidRDefault="00BC407E" w:rsidP="00936F0D">
            <w:pPr>
              <w:spacing w:before="120"/>
              <w:jc w:val="center"/>
              <w:rPr>
                <w:rFonts w:ascii="Arial" w:hAnsi="Arial" w:cs="Arial"/>
                <w:sz w:val="22"/>
                <w:szCs w:val="22"/>
              </w:rPr>
            </w:pPr>
          </w:p>
        </w:tc>
        <w:tc>
          <w:tcPr>
            <w:tcW w:w="1008" w:type="dxa"/>
            <w:vAlign w:val="center"/>
          </w:tcPr>
          <w:p w14:paraId="41B4858E" w14:textId="76E6374B"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8/7</w:t>
            </w:r>
          </w:p>
        </w:tc>
        <w:tc>
          <w:tcPr>
            <w:tcW w:w="1008" w:type="dxa"/>
            <w:vAlign w:val="center"/>
          </w:tcPr>
          <w:p w14:paraId="45746949" w14:textId="0A64B1D5" w:rsidR="00BC407E" w:rsidRDefault="00BC407E" w:rsidP="00936F0D">
            <w:pPr>
              <w:spacing w:before="120"/>
              <w:jc w:val="center"/>
              <w:rPr>
                <w:rFonts w:ascii="Arial" w:hAnsi="Arial" w:cs="Arial"/>
                <w:sz w:val="22"/>
                <w:szCs w:val="22"/>
              </w:rPr>
            </w:pPr>
            <w:r>
              <w:rPr>
                <w:rFonts w:ascii="Arial" w:hAnsi="Arial" w:cs="Arial"/>
                <w:sz w:val="22"/>
                <w:szCs w:val="22"/>
              </w:rPr>
              <w:t>1.168</w:t>
            </w:r>
          </w:p>
        </w:tc>
        <w:tc>
          <w:tcPr>
            <w:tcW w:w="1296" w:type="dxa"/>
            <w:vAlign w:val="center"/>
          </w:tcPr>
          <w:p w14:paraId="5F34114D" w14:textId="77777777" w:rsidR="00BC407E" w:rsidRDefault="00BC407E" w:rsidP="00936F0D">
            <w:pPr>
              <w:spacing w:before="120"/>
              <w:jc w:val="center"/>
              <w:rPr>
                <w:rFonts w:ascii="Arial" w:hAnsi="Arial" w:cs="Arial"/>
                <w:sz w:val="22"/>
                <w:szCs w:val="22"/>
              </w:rPr>
            </w:pPr>
          </w:p>
        </w:tc>
        <w:tc>
          <w:tcPr>
            <w:tcW w:w="1296" w:type="dxa"/>
            <w:vAlign w:val="center"/>
          </w:tcPr>
          <w:p w14:paraId="17392DA9" w14:textId="64C11AF5"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1DF7E10D" w14:textId="2F9C38BB" w:rsidR="00BC407E" w:rsidRDefault="00BC407E" w:rsidP="00936F0D">
            <w:pPr>
              <w:spacing w:before="120"/>
              <w:jc w:val="center"/>
              <w:rPr>
                <w:rFonts w:ascii="Arial" w:hAnsi="Arial" w:cs="Arial"/>
                <w:sz w:val="22"/>
                <w:szCs w:val="22"/>
              </w:rPr>
            </w:pPr>
          </w:p>
        </w:tc>
        <w:tc>
          <w:tcPr>
            <w:tcW w:w="1008" w:type="dxa"/>
            <w:vAlign w:val="center"/>
          </w:tcPr>
          <w:p w14:paraId="498166CB" w14:textId="54303EF9"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8/7</w:t>
            </w:r>
          </w:p>
        </w:tc>
        <w:tc>
          <w:tcPr>
            <w:tcW w:w="1008" w:type="dxa"/>
            <w:vAlign w:val="center"/>
          </w:tcPr>
          <w:p w14:paraId="676B2242" w14:textId="0FA344E9" w:rsidR="00BC407E" w:rsidRDefault="00BC407E" w:rsidP="00936F0D">
            <w:pPr>
              <w:spacing w:before="120"/>
              <w:jc w:val="center"/>
              <w:rPr>
                <w:rFonts w:ascii="Arial" w:hAnsi="Arial" w:cs="Arial"/>
                <w:sz w:val="22"/>
                <w:szCs w:val="22"/>
              </w:rPr>
            </w:pPr>
            <w:r>
              <w:rPr>
                <w:rFonts w:ascii="Arial" w:hAnsi="Arial" w:cs="Arial"/>
                <w:sz w:val="22"/>
                <w:szCs w:val="22"/>
              </w:rPr>
              <w:t>1</w:t>
            </w:r>
          </w:p>
        </w:tc>
      </w:tr>
      <w:tr w:rsidR="00936F0D" w14:paraId="2F8E1149" w14:textId="140E37E3" w:rsidTr="00936F0D">
        <w:trPr>
          <w:jc w:val="center"/>
        </w:trPr>
        <w:tc>
          <w:tcPr>
            <w:tcW w:w="557" w:type="dxa"/>
            <w:vMerge/>
            <w:shd w:val="clear" w:color="auto" w:fill="323E4F" w:themeFill="text2" w:themeFillShade="BF"/>
            <w:vAlign w:val="center"/>
          </w:tcPr>
          <w:p w14:paraId="48A7730B" w14:textId="77777777" w:rsidR="00BC407E" w:rsidRDefault="00BC407E" w:rsidP="00936F0D">
            <w:pPr>
              <w:spacing w:before="120"/>
              <w:jc w:val="center"/>
              <w:rPr>
                <w:rFonts w:ascii="Arial" w:hAnsi="Arial" w:cs="Arial"/>
                <w:sz w:val="22"/>
                <w:szCs w:val="22"/>
              </w:rPr>
            </w:pPr>
          </w:p>
        </w:tc>
        <w:tc>
          <w:tcPr>
            <w:tcW w:w="1008" w:type="dxa"/>
            <w:vAlign w:val="center"/>
          </w:tcPr>
          <w:p w14:paraId="5AF551C6" w14:textId="48219097"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9/8</w:t>
            </w:r>
          </w:p>
        </w:tc>
        <w:tc>
          <w:tcPr>
            <w:tcW w:w="1008" w:type="dxa"/>
            <w:vAlign w:val="center"/>
          </w:tcPr>
          <w:p w14:paraId="104EFE89" w14:textId="2F1AB56E" w:rsidR="00BC407E" w:rsidRDefault="00BC407E" w:rsidP="00936F0D">
            <w:pPr>
              <w:spacing w:before="120"/>
              <w:jc w:val="center"/>
              <w:rPr>
                <w:rFonts w:ascii="Arial" w:hAnsi="Arial" w:cs="Arial"/>
                <w:sz w:val="22"/>
                <w:szCs w:val="22"/>
              </w:rPr>
            </w:pPr>
            <w:r>
              <w:rPr>
                <w:rFonts w:ascii="Arial" w:hAnsi="Arial" w:cs="Arial"/>
                <w:sz w:val="22"/>
                <w:szCs w:val="22"/>
              </w:rPr>
              <w:t>1.185</w:t>
            </w:r>
          </w:p>
        </w:tc>
        <w:tc>
          <w:tcPr>
            <w:tcW w:w="1296" w:type="dxa"/>
            <w:vAlign w:val="center"/>
          </w:tcPr>
          <w:p w14:paraId="7602155D" w14:textId="77777777" w:rsidR="00BC407E" w:rsidRDefault="00BC407E" w:rsidP="00936F0D">
            <w:pPr>
              <w:spacing w:before="120"/>
              <w:jc w:val="center"/>
              <w:rPr>
                <w:rFonts w:ascii="Arial" w:hAnsi="Arial" w:cs="Arial"/>
                <w:sz w:val="22"/>
                <w:szCs w:val="22"/>
              </w:rPr>
            </w:pPr>
          </w:p>
        </w:tc>
        <w:tc>
          <w:tcPr>
            <w:tcW w:w="1296" w:type="dxa"/>
            <w:vAlign w:val="center"/>
          </w:tcPr>
          <w:p w14:paraId="2386AE19" w14:textId="6B88B12E"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41878CEF" w14:textId="07996A10" w:rsidR="00BC407E" w:rsidRDefault="00BC407E" w:rsidP="00936F0D">
            <w:pPr>
              <w:spacing w:before="120"/>
              <w:jc w:val="center"/>
              <w:rPr>
                <w:rFonts w:ascii="Arial" w:hAnsi="Arial" w:cs="Arial"/>
                <w:sz w:val="22"/>
                <w:szCs w:val="22"/>
              </w:rPr>
            </w:pPr>
          </w:p>
        </w:tc>
        <w:tc>
          <w:tcPr>
            <w:tcW w:w="1008" w:type="dxa"/>
            <w:vAlign w:val="center"/>
          </w:tcPr>
          <w:p w14:paraId="08368B63" w14:textId="59ECC3C7"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9/8</w:t>
            </w:r>
          </w:p>
        </w:tc>
        <w:tc>
          <w:tcPr>
            <w:tcW w:w="1008" w:type="dxa"/>
            <w:vAlign w:val="center"/>
          </w:tcPr>
          <w:p w14:paraId="0082C740" w14:textId="05974756" w:rsidR="00BC407E" w:rsidRDefault="00BC407E" w:rsidP="00936F0D">
            <w:pPr>
              <w:spacing w:before="120"/>
              <w:jc w:val="center"/>
              <w:rPr>
                <w:rFonts w:ascii="Arial" w:hAnsi="Arial" w:cs="Arial"/>
                <w:sz w:val="22"/>
                <w:szCs w:val="22"/>
              </w:rPr>
            </w:pPr>
            <w:r>
              <w:rPr>
                <w:rFonts w:ascii="Arial" w:hAnsi="Arial" w:cs="Arial"/>
                <w:sz w:val="22"/>
                <w:szCs w:val="22"/>
              </w:rPr>
              <w:t>1</w:t>
            </w:r>
          </w:p>
        </w:tc>
      </w:tr>
      <w:tr w:rsidR="00936F0D" w14:paraId="651F9934" w14:textId="3422962D" w:rsidTr="00936F0D">
        <w:trPr>
          <w:jc w:val="center"/>
        </w:trPr>
        <w:tc>
          <w:tcPr>
            <w:tcW w:w="557" w:type="dxa"/>
            <w:vMerge/>
            <w:shd w:val="clear" w:color="auto" w:fill="323E4F" w:themeFill="text2" w:themeFillShade="BF"/>
            <w:vAlign w:val="center"/>
          </w:tcPr>
          <w:p w14:paraId="7839D976" w14:textId="77777777" w:rsidR="00BC407E" w:rsidRDefault="00BC407E" w:rsidP="00936F0D">
            <w:pPr>
              <w:spacing w:before="120"/>
              <w:jc w:val="center"/>
              <w:rPr>
                <w:rFonts w:ascii="Arial" w:hAnsi="Arial" w:cs="Arial"/>
                <w:sz w:val="22"/>
                <w:szCs w:val="22"/>
              </w:rPr>
            </w:pPr>
          </w:p>
        </w:tc>
        <w:tc>
          <w:tcPr>
            <w:tcW w:w="1008" w:type="dxa"/>
            <w:vAlign w:val="center"/>
          </w:tcPr>
          <w:p w14:paraId="5E5869B1" w14:textId="1698B411"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10/9</w:t>
            </w:r>
          </w:p>
        </w:tc>
        <w:tc>
          <w:tcPr>
            <w:tcW w:w="1008" w:type="dxa"/>
            <w:vAlign w:val="center"/>
          </w:tcPr>
          <w:p w14:paraId="00DBA5D0" w14:textId="066E3238" w:rsidR="00BC407E" w:rsidRDefault="00BC407E" w:rsidP="00936F0D">
            <w:pPr>
              <w:spacing w:before="120"/>
              <w:jc w:val="center"/>
              <w:rPr>
                <w:rFonts w:ascii="Arial" w:hAnsi="Arial" w:cs="Arial"/>
                <w:sz w:val="22"/>
                <w:szCs w:val="22"/>
              </w:rPr>
            </w:pPr>
            <w:r>
              <w:rPr>
                <w:rFonts w:ascii="Arial" w:hAnsi="Arial" w:cs="Arial"/>
                <w:sz w:val="22"/>
                <w:szCs w:val="22"/>
              </w:rPr>
              <w:t>1.154</w:t>
            </w:r>
          </w:p>
        </w:tc>
        <w:tc>
          <w:tcPr>
            <w:tcW w:w="1296" w:type="dxa"/>
            <w:vAlign w:val="center"/>
          </w:tcPr>
          <w:p w14:paraId="4D37A713" w14:textId="77777777" w:rsidR="00BC407E" w:rsidRDefault="00BC407E" w:rsidP="00936F0D">
            <w:pPr>
              <w:spacing w:before="120"/>
              <w:jc w:val="center"/>
              <w:rPr>
                <w:rFonts w:ascii="Arial" w:hAnsi="Arial" w:cs="Arial"/>
                <w:sz w:val="22"/>
                <w:szCs w:val="22"/>
              </w:rPr>
            </w:pPr>
          </w:p>
        </w:tc>
        <w:tc>
          <w:tcPr>
            <w:tcW w:w="1296" w:type="dxa"/>
            <w:vAlign w:val="center"/>
          </w:tcPr>
          <w:p w14:paraId="0869EE89" w14:textId="48FA811A"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0574CF5E" w14:textId="00D1B719" w:rsidR="00BC407E" w:rsidRDefault="00BC407E" w:rsidP="00936F0D">
            <w:pPr>
              <w:spacing w:before="120"/>
              <w:jc w:val="center"/>
              <w:rPr>
                <w:rFonts w:ascii="Arial" w:hAnsi="Arial" w:cs="Arial"/>
                <w:sz w:val="22"/>
                <w:szCs w:val="22"/>
              </w:rPr>
            </w:pPr>
          </w:p>
        </w:tc>
        <w:tc>
          <w:tcPr>
            <w:tcW w:w="1008" w:type="dxa"/>
            <w:vAlign w:val="center"/>
          </w:tcPr>
          <w:p w14:paraId="6D440278" w14:textId="6B1F83A7"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10/9</w:t>
            </w:r>
          </w:p>
        </w:tc>
        <w:tc>
          <w:tcPr>
            <w:tcW w:w="1008" w:type="dxa"/>
            <w:vAlign w:val="center"/>
          </w:tcPr>
          <w:p w14:paraId="2DE81178" w14:textId="1798538F" w:rsidR="00BC407E" w:rsidRDefault="00BC407E" w:rsidP="00936F0D">
            <w:pPr>
              <w:spacing w:before="120"/>
              <w:jc w:val="center"/>
              <w:rPr>
                <w:rFonts w:ascii="Arial" w:hAnsi="Arial" w:cs="Arial"/>
                <w:sz w:val="22"/>
                <w:szCs w:val="22"/>
              </w:rPr>
            </w:pPr>
            <w:r>
              <w:rPr>
                <w:rFonts w:ascii="Arial" w:hAnsi="Arial" w:cs="Arial"/>
                <w:sz w:val="22"/>
                <w:szCs w:val="22"/>
              </w:rPr>
              <w:t>1</w:t>
            </w:r>
          </w:p>
        </w:tc>
      </w:tr>
      <w:tr w:rsidR="00936F0D" w14:paraId="661FD723" w14:textId="3AF2F4C2" w:rsidTr="00936F0D">
        <w:trPr>
          <w:jc w:val="center"/>
        </w:trPr>
        <w:tc>
          <w:tcPr>
            <w:tcW w:w="557" w:type="dxa"/>
            <w:vMerge/>
            <w:shd w:val="clear" w:color="auto" w:fill="323E4F" w:themeFill="text2" w:themeFillShade="BF"/>
            <w:vAlign w:val="center"/>
          </w:tcPr>
          <w:p w14:paraId="08455827" w14:textId="77777777" w:rsidR="00BC407E" w:rsidRDefault="00BC407E" w:rsidP="00936F0D">
            <w:pPr>
              <w:spacing w:before="120"/>
              <w:jc w:val="center"/>
              <w:rPr>
                <w:rFonts w:ascii="Arial" w:hAnsi="Arial" w:cs="Arial"/>
                <w:sz w:val="22"/>
                <w:szCs w:val="22"/>
              </w:rPr>
            </w:pPr>
          </w:p>
        </w:tc>
        <w:tc>
          <w:tcPr>
            <w:tcW w:w="1008" w:type="dxa"/>
            <w:vAlign w:val="center"/>
          </w:tcPr>
          <w:p w14:paraId="67539819" w14:textId="5A1A071F"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11/10</w:t>
            </w:r>
          </w:p>
        </w:tc>
        <w:tc>
          <w:tcPr>
            <w:tcW w:w="1008" w:type="dxa"/>
            <w:vAlign w:val="center"/>
          </w:tcPr>
          <w:p w14:paraId="0CFEDF50" w14:textId="756A308B" w:rsidR="00BC407E" w:rsidRDefault="00BC407E" w:rsidP="00936F0D">
            <w:pPr>
              <w:spacing w:before="120"/>
              <w:jc w:val="center"/>
              <w:rPr>
                <w:rFonts w:ascii="Arial" w:hAnsi="Arial" w:cs="Arial"/>
                <w:sz w:val="22"/>
                <w:szCs w:val="22"/>
              </w:rPr>
            </w:pPr>
            <w:r>
              <w:rPr>
                <w:rFonts w:ascii="Arial" w:hAnsi="Arial" w:cs="Arial"/>
                <w:sz w:val="22"/>
                <w:szCs w:val="22"/>
              </w:rPr>
              <w:t>1.030</w:t>
            </w:r>
          </w:p>
        </w:tc>
        <w:tc>
          <w:tcPr>
            <w:tcW w:w="1296" w:type="dxa"/>
            <w:vAlign w:val="center"/>
          </w:tcPr>
          <w:p w14:paraId="13F2B773" w14:textId="77777777" w:rsidR="00BC407E" w:rsidRDefault="00BC407E" w:rsidP="00936F0D">
            <w:pPr>
              <w:spacing w:before="120"/>
              <w:jc w:val="center"/>
              <w:rPr>
                <w:rFonts w:ascii="Arial" w:hAnsi="Arial" w:cs="Arial"/>
                <w:sz w:val="22"/>
                <w:szCs w:val="22"/>
              </w:rPr>
            </w:pPr>
          </w:p>
        </w:tc>
        <w:tc>
          <w:tcPr>
            <w:tcW w:w="1296" w:type="dxa"/>
            <w:vAlign w:val="center"/>
          </w:tcPr>
          <w:p w14:paraId="47A7113B" w14:textId="6B115B91"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28C9A694" w14:textId="62F0B6F0" w:rsidR="00BC407E" w:rsidRDefault="00BC407E" w:rsidP="00936F0D">
            <w:pPr>
              <w:spacing w:before="120"/>
              <w:jc w:val="center"/>
              <w:rPr>
                <w:rFonts w:ascii="Arial" w:hAnsi="Arial" w:cs="Arial"/>
                <w:sz w:val="22"/>
                <w:szCs w:val="22"/>
              </w:rPr>
            </w:pPr>
          </w:p>
        </w:tc>
        <w:tc>
          <w:tcPr>
            <w:tcW w:w="1008" w:type="dxa"/>
            <w:vAlign w:val="center"/>
          </w:tcPr>
          <w:p w14:paraId="5B083D2D" w14:textId="330AA01F"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11/10</w:t>
            </w:r>
          </w:p>
        </w:tc>
        <w:tc>
          <w:tcPr>
            <w:tcW w:w="1008" w:type="dxa"/>
            <w:vAlign w:val="center"/>
          </w:tcPr>
          <w:p w14:paraId="15A4959A" w14:textId="71939892" w:rsidR="00BC407E" w:rsidRDefault="00BC407E" w:rsidP="00936F0D">
            <w:pPr>
              <w:spacing w:before="120"/>
              <w:jc w:val="center"/>
              <w:rPr>
                <w:rFonts w:ascii="Arial" w:hAnsi="Arial" w:cs="Arial"/>
                <w:sz w:val="22"/>
                <w:szCs w:val="22"/>
              </w:rPr>
            </w:pPr>
            <w:r>
              <w:rPr>
                <w:rFonts w:ascii="Arial" w:hAnsi="Arial" w:cs="Arial"/>
                <w:sz w:val="22"/>
                <w:szCs w:val="22"/>
              </w:rPr>
              <w:t>1.030</w:t>
            </w:r>
          </w:p>
        </w:tc>
      </w:tr>
      <w:tr w:rsidR="00936F0D" w14:paraId="752C7397" w14:textId="660BEBF1" w:rsidTr="00936F0D">
        <w:trPr>
          <w:jc w:val="center"/>
        </w:trPr>
        <w:tc>
          <w:tcPr>
            <w:tcW w:w="557" w:type="dxa"/>
            <w:vMerge/>
            <w:shd w:val="clear" w:color="auto" w:fill="323E4F" w:themeFill="text2" w:themeFillShade="BF"/>
            <w:vAlign w:val="center"/>
          </w:tcPr>
          <w:p w14:paraId="6E8D5A37" w14:textId="77777777" w:rsidR="00BC407E" w:rsidRDefault="00BC407E" w:rsidP="00936F0D">
            <w:pPr>
              <w:spacing w:before="120"/>
              <w:jc w:val="center"/>
              <w:rPr>
                <w:rFonts w:ascii="Arial" w:hAnsi="Arial" w:cs="Arial"/>
                <w:sz w:val="22"/>
                <w:szCs w:val="22"/>
              </w:rPr>
            </w:pPr>
          </w:p>
        </w:tc>
        <w:tc>
          <w:tcPr>
            <w:tcW w:w="1008" w:type="dxa"/>
            <w:vAlign w:val="center"/>
          </w:tcPr>
          <w:p w14:paraId="3FCADD87" w14:textId="0481F03B"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12/11</w:t>
            </w:r>
          </w:p>
        </w:tc>
        <w:tc>
          <w:tcPr>
            <w:tcW w:w="1008" w:type="dxa"/>
            <w:vAlign w:val="center"/>
          </w:tcPr>
          <w:p w14:paraId="64A14D19" w14:textId="57A9E55A" w:rsidR="00BC407E" w:rsidRDefault="00BC407E" w:rsidP="00936F0D">
            <w:pPr>
              <w:spacing w:before="120"/>
              <w:jc w:val="center"/>
              <w:rPr>
                <w:rFonts w:ascii="Arial" w:hAnsi="Arial" w:cs="Arial"/>
                <w:sz w:val="22"/>
                <w:szCs w:val="22"/>
              </w:rPr>
            </w:pPr>
            <w:r>
              <w:rPr>
                <w:rFonts w:ascii="Arial" w:hAnsi="Arial" w:cs="Arial"/>
                <w:sz w:val="22"/>
                <w:szCs w:val="22"/>
              </w:rPr>
              <w:t>1.112</w:t>
            </w:r>
          </w:p>
        </w:tc>
        <w:tc>
          <w:tcPr>
            <w:tcW w:w="1296" w:type="dxa"/>
            <w:vAlign w:val="center"/>
          </w:tcPr>
          <w:p w14:paraId="4AB84A4D" w14:textId="77777777" w:rsidR="00BC407E" w:rsidRDefault="00BC407E" w:rsidP="00936F0D">
            <w:pPr>
              <w:spacing w:before="120"/>
              <w:jc w:val="center"/>
              <w:rPr>
                <w:rFonts w:ascii="Arial" w:hAnsi="Arial" w:cs="Arial"/>
                <w:sz w:val="22"/>
                <w:szCs w:val="22"/>
              </w:rPr>
            </w:pPr>
          </w:p>
        </w:tc>
        <w:tc>
          <w:tcPr>
            <w:tcW w:w="1296" w:type="dxa"/>
            <w:vAlign w:val="center"/>
          </w:tcPr>
          <w:p w14:paraId="7425C785" w14:textId="61746E4C" w:rsidR="00BC407E" w:rsidRDefault="00BC407E" w:rsidP="00936F0D">
            <w:pPr>
              <w:spacing w:before="120"/>
              <w:jc w:val="center"/>
              <w:rPr>
                <w:rFonts w:ascii="Arial" w:hAnsi="Arial" w:cs="Arial"/>
                <w:sz w:val="22"/>
                <w:szCs w:val="22"/>
              </w:rPr>
            </w:pPr>
          </w:p>
        </w:tc>
        <w:tc>
          <w:tcPr>
            <w:tcW w:w="557" w:type="dxa"/>
            <w:vMerge/>
            <w:shd w:val="clear" w:color="auto" w:fill="323E4F" w:themeFill="text2" w:themeFillShade="BF"/>
            <w:vAlign w:val="center"/>
          </w:tcPr>
          <w:p w14:paraId="1B1795BF" w14:textId="6F4CE623" w:rsidR="00BC407E" w:rsidRDefault="00BC407E" w:rsidP="00936F0D">
            <w:pPr>
              <w:spacing w:before="120"/>
              <w:jc w:val="center"/>
              <w:rPr>
                <w:rFonts w:ascii="Arial" w:hAnsi="Arial" w:cs="Arial"/>
                <w:sz w:val="22"/>
                <w:szCs w:val="22"/>
              </w:rPr>
            </w:pPr>
          </w:p>
        </w:tc>
        <w:tc>
          <w:tcPr>
            <w:tcW w:w="1008" w:type="dxa"/>
            <w:vAlign w:val="center"/>
          </w:tcPr>
          <w:p w14:paraId="72D875CF" w14:textId="39AD81E1" w:rsidR="00BC407E" w:rsidRPr="00936F0D" w:rsidRDefault="00BC407E" w:rsidP="00936F0D">
            <w:pPr>
              <w:spacing w:before="120"/>
              <w:jc w:val="center"/>
              <w:rPr>
                <w:rFonts w:ascii="Arial" w:hAnsi="Arial" w:cs="Arial"/>
                <w:b/>
                <w:bCs/>
                <w:sz w:val="22"/>
                <w:szCs w:val="22"/>
              </w:rPr>
            </w:pPr>
            <w:r w:rsidRPr="00936F0D">
              <w:rPr>
                <w:rFonts w:ascii="Arial" w:hAnsi="Arial" w:cs="Arial"/>
                <w:b/>
                <w:bCs/>
                <w:sz w:val="22"/>
                <w:szCs w:val="22"/>
              </w:rPr>
              <w:t>12/11</w:t>
            </w:r>
          </w:p>
        </w:tc>
        <w:tc>
          <w:tcPr>
            <w:tcW w:w="1008" w:type="dxa"/>
            <w:vAlign w:val="center"/>
          </w:tcPr>
          <w:p w14:paraId="726762D3" w14:textId="4651114D" w:rsidR="00BC407E" w:rsidRDefault="00BC407E" w:rsidP="00936F0D">
            <w:pPr>
              <w:spacing w:before="120"/>
              <w:jc w:val="center"/>
              <w:rPr>
                <w:rFonts w:ascii="Arial" w:hAnsi="Arial" w:cs="Arial"/>
                <w:sz w:val="22"/>
                <w:szCs w:val="22"/>
              </w:rPr>
            </w:pPr>
            <w:r>
              <w:rPr>
                <w:rFonts w:ascii="Arial" w:hAnsi="Arial" w:cs="Arial"/>
                <w:sz w:val="22"/>
                <w:szCs w:val="22"/>
              </w:rPr>
              <w:t>1</w:t>
            </w:r>
          </w:p>
        </w:tc>
      </w:tr>
    </w:tbl>
    <w:p w14:paraId="5C062E95" w14:textId="77777777" w:rsidR="00057FE2" w:rsidRDefault="00057FE2" w:rsidP="00057FE2">
      <w:pPr>
        <w:jc w:val="center"/>
        <w:rPr>
          <w:rFonts w:ascii="Arial" w:hAnsi="Arial" w:cs="Arial"/>
          <w:b/>
          <w:bCs/>
          <w:sz w:val="18"/>
          <w:szCs w:val="18"/>
        </w:rPr>
      </w:pPr>
    </w:p>
    <w:p w14:paraId="16A64B3F" w14:textId="1FB09E42" w:rsidR="00070ABB" w:rsidRPr="00057FE2" w:rsidRDefault="00847E41" w:rsidP="00057FE2">
      <w:pPr>
        <w:spacing w:before="120"/>
        <w:jc w:val="center"/>
        <w:rPr>
          <w:rFonts w:ascii="Arial" w:hAnsi="Arial" w:cs="Arial"/>
          <w:b/>
          <w:bCs/>
          <w:sz w:val="18"/>
          <w:szCs w:val="18"/>
        </w:rPr>
      </w:pPr>
      <w:r w:rsidRPr="00057FE2">
        <w:rPr>
          <w:rFonts w:ascii="Arial" w:hAnsi="Arial" w:cs="Arial"/>
          <w:b/>
          <w:bCs/>
          <w:sz w:val="18"/>
          <w:szCs w:val="18"/>
        </w:rPr>
        <w:t xml:space="preserve">Table 3.1 </w:t>
      </w:r>
      <w:r w:rsidR="00303BA4">
        <w:rPr>
          <w:rFonts w:ascii="Arial" w:hAnsi="Arial" w:cs="Arial"/>
          <w:b/>
          <w:bCs/>
          <w:sz w:val="18"/>
          <w:szCs w:val="18"/>
        </w:rPr>
        <w:t xml:space="preserve">- </w:t>
      </w:r>
      <w:r w:rsidR="00057FE2" w:rsidRPr="00057FE2">
        <w:rPr>
          <w:rFonts w:ascii="Arial" w:hAnsi="Arial" w:cs="Arial"/>
          <w:b/>
          <w:bCs/>
          <w:sz w:val="18"/>
          <w:szCs w:val="18"/>
        </w:rPr>
        <w:t>Age-to-age selected incurred losses development factors</w:t>
      </w:r>
    </w:p>
    <w:p w14:paraId="7A606CBD" w14:textId="0F123817" w:rsidR="00BB18CC" w:rsidRPr="00BB18CC" w:rsidRDefault="00BB18CC" w:rsidP="00BB18CC">
      <w:pPr>
        <w:spacing w:before="80"/>
        <w:jc w:val="both"/>
        <w:rPr>
          <w:rFonts w:ascii="Arial" w:hAnsi="Arial" w:cs="Arial"/>
          <w:sz w:val="22"/>
          <w:szCs w:val="22"/>
        </w:rPr>
      </w:pPr>
    </w:p>
    <w:p w14:paraId="3F108404" w14:textId="3985B151" w:rsidR="00504CAD" w:rsidRDefault="00057FE2" w:rsidP="00057FE2">
      <w:pPr>
        <w:spacing w:before="80"/>
        <w:jc w:val="both"/>
        <w:rPr>
          <w:rFonts w:ascii="Arial" w:hAnsi="Arial" w:cs="Arial"/>
          <w:sz w:val="22"/>
          <w:szCs w:val="22"/>
        </w:rPr>
      </w:pPr>
      <w:r w:rsidRPr="000C1306">
        <w:rPr>
          <w:rFonts w:ascii="Arial" w:hAnsi="Arial" w:cs="Arial"/>
          <w:sz w:val="22"/>
          <w:szCs w:val="22"/>
        </w:rPr>
        <w:t>To validate the factor selections, we reapplied the final development factors to the January 2025 incurred losses. The projection yielded $10,119 compared with the actual $11,320. This slight difference is reasonable given the unusually rapid claim emergence early in 2025</w:t>
      </w:r>
    </w:p>
    <w:p w14:paraId="12A643AD" w14:textId="77777777" w:rsidR="00057FE2" w:rsidRDefault="00057FE2" w:rsidP="00057FE2">
      <w:pPr>
        <w:jc w:val="both"/>
        <w:rPr>
          <w:rFonts w:ascii="Arial" w:hAnsi="Arial" w:cs="Arial"/>
          <w:sz w:val="22"/>
          <w:szCs w:val="22"/>
        </w:rPr>
      </w:pPr>
    </w:p>
    <w:p w14:paraId="4AD8F72A" w14:textId="77777777" w:rsidR="00C92603" w:rsidRDefault="00504CAD" w:rsidP="00057FE2">
      <w:pPr>
        <w:spacing w:before="80"/>
        <w:jc w:val="both"/>
        <w:rPr>
          <w:rFonts w:ascii="Arial" w:hAnsi="Arial" w:cs="Arial"/>
          <w:sz w:val="22"/>
          <w:szCs w:val="22"/>
        </w:rPr>
      </w:pPr>
      <w:r>
        <w:rPr>
          <w:rFonts w:ascii="Arial" w:hAnsi="Arial" w:cs="Arial"/>
          <w:sz w:val="22"/>
          <w:szCs w:val="22"/>
        </w:rPr>
        <w:t>Next step was</w:t>
      </w:r>
      <w:r w:rsidR="00057FE2">
        <w:rPr>
          <w:rFonts w:ascii="Arial" w:hAnsi="Arial" w:cs="Arial"/>
          <w:sz w:val="22"/>
          <w:szCs w:val="22"/>
        </w:rPr>
        <w:t xml:space="preserve"> </w:t>
      </w:r>
      <w:r w:rsidR="00057FE2" w:rsidRPr="00057FE2">
        <w:rPr>
          <w:rFonts w:ascii="Arial" w:hAnsi="Arial" w:cs="Arial"/>
          <w:sz w:val="22"/>
          <w:szCs w:val="22"/>
        </w:rPr>
        <w:t>estimat</w:t>
      </w:r>
      <w:r w:rsidR="00057FE2">
        <w:rPr>
          <w:rFonts w:ascii="Arial" w:hAnsi="Arial" w:cs="Arial"/>
          <w:sz w:val="22"/>
          <w:szCs w:val="22"/>
        </w:rPr>
        <w:t>ing</w:t>
      </w:r>
      <w:r w:rsidR="00057FE2" w:rsidRPr="00057FE2">
        <w:rPr>
          <w:rFonts w:ascii="Arial" w:hAnsi="Arial" w:cs="Arial"/>
          <w:sz w:val="22"/>
          <w:szCs w:val="22"/>
        </w:rPr>
        <w:t xml:space="preserve"> the ultimate losses for UWY 2025 under each averaging method:</w:t>
      </w:r>
    </w:p>
    <w:p w14:paraId="1DCC2D31" w14:textId="1452E2F1" w:rsidR="00504CAD" w:rsidRDefault="00504CAD" w:rsidP="00057FE2">
      <w:pPr>
        <w:spacing w:before="80"/>
        <w:jc w:val="both"/>
        <w:rPr>
          <w:rFonts w:ascii="Arial" w:hAnsi="Arial" w:cs="Arial"/>
          <w:sz w:val="22"/>
          <w:szCs w:val="22"/>
        </w:rPr>
      </w:pPr>
      <w:r>
        <w:rPr>
          <w:rFonts w:ascii="Arial" w:hAnsi="Arial" w:cs="Arial"/>
          <w:sz w:val="22"/>
          <w:szCs w:val="22"/>
        </w:rPr>
        <w:br/>
      </w:r>
    </w:p>
    <w:tbl>
      <w:tblPr>
        <w:tblStyle w:val="TableGrid"/>
        <w:tblW w:w="0" w:type="auto"/>
        <w:jc w:val="center"/>
        <w:tblLook w:val="04A0" w:firstRow="1" w:lastRow="0" w:firstColumn="1" w:lastColumn="0" w:noHBand="0" w:noVBand="1"/>
      </w:tblPr>
      <w:tblGrid>
        <w:gridCol w:w="2674"/>
        <w:gridCol w:w="2304"/>
      </w:tblGrid>
      <w:tr w:rsidR="007C54D6" w14:paraId="2F2B6D53" w14:textId="77777777" w:rsidTr="007C54D6">
        <w:trPr>
          <w:jc w:val="center"/>
        </w:trPr>
        <w:tc>
          <w:tcPr>
            <w:tcW w:w="4978" w:type="dxa"/>
            <w:gridSpan w:val="2"/>
            <w:shd w:val="clear" w:color="auto" w:fill="222A35" w:themeFill="text2" w:themeFillShade="80"/>
            <w:vAlign w:val="center"/>
          </w:tcPr>
          <w:p w14:paraId="577E9BCA" w14:textId="7F82D704" w:rsidR="007C54D6" w:rsidRPr="007C54D6" w:rsidRDefault="007C54D6" w:rsidP="007C54D6">
            <w:pPr>
              <w:spacing w:before="80" w:after="80"/>
              <w:jc w:val="center"/>
              <w:rPr>
                <w:rFonts w:ascii="Arial" w:hAnsi="Arial" w:cs="Arial"/>
                <w:color w:val="FFFFFF" w:themeColor="background1"/>
                <w:sz w:val="22"/>
                <w:szCs w:val="22"/>
              </w:rPr>
            </w:pPr>
            <w:r w:rsidRPr="007C54D6">
              <w:rPr>
                <w:rFonts w:ascii="Arial" w:hAnsi="Arial" w:cs="Arial"/>
                <w:color w:val="FFFFFF" w:themeColor="background1"/>
                <w:sz w:val="22"/>
                <w:szCs w:val="22"/>
              </w:rPr>
              <w:t>2025 Ultimate losses</w:t>
            </w:r>
          </w:p>
        </w:tc>
      </w:tr>
      <w:tr w:rsidR="007C54D6" w14:paraId="0D8A2849" w14:textId="77777777" w:rsidTr="007C54D6">
        <w:trPr>
          <w:jc w:val="center"/>
        </w:trPr>
        <w:tc>
          <w:tcPr>
            <w:tcW w:w="2674" w:type="dxa"/>
            <w:shd w:val="clear" w:color="auto" w:fill="D9D9D9" w:themeFill="background1" w:themeFillShade="D9"/>
            <w:vAlign w:val="center"/>
          </w:tcPr>
          <w:p w14:paraId="300DD3EF" w14:textId="1968C536" w:rsidR="007C54D6" w:rsidRPr="007C54D6" w:rsidRDefault="007C54D6" w:rsidP="007C54D6">
            <w:pPr>
              <w:spacing w:before="80" w:after="80"/>
              <w:jc w:val="center"/>
              <w:rPr>
                <w:rFonts w:ascii="Arial" w:hAnsi="Arial" w:cs="Arial"/>
                <w:b/>
                <w:bCs/>
                <w:sz w:val="22"/>
                <w:szCs w:val="22"/>
              </w:rPr>
            </w:pPr>
            <w:r w:rsidRPr="007C54D6">
              <w:rPr>
                <w:rFonts w:ascii="Arial" w:hAnsi="Arial" w:cs="Arial"/>
                <w:b/>
                <w:bCs/>
                <w:sz w:val="22"/>
                <w:szCs w:val="22"/>
              </w:rPr>
              <w:t>Average</w:t>
            </w:r>
          </w:p>
        </w:tc>
        <w:tc>
          <w:tcPr>
            <w:tcW w:w="2304" w:type="dxa"/>
            <w:vAlign w:val="center"/>
          </w:tcPr>
          <w:p w14:paraId="1D8835F1" w14:textId="5FCAFCAE" w:rsidR="007C54D6" w:rsidRPr="007C54D6" w:rsidRDefault="007C54D6" w:rsidP="007C54D6">
            <w:pPr>
              <w:spacing w:before="80" w:after="80"/>
              <w:jc w:val="center"/>
              <w:rPr>
                <w:rFonts w:asciiTheme="minorBidi" w:hAnsiTheme="minorBidi" w:cstheme="minorBidi"/>
                <w:sz w:val="22"/>
                <w:szCs w:val="22"/>
              </w:rPr>
            </w:pPr>
            <w:r w:rsidRPr="007C54D6">
              <w:rPr>
                <w:rFonts w:asciiTheme="minorBidi" w:hAnsiTheme="minorBidi" w:cstheme="minorBidi"/>
                <w:color w:val="000000"/>
                <w:sz w:val="22"/>
                <w:szCs w:val="22"/>
              </w:rPr>
              <w:t>$ 22,843</w:t>
            </w:r>
          </w:p>
        </w:tc>
      </w:tr>
      <w:tr w:rsidR="007C54D6" w14:paraId="7B4319F5" w14:textId="77777777" w:rsidTr="007C54D6">
        <w:trPr>
          <w:jc w:val="center"/>
        </w:trPr>
        <w:tc>
          <w:tcPr>
            <w:tcW w:w="2674" w:type="dxa"/>
            <w:shd w:val="clear" w:color="auto" w:fill="D9D9D9" w:themeFill="background1" w:themeFillShade="D9"/>
            <w:vAlign w:val="center"/>
          </w:tcPr>
          <w:p w14:paraId="083821CF" w14:textId="62E7DFD4" w:rsidR="007C54D6" w:rsidRPr="007C54D6" w:rsidRDefault="007C54D6" w:rsidP="007C54D6">
            <w:pPr>
              <w:spacing w:before="80" w:after="80"/>
              <w:jc w:val="center"/>
              <w:rPr>
                <w:rFonts w:ascii="Arial" w:hAnsi="Arial" w:cs="Arial"/>
                <w:b/>
                <w:bCs/>
                <w:sz w:val="22"/>
                <w:szCs w:val="22"/>
              </w:rPr>
            </w:pPr>
            <w:r w:rsidRPr="007C54D6">
              <w:rPr>
                <w:rFonts w:ascii="Arial" w:hAnsi="Arial" w:cs="Arial"/>
                <w:b/>
                <w:bCs/>
                <w:sz w:val="22"/>
                <w:szCs w:val="22"/>
              </w:rPr>
              <w:t>Mean</w:t>
            </w:r>
            <w:r>
              <w:rPr>
                <w:rFonts w:ascii="Arial" w:hAnsi="Arial" w:cs="Arial"/>
                <w:b/>
                <w:bCs/>
                <w:sz w:val="22"/>
                <w:szCs w:val="22"/>
              </w:rPr>
              <w:t xml:space="preserve"> (outlier included)</w:t>
            </w:r>
          </w:p>
        </w:tc>
        <w:tc>
          <w:tcPr>
            <w:tcW w:w="2304" w:type="dxa"/>
            <w:vAlign w:val="center"/>
          </w:tcPr>
          <w:p w14:paraId="6C75B8E5" w14:textId="5A95424D" w:rsidR="007C54D6" w:rsidRPr="007C54D6" w:rsidRDefault="007C54D6" w:rsidP="007C54D6">
            <w:pPr>
              <w:spacing w:before="80" w:after="80"/>
              <w:jc w:val="center"/>
              <w:rPr>
                <w:rFonts w:asciiTheme="minorBidi" w:hAnsiTheme="minorBidi" w:cstheme="minorBidi"/>
                <w:sz w:val="22"/>
                <w:szCs w:val="22"/>
              </w:rPr>
            </w:pPr>
            <w:r w:rsidRPr="007C54D6">
              <w:rPr>
                <w:rFonts w:asciiTheme="minorBidi" w:hAnsiTheme="minorBidi" w:cstheme="minorBidi"/>
                <w:color w:val="000000"/>
                <w:sz w:val="22"/>
                <w:szCs w:val="22"/>
              </w:rPr>
              <w:t>$ 16,658</w:t>
            </w:r>
          </w:p>
        </w:tc>
      </w:tr>
      <w:tr w:rsidR="007C54D6" w14:paraId="57F3B290" w14:textId="77777777" w:rsidTr="007C54D6">
        <w:trPr>
          <w:jc w:val="center"/>
        </w:trPr>
        <w:tc>
          <w:tcPr>
            <w:tcW w:w="2674" w:type="dxa"/>
            <w:shd w:val="clear" w:color="auto" w:fill="D9D9D9" w:themeFill="background1" w:themeFillShade="D9"/>
            <w:vAlign w:val="center"/>
          </w:tcPr>
          <w:p w14:paraId="5847B414" w14:textId="71B37921" w:rsidR="007C54D6" w:rsidRPr="007C54D6" w:rsidRDefault="007C54D6" w:rsidP="007C54D6">
            <w:pPr>
              <w:spacing w:before="80" w:after="80"/>
              <w:jc w:val="center"/>
              <w:rPr>
                <w:rFonts w:ascii="Arial" w:hAnsi="Arial" w:cs="Arial"/>
                <w:b/>
                <w:bCs/>
                <w:sz w:val="22"/>
                <w:szCs w:val="22"/>
              </w:rPr>
            </w:pPr>
            <w:r w:rsidRPr="007C54D6">
              <w:rPr>
                <w:rFonts w:ascii="Arial" w:hAnsi="Arial" w:cs="Arial"/>
                <w:b/>
                <w:bCs/>
                <w:sz w:val="22"/>
                <w:szCs w:val="22"/>
              </w:rPr>
              <w:t>3-year Average</w:t>
            </w:r>
          </w:p>
        </w:tc>
        <w:tc>
          <w:tcPr>
            <w:tcW w:w="2304" w:type="dxa"/>
            <w:vAlign w:val="center"/>
          </w:tcPr>
          <w:p w14:paraId="51D448A5" w14:textId="21F2373C" w:rsidR="007C54D6" w:rsidRPr="007C54D6" w:rsidRDefault="007C54D6" w:rsidP="007C54D6">
            <w:pPr>
              <w:spacing w:before="80" w:after="80"/>
              <w:jc w:val="center"/>
              <w:rPr>
                <w:rFonts w:asciiTheme="minorBidi" w:hAnsiTheme="minorBidi" w:cstheme="minorBidi"/>
                <w:sz w:val="22"/>
                <w:szCs w:val="22"/>
              </w:rPr>
            </w:pPr>
            <w:r w:rsidRPr="007C54D6">
              <w:rPr>
                <w:rFonts w:asciiTheme="minorBidi" w:hAnsiTheme="minorBidi" w:cstheme="minorBidi"/>
                <w:color w:val="000000"/>
                <w:sz w:val="22"/>
                <w:szCs w:val="22"/>
              </w:rPr>
              <w:t>$ 21,908</w:t>
            </w:r>
          </w:p>
        </w:tc>
      </w:tr>
      <w:tr w:rsidR="007C54D6" w14:paraId="08D19D92" w14:textId="77777777" w:rsidTr="007C54D6">
        <w:trPr>
          <w:jc w:val="center"/>
        </w:trPr>
        <w:tc>
          <w:tcPr>
            <w:tcW w:w="2674" w:type="dxa"/>
            <w:shd w:val="clear" w:color="auto" w:fill="D9D9D9" w:themeFill="background1" w:themeFillShade="D9"/>
            <w:vAlign w:val="center"/>
          </w:tcPr>
          <w:p w14:paraId="3B16293C" w14:textId="16F5E639" w:rsidR="007C54D6" w:rsidRPr="007C54D6" w:rsidRDefault="007C54D6" w:rsidP="007C54D6">
            <w:pPr>
              <w:spacing w:before="80" w:after="80"/>
              <w:jc w:val="center"/>
              <w:rPr>
                <w:rFonts w:ascii="Arial" w:hAnsi="Arial" w:cs="Arial"/>
                <w:b/>
                <w:bCs/>
                <w:sz w:val="22"/>
                <w:szCs w:val="22"/>
              </w:rPr>
            </w:pPr>
            <w:r w:rsidRPr="007C54D6">
              <w:rPr>
                <w:rFonts w:ascii="Arial" w:hAnsi="Arial" w:cs="Arial"/>
                <w:b/>
                <w:bCs/>
                <w:sz w:val="22"/>
                <w:szCs w:val="22"/>
              </w:rPr>
              <w:t>Geometric Mean</w:t>
            </w:r>
          </w:p>
        </w:tc>
        <w:tc>
          <w:tcPr>
            <w:tcW w:w="2304" w:type="dxa"/>
            <w:vAlign w:val="center"/>
          </w:tcPr>
          <w:p w14:paraId="5C38C45A" w14:textId="300EE82F" w:rsidR="007C54D6" w:rsidRPr="007C54D6" w:rsidRDefault="007C54D6" w:rsidP="007C54D6">
            <w:pPr>
              <w:spacing w:before="80" w:after="80"/>
              <w:jc w:val="center"/>
              <w:rPr>
                <w:rFonts w:asciiTheme="minorBidi" w:hAnsiTheme="minorBidi" w:cstheme="minorBidi"/>
                <w:sz w:val="22"/>
                <w:szCs w:val="22"/>
              </w:rPr>
            </w:pPr>
            <w:r w:rsidRPr="007C54D6">
              <w:rPr>
                <w:rFonts w:asciiTheme="minorBidi" w:hAnsiTheme="minorBidi" w:cstheme="minorBidi"/>
                <w:color w:val="000000"/>
                <w:sz w:val="22"/>
                <w:szCs w:val="22"/>
              </w:rPr>
              <w:t>$ 20,626</w:t>
            </w:r>
          </w:p>
        </w:tc>
      </w:tr>
      <w:tr w:rsidR="007C54D6" w14:paraId="17228BDB" w14:textId="77777777" w:rsidTr="007C54D6">
        <w:trPr>
          <w:jc w:val="center"/>
        </w:trPr>
        <w:tc>
          <w:tcPr>
            <w:tcW w:w="2674" w:type="dxa"/>
            <w:shd w:val="clear" w:color="auto" w:fill="D9D9D9" w:themeFill="background1" w:themeFillShade="D9"/>
            <w:vAlign w:val="center"/>
          </w:tcPr>
          <w:p w14:paraId="6C969A97" w14:textId="324FD67D" w:rsidR="007C54D6" w:rsidRPr="007C54D6" w:rsidRDefault="007C54D6" w:rsidP="007C54D6">
            <w:pPr>
              <w:spacing w:before="80" w:after="80"/>
              <w:jc w:val="center"/>
              <w:rPr>
                <w:rFonts w:ascii="Arial" w:hAnsi="Arial" w:cs="Arial"/>
                <w:b/>
                <w:bCs/>
                <w:sz w:val="22"/>
                <w:szCs w:val="22"/>
              </w:rPr>
            </w:pPr>
            <w:r>
              <w:rPr>
                <w:rFonts w:ascii="Arial" w:hAnsi="Arial" w:cs="Arial"/>
                <w:b/>
                <w:bCs/>
                <w:sz w:val="22"/>
                <w:szCs w:val="22"/>
              </w:rPr>
              <w:t>Selected</w:t>
            </w:r>
            <w:r w:rsidRPr="007C54D6">
              <w:rPr>
                <w:rFonts w:ascii="Arial" w:hAnsi="Arial" w:cs="Arial"/>
                <w:b/>
                <w:bCs/>
                <w:sz w:val="22"/>
                <w:szCs w:val="22"/>
              </w:rPr>
              <w:t xml:space="preserve"> </w:t>
            </w:r>
            <w:r>
              <w:rPr>
                <w:rFonts w:ascii="Arial" w:hAnsi="Arial" w:cs="Arial"/>
                <w:b/>
                <w:bCs/>
                <w:sz w:val="22"/>
                <w:szCs w:val="22"/>
              </w:rPr>
              <w:t>Mean</w:t>
            </w:r>
          </w:p>
        </w:tc>
        <w:tc>
          <w:tcPr>
            <w:tcW w:w="2304" w:type="dxa"/>
            <w:vAlign w:val="center"/>
          </w:tcPr>
          <w:p w14:paraId="68B587AB" w14:textId="63667A1B" w:rsidR="007C54D6" w:rsidRPr="007C54D6" w:rsidRDefault="007C54D6" w:rsidP="007C54D6">
            <w:pPr>
              <w:spacing w:before="80" w:after="80"/>
              <w:jc w:val="center"/>
              <w:rPr>
                <w:rFonts w:asciiTheme="minorBidi" w:hAnsiTheme="minorBidi" w:cstheme="minorBidi"/>
                <w:color w:val="000000"/>
                <w:sz w:val="22"/>
                <w:szCs w:val="22"/>
              </w:rPr>
            </w:pPr>
            <w:r w:rsidRPr="007C54D6">
              <w:rPr>
                <w:rFonts w:asciiTheme="minorBidi" w:hAnsiTheme="minorBidi" w:cstheme="minorBidi"/>
                <w:color w:val="000000"/>
                <w:sz w:val="22"/>
                <w:szCs w:val="22"/>
              </w:rPr>
              <w:t xml:space="preserve">$ 17,723 </w:t>
            </w:r>
          </w:p>
        </w:tc>
      </w:tr>
    </w:tbl>
    <w:p w14:paraId="4299A756" w14:textId="3B292A05" w:rsidR="00504CAD" w:rsidRPr="003D3325" w:rsidRDefault="003D3325" w:rsidP="003D3325">
      <w:pPr>
        <w:spacing w:before="80"/>
        <w:jc w:val="center"/>
        <w:rPr>
          <w:rFonts w:ascii="Arial" w:hAnsi="Arial" w:cs="Arial"/>
          <w:b/>
          <w:bCs/>
          <w:sz w:val="18"/>
          <w:szCs w:val="18"/>
        </w:rPr>
      </w:pPr>
      <w:r w:rsidRPr="003D3325">
        <w:rPr>
          <w:rFonts w:ascii="Arial" w:hAnsi="Arial" w:cs="Arial"/>
          <w:b/>
          <w:bCs/>
          <w:sz w:val="18"/>
          <w:szCs w:val="18"/>
        </w:rPr>
        <w:t>Table 3.2</w:t>
      </w:r>
      <w:r w:rsidR="00303BA4">
        <w:rPr>
          <w:rFonts w:ascii="Arial" w:hAnsi="Arial" w:cs="Arial"/>
          <w:b/>
          <w:bCs/>
          <w:sz w:val="18"/>
          <w:szCs w:val="18"/>
        </w:rPr>
        <w:t xml:space="preserve"> -</w:t>
      </w:r>
      <w:r>
        <w:rPr>
          <w:rFonts w:ascii="Arial" w:hAnsi="Arial" w:cs="Arial"/>
          <w:b/>
          <w:bCs/>
          <w:sz w:val="18"/>
          <w:szCs w:val="18"/>
        </w:rPr>
        <w:t xml:space="preserve"> 2025 Estimated Ultimate losses under different averages</w:t>
      </w:r>
    </w:p>
    <w:p w14:paraId="2F9EFE04" w14:textId="77777777" w:rsidR="00057FE2" w:rsidRDefault="00057FE2" w:rsidP="00504CAD">
      <w:pPr>
        <w:spacing w:before="80"/>
        <w:jc w:val="both"/>
        <w:rPr>
          <w:rFonts w:ascii="Arial" w:hAnsi="Arial" w:cs="Arial"/>
          <w:sz w:val="22"/>
          <w:szCs w:val="22"/>
        </w:rPr>
      </w:pPr>
    </w:p>
    <w:p w14:paraId="682892F8" w14:textId="049E69BF" w:rsidR="00057FE2" w:rsidRDefault="00057FE2" w:rsidP="00C92603">
      <w:pPr>
        <w:spacing w:before="120"/>
        <w:jc w:val="both"/>
        <w:rPr>
          <w:rFonts w:ascii="Arial" w:hAnsi="Arial" w:cs="Arial"/>
          <w:sz w:val="22"/>
          <w:szCs w:val="22"/>
        </w:rPr>
      </w:pPr>
      <w:r w:rsidRPr="00057FE2">
        <w:rPr>
          <w:rFonts w:ascii="Arial" w:hAnsi="Arial" w:cs="Arial"/>
          <w:sz w:val="22"/>
          <w:szCs w:val="22"/>
        </w:rPr>
        <w:t>Based on the selected development factors, the technical estimate for the ultimate loss of UWY 2025 is $17,723.</w:t>
      </w:r>
    </w:p>
    <w:p w14:paraId="573B8494" w14:textId="1DA132E1" w:rsidR="000C1306" w:rsidRDefault="00057FE2" w:rsidP="00C92603">
      <w:pPr>
        <w:spacing w:before="120"/>
        <w:jc w:val="both"/>
        <w:rPr>
          <w:rFonts w:ascii="Arial" w:hAnsi="Arial" w:cs="Arial"/>
          <w:sz w:val="22"/>
          <w:szCs w:val="22"/>
        </w:rPr>
      </w:pPr>
      <w:r w:rsidRPr="00057FE2">
        <w:rPr>
          <w:rFonts w:ascii="Arial" w:hAnsi="Arial" w:cs="Arial"/>
          <w:sz w:val="22"/>
          <w:szCs w:val="22"/>
        </w:rPr>
        <w:t>Since 2025 is still immature and the portfolio is small, some uncertainty remains around late</w:t>
      </w:r>
      <w:r>
        <w:rPr>
          <w:rFonts w:ascii="Arial" w:hAnsi="Arial" w:cs="Arial"/>
          <w:sz w:val="22"/>
          <w:szCs w:val="22"/>
        </w:rPr>
        <w:t xml:space="preserve"> </w:t>
      </w:r>
      <w:r w:rsidRPr="00057FE2">
        <w:rPr>
          <w:rFonts w:ascii="Arial" w:hAnsi="Arial" w:cs="Arial"/>
          <w:sz w:val="22"/>
          <w:szCs w:val="22"/>
        </w:rPr>
        <w:t>reported claims. To account for this uncertainty</w:t>
      </w:r>
      <w:r>
        <w:rPr>
          <w:rFonts w:ascii="Arial" w:hAnsi="Arial" w:cs="Arial"/>
          <w:sz w:val="22"/>
          <w:szCs w:val="22"/>
        </w:rPr>
        <w:t xml:space="preserve">, </w:t>
      </w:r>
      <w:r w:rsidRPr="00057FE2">
        <w:rPr>
          <w:rFonts w:ascii="Arial" w:hAnsi="Arial" w:cs="Arial"/>
          <w:sz w:val="22"/>
          <w:szCs w:val="22"/>
        </w:rPr>
        <w:t>without overstating it</w:t>
      </w:r>
      <w:r>
        <w:rPr>
          <w:rFonts w:ascii="Arial" w:hAnsi="Arial" w:cs="Arial"/>
          <w:sz w:val="22"/>
          <w:szCs w:val="22"/>
        </w:rPr>
        <w:t xml:space="preserve">, </w:t>
      </w:r>
      <w:r w:rsidRPr="00057FE2">
        <w:rPr>
          <w:rFonts w:ascii="Arial" w:hAnsi="Arial" w:cs="Arial"/>
          <w:sz w:val="22"/>
          <w:szCs w:val="22"/>
        </w:rPr>
        <w:t>we applied a 5% prudence margin, aligned with common practice in small</w:t>
      </w:r>
      <w:r>
        <w:rPr>
          <w:rFonts w:ascii="Arial" w:hAnsi="Arial" w:cs="Arial"/>
          <w:sz w:val="22"/>
          <w:szCs w:val="22"/>
        </w:rPr>
        <w:t xml:space="preserve"> </w:t>
      </w:r>
      <w:r w:rsidRPr="00057FE2">
        <w:rPr>
          <w:rFonts w:ascii="Arial" w:hAnsi="Arial" w:cs="Arial"/>
          <w:sz w:val="22"/>
          <w:szCs w:val="22"/>
        </w:rPr>
        <w:t>sample reserving.</w:t>
      </w:r>
      <w:r>
        <w:rPr>
          <w:rFonts w:ascii="Arial" w:hAnsi="Arial" w:cs="Arial"/>
          <w:sz w:val="22"/>
          <w:szCs w:val="22"/>
        </w:rPr>
        <w:t xml:space="preserve"> </w:t>
      </w:r>
    </w:p>
    <w:p w14:paraId="6EA003B4" w14:textId="5B7990CF" w:rsidR="00EC3BB9" w:rsidRPr="00EC3BB9" w:rsidRDefault="00EC3BB9" w:rsidP="00C92603">
      <w:pPr>
        <w:spacing w:before="120"/>
        <w:jc w:val="both"/>
        <w:rPr>
          <w:rFonts w:ascii="Arial" w:hAnsi="Arial" w:cs="Arial"/>
          <w:sz w:val="22"/>
          <w:szCs w:val="22"/>
        </w:rPr>
      </w:pPr>
      <w:r w:rsidRPr="00EC3BB9">
        <w:rPr>
          <w:rFonts w:ascii="Arial" w:hAnsi="Arial" w:cs="Arial"/>
          <w:sz w:val="22"/>
          <w:szCs w:val="22"/>
        </w:rPr>
        <w:t>This brought the final selected ultimate loss for 2025 to $18,</w:t>
      </w:r>
      <w:r w:rsidR="001B28A1">
        <w:rPr>
          <w:rFonts w:ascii="Arial" w:hAnsi="Arial" w:cs="Arial"/>
          <w:sz w:val="22"/>
          <w:szCs w:val="22"/>
        </w:rPr>
        <w:t>289</w:t>
      </w:r>
      <w:r w:rsidRPr="00EC3BB9">
        <w:rPr>
          <w:rFonts w:ascii="Arial" w:hAnsi="Arial" w:cs="Arial"/>
          <w:sz w:val="22"/>
          <w:szCs w:val="22"/>
        </w:rPr>
        <w:t>.</w:t>
      </w:r>
    </w:p>
    <w:p w14:paraId="4C29AE17" w14:textId="14F0A0FC" w:rsidR="00EC3BB9" w:rsidRDefault="00EC3BB9" w:rsidP="00C92603">
      <w:pPr>
        <w:spacing w:before="120"/>
        <w:jc w:val="both"/>
        <w:rPr>
          <w:rFonts w:ascii="Arial" w:hAnsi="Arial" w:cs="Arial"/>
          <w:sz w:val="22"/>
          <w:szCs w:val="22"/>
        </w:rPr>
      </w:pPr>
      <w:r w:rsidRPr="00EC3BB9">
        <w:rPr>
          <w:rFonts w:ascii="Arial" w:hAnsi="Arial" w:cs="Arial"/>
          <w:sz w:val="22"/>
          <w:szCs w:val="22"/>
        </w:rPr>
        <w:t xml:space="preserve">The value sits above several earlier underwriting years, which is consistent with the increased volatility seen recently, without assuming </w:t>
      </w:r>
      <w:r w:rsidR="00C92603">
        <w:rPr>
          <w:rFonts w:ascii="Arial" w:hAnsi="Arial" w:cs="Arial"/>
          <w:sz w:val="22"/>
          <w:szCs w:val="22"/>
        </w:rPr>
        <w:t>if</w:t>
      </w:r>
      <w:r w:rsidRPr="00EC3BB9">
        <w:rPr>
          <w:rFonts w:ascii="Arial" w:hAnsi="Arial" w:cs="Arial"/>
          <w:sz w:val="22"/>
          <w:szCs w:val="22"/>
        </w:rPr>
        <w:t xml:space="preserve"> the unusually heavy losses in 2024 will necessarily repeat.</w:t>
      </w:r>
    </w:p>
    <w:p w14:paraId="0BCBB0A3" w14:textId="77777777" w:rsidR="00EC3BB9" w:rsidRPr="000C1306" w:rsidRDefault="00EC3BB9" w:rsidP="00EC3BB9">
      <w:pPr>
        <w:spacing w:before="120"/>
        <w:jc w:val="both"/>
        <w:rPr>
          <w:rFonts w:ascii="Arial" w:hAnsi="Arial" w:cs="Arial"/>
          <w:sz w:val="22"/>
          <w:szCs w:val="22"/>
        </w:rPr>
      </w:pPr>
    </w:p>
    <w:p w14:paraId="6AC61C9F" w14:textId="4D450236" w:rsidR="00E37D15" w:rsidRDefault="00E37D15" w:rsidP="000C1306">
      <w:pPr>
        <w:spacing w:before="80"/>
        <w:jc w:val="both"/>
        <w:rPr>
          <w:rFonts w:ascii="Arial" w:hAnsi="Arial" w:cs="Arial"/>
          <w:sz w:val="22"/>
          <w:szCs w:val="22"/>
        </w:rPr>
      </w:pPr>
    </w:p>
    <w:p w14:paraId="442D3051" w14:textId="79ED3AAA" w:rsidR="00E37D15" w:rsidRDefault="00E37D15" w:rsidP="00E37D15">
      <w:pPr>
        <w:spacing w:before="80"/>
        <w:jc w:val="both"/>
        <w:rPr>
          <w:rFonts w:ascii="Arial" w:hAnsi="Arial" w:cs="Arial"/>
          <w:b/>
          <w:bCs/>
          <w:sz w:val="22"/>
          <w:szCs w:val="22"/>
        </w:rPr>
      </w:pPr>
      <w:r w:rsidRPr="00E37D15">
        <w:rPr>
          <w:rFonts w:ascii="Arial" w:hAnsi="Arial" w:cs="Arial"/>
          <w:b/>
          <w:bCs/>
          <w:sz w:val="22"/>
          <w:szCs w:val="22"/>
        </w:rPr>
        <w:t>6. Ratemaking Indication for UWY 2025</w:t>
      </w:r>
    </w:p>
    <w:p w14:paraId="1CF0758F" w14:textId="77777777" w:rsidR="00E37D15" w:rsidRPr="00E37D15" w:rsidRDefault="00E37D15" w:rsidP="00E37D15">
      <w:pPr>
        <w:spacing w:before="80"/>
        <w:jc w:val="both"/>
        <w:rPr>
          <w:rFonts w:ascii="Arial" w:hAnsi="Arial" w:cs="Arial"/>
          <w:b/>
          <w:bCs/>
          <w:sz w:val="22"/>
          <w:szCs w:val="22"/>
        </w:rPr>
      </w:pPr>
    </w:p>
    <w:p w14:paraId="53FADE19" w14:textId="77777777" w:rsidR="00C92603" w:rsidRDefault="00E37D15" w:rsidP="00E37D15">
      <w:pPr>
        <w:spacing w:before="80"/>
        <w:jc w:val="both"/>
        <w:rPr>
          <w:rFonts w:ascii="Arial" w:hAnsi="Arial" w:cs="Arial"/>
          <w:sz w:val="22"/>
          <w:szCs w:val="22"/>
        </w:rPr>
      </w:pPr>
      <w:r w:rsidRPr="00E37D15">
        <w:rPr>
          <w:rFonts w:ascii="Arial" w:hAnsi="Arial" w:cs="Arial"/>
          <w:sz w:val="22"/>
          <w:szCs w:val="22"/>
        </w:rPr>
        <w:t xml:space="preserve">Based on the trended and developed incurred losses for underwriting year 2025, we estimated the expected cost of 2025 claims at $18,289. The </w:t>
      </w:r>
      <w:r w:rsidR="00C92603">
        <w:rPr>
          <w:rFonts w:ascii="Arial" w:hAnsi="Arial" w:cs="Arial"/>
          <w:sz w:val="22"/>
          <w:szCs w:val="22"/>
        </w:rPr>
        <w:t xml:space="preserve">company’s </w:t>
      </w:r>
      <w:r w:rsidRPr="00E37D15">
        <w:rPr>
          <w:rFonts w:ascii="Arial" w:hAnsi="Arial" w:cs="Arial"/>
          <w:sz w:val="22"/>
          <w:szCs w:val="22"/>
        </w:rPr>
        <w:t xml:space="preserve">earned premium at current rates for the same year is $29,000, and the company’s permissible loss ratio is 75%. </w:t>
      </w:r>
    </w:p>
    <w:p w14:paraId="28ABCD66" w14:textId="77777777" w:rsidR="00C92603" w:rsidRDefault="00C92603" w:rsidP="00E37D15">
      <w:pPr>
        <w:spacing w:before="80"/>
        <w:jc w:val="both"/>
        <w:rPr>
          <w:rFonts w:ascii="Arial" w:hAnsi="Arial" w:cs="Arial"/>
          <w:sz w:val="22"/>
          <w:szCs w:val="22"/>
        </w:rPr>
      </w:pPr>
    </w:p>
    <w:p w14:paraId="14A35C7C" w14:textId="4C886C33" w:rsidR="00E37D15" w:rsidRDefault="00E37D15" w:rsidP="00E37D15">
      <w:pPr>
        <w:spacing w:before="80"/>
        <w:jc w:val="both"/>
        <w:rPr>
          <w:rFonts w:ascii="Arial" w:hAnsi="Arial" w:cs="Arial"/>
          <w:sz w:val="22"/>
          <w:szCs w:val="22"/>
        </w:rPr>
      </w:pPr>
      <w:r w:rsidRPr="00E37D15">
        <w:rPr>
          <w:rFonts w:ascii="Arial" w:hAnsi="Arial" w:cs="Arial"/>
          <w:sz w:val="22"/>
          <w:szCs w:val="22"/>
        </w:rPr>
        <w:t>Using this information, we calculated the indicated change to existing rates under both the loss ratio method and the loss cost method.</w:t>
      </w:r>
    </w:p>
    <w:p w14:paraId="594056E8" w14:textId="77777777" w:rsidR="00C92603" w:rsidRDefault="00C92603" w:rsidP="00C92603">
      <w:pPr>
        <w:spacing w:before="120"/>
        <w:jc w:val="both"/>
        <w:rPr>
          <w:rFonts w:ascii="Arial" w:hAnsi="Arial" w:cs="Arial"/>
          <w:sz w:val="22"/>
          <w:szCs w:val="22"/>
        </w:rPr>
      </w:pPr>
    </w:p>
    <w:p w14:paraId="2E5B0668" w14:textId="61F398F8" w:rsidR="00C92603" w:rsidRDefault="00C92603" w:rsidP="00C92603">
      <w:pPr>
        <w:spacing w:before="120"/>
        <w:jc w:val="both"/>
        <w:rPr>
          <w:rFonts w:ascii="Arial" w:hAnsi="Arial" w:cs="Arial"/>
          <w:sz w:val="22"/>
          <w:szCs w:val="22"/>
        </w:rPr>
      </w:pPr>
      <w:r w:rsidRPr="00C92603">
        <w:rPr>
          <w:rFonts w:ascii="Arial" w:hAnsi="Arial" w:cs="Arial"/>
          <w:sz w:val="22"/>
          <w:szCs w:val="22"/>
        </w:rPr>
        <w:t>Although only the loss ratio method was required, we used the second method as a cross-check to make sure our results were consistent.</w:t>
      </w:r>
    </w:p>
    <w:p w14:paraId="6E9A2515" w14:textId="77777777" w:rsidR="00E37D15" w:rsidRPr="00E37D15" w:rsidRDefault="00E37D15" w:rsidP="00E37D15">
      <w:pPr>
        <w:spacing w:before="80"/>
        <w:jc w:val="both"/>
        <w:rPr>
          <w:rFonts w:ascii="Arial" w:hAnsi="Arial" w:cs="Arial"/>
          <w:sz w:val="22"/>
          <w:szCs w:val="22"/>
        </w:rPr>
      </w:pPr>
    </w:p>
    <w:p w14:paraId="5A1FB858" w14:textId="2A8D9A94" w:rsidR="00E37D15" w:rsidRDefault="00E37D15" w:rsidP="00E37D15">
      <w:pPr>
        <w:spacing w:before="80"/>
        <w:jc w:val="both"/>
        <w:rPr>
          <w:rFonts w:ascii="Arial" w:hAnsi="Arial" w:cs="Arial"/>
          <w:b/>
          <w:bCs/>
          <w:sz w:val="22"/>
          <w:szCs w:val="22"/>
        </w:rPr>
      </w:pPr>
      <w:r w:rsidRPr="00E37D15">
        <w:rPr>
          <w:rFonts w:ascii="Arial" w:hAnsi="Arial" w:cs="Arial"/>
          <w:b/>
          <w:bCs/>
          <w:sz w:val="22"/>
          <w:szCs w:val="22"/>
        </w:rPr>
        <w:lastRenderedPageBreak/>
        <w:t>6.1 Loss Ratio Method</w:t>
      </w:r>
    </w:p>
    <w:p w14:paraId="0DEFE3C2" w14:textId="024E8608" w:rsidR="00E37D15" w:rsidRDefault="00E37D15" w:rsidP="00E37D15">
      <w:pPr>
        <w:spacing w:before="80"/>
        <w:jc w:val="both"/>
        <w:rPr>
          <w:rFonts w:ascii="Arial" w:hAnsi="Arial" w:cs="Arial"/>
          <w:sz w:val="22"/>
          <w:szCs w:val="22"/>
        </w:rPr>
      </w:pPr>
      <w:r w:rsidRPr="00E37D15">
        <w:rPr>
          <w:rFonts w:ascii="Arial" w:hAnsi="Arial" w:cs="Arial"/>
          <w:sz w:val="22"/>
          <w:szCs w:val="22"/>
        </w:rPr>
        <w:t xml:space="preserve">Under the loss ratio approach, we first calculated the </w:t>
      </w:r>
      <w:r>
        <w:rPr>
          <w:rFonts w:ascii="Arial" w:hAnsi="Arial" w:cs="Arial"/>
          <w:sz w:val="22"/>
          <w:szCs w:val="22"/>
        </w:rPr>
        <w:t>expected effective</w:t>
      </w:r>
      <w:r w:rsidRPr="00E37D15">
        <w:rPr>
          <w:rFonts w:ascii="Arial" w:hAnsi="Arial" w:cs="Arial"/>
          <w:sz w:val="22"/>
          <w:szCs w:val="22"/>
        </w:rPr>
        <w:t xml:space="preserve"> loss ratio implied by the trended and developed incurred losses:</w:t>
      </w:r>
    </w:p>
    <w:sdt>
      <w:sdtPr>
        <w:rPr>
          <w:rFonts w:ascii="Cambria Math" w:hAnsi="Cambria Math" w:cs="Arial"/>
          <w:b/>
          <w:bCs/>
          <w:color w:val="000000" w:themeColor="text1"/>
          <w:sz w:val="22"/>
          <w:szCs w:val="22"/>
        </w:rPr>
        <w:id w:val="1655257966"/>
        <w:placeholder>
          <w:docPart w:val="DefaultPlaceholder_2098659788"/>
        </w:placeholder>
        <w:temporary/>
        <w:equation/>
      </w:sdtPr>
      <w:sdtEndPr>
        <w:rPr>
          <w:b w:val="0"/>
          <w:bCs w:val="0"/>
        </w:rPr>
      </w:sdtEndPr>
      <w:sdtContent>
        <w:p w14:paraId="2BA91544" w14:textId="14EE9442" w:rsidR="00E37D15" w:rsidRPr="00E37D15" w:rsidRDefault="00E37D15" w:rsidP="00E37D15">
          <w:pPr>
            <w:spacing w:before="120"/>
            <w:jc w:val="both"/>
            <w:rPr>
              <w:rFonts w:ascii="Arial" w:hAnsi="Arial" w:cs="Arial"/>
              <w:color w:val="000000" w:themeColor="text1"/>
              <w:sz w:val="22"/>
              <w:szCs w:val="22"/>
            </w:rPr>
          </w:pPr>
          <m:oMathPara>
            <m:oMath>
              <m:r>
                <m:rPr>
                  <m:sty m:val="p"/>
                </m:rPr>
                <w:rPr>
                  <w:rFonts w:ascii="Cambria Math" w:hAnsi="Cambria Math" w:cs="Arial"/>
                  <w:color w:val="000000" w:themeColor="text1"/>
                  <w:sz w:val="22"/>
                  <w:szCs w:val="22"/>
                </w:rPr>
                <m:t xml:space="preserve">Expected Effective Loss Ratio = </m:t>
              </m:r>
              <m:f>
                <m:fPr>
                  <m:ctrlPr>
                    <w:rPr>
                      <w:rFonts w:ascii="Cambria Math" w:hAnsi="Cambria Math" w:cs="Arial"/>
                      <w:color w:val="000000" w:themeColor="text1"/>
                      <w:sz w:val="22"/>
                      <w:szCs w:val="22"/>
                    </w:rPr>
                  </m:ctrlPr>
                </m:fPr>
                <m:num>
                  <m:r>
                    <m:rPr>
                      <m:sty m:val="p"/>
                    </m:rPr>
                    <w:rPr>
                      <w:rFonts w:ascii="Cambria Math" w:hAnsi="Cambria Math" w:cs="Arial"/>
                      <w:color w:val="000000" w:themeColor="text1"/>
                      <w:sz w:val="22"/>
                      <w:szCs w:val="22"/>
                    </w:rPr>
                    <m:t>Estimated Ultimate losses</m:t>
                  </m:r>
                </m:num>
                <m:den>
                  <m:r>
                    <m:rPr>
                      <m:sty m:val="p"/>
                    </m:rPr>
                    <w:rPr>
                      <w:rFonts w:ascii="Cambria Math" w:hAnsi="Cambria Math" w:cs="Arial"/>
                      <w:color w:val="000000" w:themeColor="text1"/>
                      <w:sz w:val="22"/>
                      <w:szCs w:val="22"/>
                    </w:rPr>
                    <m:t>Earned Premium at current rates</m:t>
                  </m:r>
                </m:den>
              </m:f>
            </m:oMath>
          </m:oMathPara>
        </w:p>
      </w:sdtContent>
    </w:sdt>
    <w:p w14:paraId="31EE4692" w14:textId="5E7D1851" w:rsidR="00E37D15" w:rsidRPr="00E37D15" w:rsidRDefault="00E37D15" w:rsidP="00E37D15">
      <w:pPr>
        <w:spacing w:before="120"/>
        <w:ind w:left="360"/>
        <w:jc w:val="both"/>
        <w:rPr>
          <w:rFonts w:ascii="Arial" w:hAnsi="Arial" w:cs="Arial"/>
          <w:bCs/>
          <w:color w:val="000000" w:themeColor="text1"/>
          <w:sz w:val="22"/>
          <w:szCs w:val="22"/>
        </w:rPr>
      </w:pPr>
      <m:oMathPara>
        <m:oMath>
          <m:r>
            <m:rPr>
              <m:sty m:val="p"/>
            </m:rPr>
            <w:rPr>
              <w:rFonts w:ascii="Cambria Math" w:hAnsi="Cambria Math" w:cs="Arial"/>
              <w:color w:val="000000" w:themeColor="text1"/>
              <w:sz w:val="22"/>
              <w:szCs w:val="22"/>
            </w:rPr>
            <m:t xml:space="preserve">= </m:t>
          </m:r>
          <m:f>
            <m:fPr>
              <m:ctrlPr>
                <w:rPr>
                  <w:rFonts w:ascii="Cambria Math" w:hAnsi="Cambria Math" w:cs="Arial"/>
                  <w:bCs/>
                  <w:color w:val="000000" w:themeColor="text1"/>
                  <w:sz w:val="22"/>
                  <w:szCs w:val="22"/>
                </w:rPr>
              </m:ctrlPr>
            </m:fPr>
            <m:num>
              <m:r>
                <m:rPr>
                  <m:sty m:val="p"/>
                </m:rPr>
                <w:rPr>
                  <w:rFonts w:ascii="Cambria Math" w:hAnsi="Cambria Math" w:cs="Arial"/>
                  <w:color w:val="000000" w:themeColor="text1"/>
                  <w:sz w:val="22"/>
                  <w:szCs w:val="22"/>
                </w:rPr>
                <m:t>18,289</m:t>
              </m:r>
            </m:num>
            <m:den>
              <m:r>
                <m:rPr>
                  <m:sty m:val="p"/>
                </m:rPr>
                <w:rPr>
                  <w:rFonts w:ascii="Cambria Math" w:hAnsi="Cambria Math" w:cs="Arial"/>
                  <w:color w:val="000000" w:themeColor="text1"/>
                  <w:sz w:val="22"/>
                  <w:szCs w:val="22"/>
                </w:rPr>
                <m:t>29,000</m:t>
              </m:r>
            </m:den>
          </m:f>
        </m:oMath>
      </m:oMathPara>
    </w:p>
    <w:p w14:paraId="22A42A8E" w14:textId="1AA6B5F9" w:rsidR="00E37D15" w:rsidRPr="00E37D15" w:rsidRDefault="00E37D15" w:rsidP="00E37D15">
      <w:pPr>
        <w:spacing w:before="120"/>
        <w:ind w:left="144"/>
        <w:jc w:val="both"/>
        <w:rPr>
          <w:rFonts w:ascii="Arial" w:hAnsi="Arial" w:cs="Arial"/>
          <w:bCs/>
          <w:color w:val="000000" w:themeColor="text1"/>
          <w:sz w:val="22"/>
          <w:szCs w:val="22"/>
        </w:rPr>
      </w:pPr>
      <m:oMathPara>
        <m:oMath>
          <m:r>
            <m:rPr>
              <m:sty m:val="p"/>
            </m:rPr>
            <w:rPr>
              <w:rFonts w:ascii="Cambria Math" w:hAnsi="Cambria Math" w:cs="Arial"/>
              <w:color w:val="000000" w:themeColor="text1"/>
              <w:sz w:val="22"/>
              <w:szCs w:val="22"/>
            </w:rPr>
            <m:t>= 63 %</m:t>
          </m:r>
        </m:oMath>
      </m:oMathPara>
    </w:p>
    <w:p w14:paraId="2096AA9A" w14:textId="77777777" w:rsidR="00C92603" w:rsidRDefault="00C92603" w:rsidP="00C92603">
      <w:pPr>
        <w:spacing w:before="120"/>
        <w:ind w:left="360"/>
        <w:jc w:val="both"/>
        <w:rPr>
          <w:rFonts w:ascii="Arial" w:hAnsi="Arial" w:cs="Arial"/>
          <w:bCs/>
          <w:sz w:val="22"/>
          <w:szCs w:val="22"/>
        </w:rPr>
      </w:pPr>
    </w:p>
    <w:p w14:paraId="1C27AF71" w14:textId="77777777" w:rsidR="00C92603" w:rsidRDefault="00C92603" w:rsidP="00C92603">
      <w:pPr>
        <w:spacing w:before="120"/>
        <w:ind w:left="360"/>
        <w:jc w:val="both"/>
        <w:rPr>
          <w:rFonts w:ascii="Arial" w:hAnsi="Arial" w:cs="Arial"/>
          <w:bCs/>
          <w:sz w:val="22"/>
          <w:szCs w:val="22"/>
        </w:rPr>
      </w:pPr>
      <w:r w:rsidRPr="00C92603">
        <w:rPr>
          <w:rFonts w:ascii="Arial" w:hAnsi="Arial" w:cs="Arial"/>
          <w:bCs/>
          <w:sz w:val="22"/>
          <w:szCs w:val="22"/>
        </w:rPr>
        <w:t>This effective L</w:t>
      </w:r>
      <w:r>
        <w:rPr>
          <w:rFonts w:ascii="Arial" w:hAnsi="Arial" w:cs="Arial"/>
          <w:bCs/>
          <w:sz w:val="22"/>
          <w:szCs w:val="22"/>
        </w:rPr>
        <w:t>oss Ratio</w:t>
      </w:r>
      <w:r w:rsidRPr="00C92603">
        <w:rPr>
          <w:rFonts w:ascii="Arial" w:hAnsi="Arial" w:cs="Arial"/>
          <w:bCs/>
          <w:sz w:val="22"/>
          <w:szCs w:val="22"/>
        </w:rPr>
        <w:t xml:space="preserve"> is lower than the permissible L</w:t>
      </w:r>
      <w:r>
        <w:rPr>
          <w:rFonts w:ascii="Arial" w:hAnsi="Arial" w:cs="Arial"/>
          <w:bCs/>
          <w:sz w:val="22"/>
          <w:szCs w:val="22"/>
        </w:rPr>
        <w:t>oss Ratio</w:t>
      </w:r>
      <w:r w:rsidRPr="00C92603">
        <w:rPr>
          <w:rFonts w:ascii="Arial" w:hAnsi="Arial" w:cs="Arial"/>
          <w:bCs/>
          <w:sz w:val="22"/>
          <w:szCs w:val="22"/>
        </w:rPr>
        <w:t xml:space="preserve"> of 75%, meaning the portfolio is performing better than the target level.</w:t>
      </w:r>
    </w:p>
    <w:p w14:paraId="6F3CEED6" w14:textId="7138C929" w:rsidR="005402D9" w:rsidRPr="00C92603" w:rsidRDefault="00E37D15" w:rsidP="00C92603">
      <w:pPr>
        <w:spacing w:before="120"/>
        <w:ind w:left="360"/>
        <w:jc w:val="both"/>
        <w:rPr>
          <w:rFonts w:ascii="Arial" w:hAnsi="Arial" w:cs="Arial"/>
          <w:bCs/>
          <w:sz w:val="22"/>
          <w:szCs w:val="22"/>
        </w:rPr>
      </w:pPr>
      <w:r w:rsidRPr="00E37D15">
        <w:rPr>
          <w:rFonts w:ascii="Arial" w:hAnsi="Arial" w:cs="Arial"/>
          <w:sz w:val="22"/>
          <w:szCs w:val="22"/>
        </w:rPr>
        <w:t>The indicated rate change</w:t>
      </w:r>
      <w:r w:rsidR="00C92603">
        <w:rPr>
          <w:rFonts w:ascii="Arial" w:hAnsi="Arial" w:cs="Arial"/>
          <w:sz w:val="22"/>
          <w:szCs w:val="22"/>
        </w:rPr>
        <w:t xml:space="preserve"> </w:t>
      </w:r>
      <w:r w:rsidR="00C92603" w:rsidRPr="00E37D15">
        <w:rPr>
          <w:rFonts w:ascii="Arial" w:hAnsi="Arial" w:cs="Arial"/>
          <w:sz w:val="22"/>
          <w:szCs w:val="22"/>
        </w:rPr>
        <w:t>therefore</w:t>
      </w:r>
      <w:r w:rsidRPr="00E37D15">
        <w:rPr>
          <w:rFonts w:ascii="Arial" w:hAnsi="Arial" w:cs="Arial"/>
          <w:sz w:val="22"/>
          <w:szCs w:val="22"/>
        </w:rPr>
        <w:t xml:space="preserve"> is:</w:t>
      </w:r>
    </w:p>
    <w:p w14:paraId="1DC664A5" w14:textId="2D5CDC53" w:rsidR="003548F2" w:rsidRDefault="003548F2" w:rsidP="003548F2">
      <w:pPr>
        <w:spacing w:before="80"/>
        <w:jc w:val="both"/>
        <w:rPr>
          <w:rFonts w:ascii="Cambria Math" w:hAnsi="Cambria Math" w:cs="Arial"/>
          <w:sz w:val="22"/>
          <w:szCs w:val="22"/>
          <w:oMath/>
        </w:rPr>
      </w:pPr>
    </w:p>
    <w:p w14:paraId="61AF90EE" w14:textId="77777777" w:rsidR="003548F2" w:rsidRPr="003548F2" w:rsidRDefault="003548F2" w:rsidP="003548F2">
      <w:pPr>
        <w:spacing w:before="80"/>
        <w:jc w:val="both"/>
        <w:rPr>
          <w:rFonts w:ascii="Arial" w:hAnsi="Arial" w:cs="Arial"/>
          <w:color w:val="000000" w:themeColor="text1"/>
          <w:sz w:val="22"/>
          <w:szCs w:val="22"/>
        </w:rPr>
      </w:pPr>
      <m:oMathPara>
        <m:oMath>
          <m:r>
            <m:rPr>
              <m:sty m:val="p"/>
            </m:rPr>
            <w:rPr>
              <w:rFonts w:ascii="Cambria Math" w:hAnsi="Cambria Math" w:cs="Arial"/>
              <w:sz w:val="22"/>
              <w:szCs w:val="22"/>
            </w:rPr>
            <m:t xml:space="preserve">Indicated rate change= </m:t>
          </m:r>
          <m:r>
            <m:rPr>
              <m:sty m:val="p"/>
            </m:rPr>
            <w:rPr>
              <w:rFonts w:ascii="Cambria Math" w:hAnsi="Cambria Math" w:cs="Arial"/>
              <w:color w:val="000000" w:themeColor="text1"/>
              <w:sz w:val="22"/>
              <w:szCs w:val="22"/>
            </w:rPr>
            <m:t>Expected Effective Loss Ratio-PLR</m:t>
          </m:r>
        </m:oMath>
      </m:oMathPara>
    </w:p>
    <w:p w14:paraId="22EB335C" w14:textId="6FAD4DAB" w:rsidR="003548F2" w:rsidRPr="003548F2" w:rsidRDefault="003548F2" w:rsidP="00C92603">
      <w:pPr>
        <w:spacing w:before="80"/>
        <w:ind w:left="3830"/>
        <w:jc w:val="both"/>
        <w:rPr>
          <w:rFonts w:ascii="Arial" w:hAnsi="Arial" w:cs="Arial"/>
          <w:color w:val="000000" w:themeColor="text1"/>
          <w:sz w:val="22"/>
          <w:szCs w:val="22"/>
        </w:rPr>
      </w:pPr>
      <m:oMathPara>
        <m:oMathParaPr>
          <m:jc m:val="left"/>
        </m:oMathParaPr>
        <m:oMath>
          <m:r>
            <w:rPr>
              <w:rFonts w:ascii="Cambria Math" w:hAnsi="Cambria Math" w:cs="Arial"/>
              <w:color w:val="000000" w:themeColor="text1"/>
              <w:sz w:val="22"/>
              <w:szCs w:val="22"/>
            </w:rPr>
            <m:t>=63-75</m:t>
          </m:r>
        </m:oMath>
      </m:oMathPara>
    </w:p>
    <w:p w14:paraId="50748981" w14:textId="600292F2" w:rsidR="003548F2" w:rsidRPr="003548F2" w:rsidRDefault="003548F2" w:rsidP="00C92603">
      <w:pPr>
        <w:spacing w:before="80"/>
        <w:ind w:left="-706"/>
        <w:jc w:val="center"/>
        <w:rPr>
          <w:rFonts w:ascii="Cambria Math" w:hAnsi="Cambria Math" w:cs="Arial"/>
          <w:sz w:val="22"/>
          <w:szCs w:val="22"/>
          <w:oMath/>
        </w:rPr>
      </w:pPr>
      <m:oMathPara>
        <m:oMath>
          <m:r>
            <w:rPr>
              <w:rFonts w:ascii="Cambria Math" w:hAnsi="Cambria Math" w:cs="Arial"/>
              <w:color w:val="000000" w:themeColor="text1"/>
              <w:sz w:val="22"/>
              <w:szCs w:val="22"/>
            </w:rPr>
            <m:t>=-16 %</m:t>
          </m:r>
        </m:oMath>
      </m:oMathPara>
    </w:p>
    <w:p w14:paraId="197892BC" w14:textId="76F1687C" w:rsidR="00E37D15" w:rsidRPr="00E37D15" w:rsidRDefault="00E37D15" w:rsidP="003548F2">
      <w:pPr>
        <w:spacing w:before="80"/>
        <w:jc w:val="center"/>
        <w:rPr>
          <w:rFonts w:ascii="Arial" w:hAnsi="Arial" w:cs="Arial"/>
          <w:sz w:val="22"/>
          <w:szCs w:val="22"/>
        </w:rPr>
      </w:pPr>
    </w:p>
    <w:p w14:paraId="0F89A956" w14:textId="77777777" w:rsidR="00C92603" w:rsidRDefault="00C92603" w:rsidP="00E37D15">
      <w:pPr>
        <w:spacing w:before="80"/>
        <w:jc w:val="both"/>
        <w:rPr>
          <w:rFonts w:ascii="Arial" w:hAnsi="Arial" w:cs="Arial"/>
          <w:sz w:val="22"/>
          <w:szCs w:val="22"/>
        </w:rPr>
      </w:pPr>
    </w:p>
    <w:p w14:paraId="3ABBD14A" w14:textId="7A3630A3" w:rsidR="00E37D15" w:rsidRDefault="00C92603" w:rsidP="00C92603">
      <w:pPr>
        <w:spacing w:before="80"/>
        <w:jc w:val="both"/>
        <w:rPr>
          <w:rFonts w:ascii="Arial" w:hAnsi="Arial" w:cs="Arial"/>
          <w:sz w:val="22"/>
          <w:szCs w:val="22"/>
        </w:rPr>
      </w:pPr>
      <w:r w:rsidRPr="00C92603">
        <w:rPr>
          <w:rFonts w:ascii="Arial" w:hAnsi="Arial" w:cs="Arial"/>
          <w:sz w:val="22"/>
          <w:szCs w:val="22"/>
        </w:rPr>
        <w:t xml:space="preserve">The resulting percentage suggests a decrease in rates. Another way to think about it is to compute the premium that would match the target loss ratio: </w:t>
      </w:r>
    </w:p>
    <w:p w14:paraId="0BF4D2DB" w14:textId="77777777" w:rsidR="00C92603" w:rsidRDefault="00C92603" w:rsidP="00C92603">
      <w:pPr>
        <w:spacing w:before="80"/>
        <w:jc w:val="both"/>
        <w:rPr>
          <w:rFonts w:ascii="Arial" w:hAnsi="Arial" w:cs="Arial"/>
          <w:sz w:val="22"/>
          <w:szCs w:val="22"/>
        </w:rPr>
      </w:pPr>
    </w:p>
    <w:p w14:paraId="1E5BA6E6" w14:textId="4A49D5ED" w:rsidR="003548F2" w:rsidRPr="00C92603" w:rsidRDefault="003548F2" w:rsidP="003548F2">
      <w:pPr>
        <w:spacing w:before="80"/>
        <w:jc w:val="both"/>
        <w:rPr>
          <w:rFonts w:ascii="Arial" w:hAnsi="Arial" w:cs="Arial"/>
          <w:color w:val="000000" w:themeColor="text1"/>
          <w:sz w:val="22"/>
          <w:szCs w:val="22"/>
        </w:rPr>
      </w:pPr>
      <m:oMathPara>
        <m:oMath>
          <m:r>
            <m:rPr>
              <m:sty m:val="p"/>
            </m:rPr>
            <w:rPr>
              <w:rFonts w:ascii="Cambria Math" w:hAnsi="Cambria Math" w:cs="Arial"/>
              <w:sz w:val="22"/>
              <w:szCs w:val="22"/>
            </w:rPr>
            <m:t>Indicated Premium=</m:t>
          </m:r>
          <m:f>
            <m:fPr>
              <m:ctrlPr>
                <w:rPr>
                  <w:rFonts w:ascii="Cambria Math" w:hAnsi="Cambria Math" w:cs="Arial"/>
                  <w:bCs/>
                  <w:color w:val="000000" w:themeColor="text1"/>
                  <w:sz w:val="22"/>
                  <w:szCs w:val="22"/>
                </w:rPr>
              </m:ctrlPr>
            </m:fPr>
            <m:num>
              <m:r>
                <m:rPr>
                  <m:sty m:val="p"/>
                </m:rPr>
                <w:rPr>
                  <w:rFonts w:ascii="Cambria Math" w:hAnsi="Cambria Math" w:cs="Arial"/>
                  <w:color w:val="000000" w:themeColor="text1"/>
                  <w:sz w:val="22"/>
                  <w:szCs w:val="22"/>
                </w:rPr>
                <m:t>18,289</m:t>
              </m:r>
            </m:num>
            <m:den>
              <m:r>
                <m:rPr>
                  <m:sty m:val="p"/>
                </m:rPr>
                <w:rPr>
                  <w:rFonts w:ascii="Cambria Math" w:hAnsi="Cambria Math" w:cs="Arial"/>
                  <w:color w:val="000000" w:themeColor="text1"/>
                  <w:sz w:val="22"/>
                  <w:szCs w:val="22"/>
                </w:rPr>
                <m:t>0.75</m:t>
              </m:r>
            </m:den>
          </m:f>
          <m:r>
            <w:rPr>
              <w:rFonts w:ascii="Cambria Math" w:hAnsi="Cambria Math" w:cs="Arial"/>
              <w:color w:val="000000" w:themeColor="text1"/>
              <w:sz w:val="22"/>
              <w:szCs w:val="22"/>
            </w:rPr>
            <m:t>=$ 24,385</m:t>
          </m:r>
        </m:oMath>
      </m:oMathPara>
    </w:p>
    <w:p w14:paraId="0DA0D20C" w14:textId="77777777" w:rsidR="00C92603" w:rsidRDefault="00C92603" w:rsidP="003548F2">
      <w:pPr>
        <w:spacing w:before="80"/>
        <w:jc w:val="both"/>
        <w:rPr>
          <w:rFonts w:ascii="Arial" w:hAnsi="Arial" w:cs="Arial"/>
          <w:sz w:val="22"/>
          <w:szCs w:val="22"/>
        </w:rPr>
      </w:pPr>
    </w:p>
    <w:p w14:paraId="345EC97A" w14:textId="6DA6CDE1" w:rsidR="00E37D15" w:rsidRDefault="00E37D15" w:rsidP="003548F2">
      <w:pPr>
        <w:spacing w:before="80"/>
        <w:jc w:val="both"/>
        <w:rPr>
          <w:rFonts w:ascii="Arial" w:hAnsi="Arial" w:cs="Arial"/>
          <w:sz w:val="22"/>
          <w:szCs w:val="22"/>
        </w:rPr>
      </w:pPr>
      <w:r w:rsidRPr="00E37D15">
        <w:rPr>
          <w:rFonts w:ascii="Arial" w:hAnsi="Arial" w:cs="Arial"/>
          <w:sz w:val="22"/>
          <w:szCs w:val="22"/>
        </w:rPr>
        <w:t xml:space="preserve">which is lower than the current earned premium of $29,000. In other words, based solely on the 2025 experience and the selected PLR, current rates appear </w:t>
      </w:r>
      <w:r w:rsidRPr="003548F2">
        <w:rPr>
          <w:rFonts w:ascii="Arial" w:hAnsi="Arial" w:cs="Arial"/>
          <w:sz w:val="22"/>
          <w:szCs w:val="22"/>
        </w:rPr>
        <w:t>more than adequate.</w:t>
      </w:r>
    </w:p>
    <w:p w14:paraId="36F3EF46" w14:textId="753282C9" w:rsidR="003548F2" w:rsidRDefault="00C92603" w:rsidP="00C92603">
      <w:pPr>
        <w:spacing w:before="120"/>
        <w:jc w:val="both"/>
        <w:rPr>
          <w:rFonts w:ascii="Arial" w:hAnsi="Arial" w:cs="Arial"/>
          <w:sz w:val="22"/>
          <w:szCs w:val="22"/>
        </w:rPr>
      </w:pPr>
      <w:r w:rsidRPr="00C92603">
        <w:rPr>
          <w:rFonts w:ascii="Arial" w:hAnsi="Arial" w:cs="Arial"/>
          <w:sz w:val="22"/>
          <w:szCs w:val="22"/>
        </w:rPr>
        <w:t>While the math is straightforward, we kept in mind throughout the report that 2025 is a small and immature underwriting year.</w:t>
      </w:r>
      <w:r>
        <w:rPr>
          <w:rFonts w:ascii="Arial" w:hAnsi="Arial" w:cs="Arial"/>
          <w:sz w:val="22"/>
          <w:szCs w:val="22"/>
        </w:rPr>
        <w:t xml:space="preserve"> Thus,</w:t>
      </w:r>
      <w:r w:rsidRPr="00C92603">
        <w:rPr>
          <w:rFonts w:ascii="Arial" w:hAnsi="Arial" w:cs="Arial"/>
          <w:sz w:val="22"/>
          <w:szCs w:val="22"/>
        </w:rPr>
        <w:t xml:space="preserve"> we later toned down the final pricing</w:t>
      </w:r>
      <w:r>
        <w:rPr>
          <w:rFonts w:ascii="Arial" w:hAnsi="Arial" w:cs="Arial"/>
          <w:sz w:val="22"/>
          <w:szCs w:val="22"/>
        </w:rPr>
        <w:t xml:space="preserve"> </w:t>
      </w:r>
      <w:r w:rsidRPr="00C92603">
        <w:rPr>
          <w:rFonts w:ascii="Arial" w:hAnsi="Arial" w:cs="Arial"/>
          <w:sz w:val="22"/>
          <w:szCs w:val="22"/>
        </w:rPr>
        <w:t>recommendation despite the technical result.</w:t>
      </w:r>
    </w:p>
    <w:p w14:paraId="43FF5B3C" w14:textId="77777777" w:rsidR="00C92603" w:rsidRPr="00E37D15" w:rsidRDefault="00C92603" w:rsidP="00C92603">
      <w:pPr>
        <w:spacing w:before="120"/>
        <w:jc w:val="both"/>
        <w:rPr>
          <w:rFonts w:ascii="Arial" w:hAnsi="Arial" w:cs="Arial"/>
          <w:sz w:val="22"/>
          <w:szCs w:val="22"/>
        </w:rPr>
      </w:pPr>
    </w:p>
    <w:p w14:paraId="33642463" w14:textId="472F11FE" w:rsidR="00E37D15" w:rsidRDefault="00E37D15" w:rsidP="00E37D15">
      <w:pPr>
        <w:spacing w:before="80"/>
        <w:jc w:val="both"/>
        <w:rPr>
          <w:rFonts w:ascii="Arial" w:hAnsi="Arial" w:cs="Arial"/>
          <w:b/>
          <w:bCs/>
          <w:sz w:val="22"/>
          <w:szCs w:val="22"/>
        </w:rPr>
      </w:pPr>
      <w:r w:rsidRPr="00E37D15">
        <w:rPr>
          <w:rFonts w:ascii="Arial" w:hAnsi="Arial" w:cs="Arial"/>
          <w:b/>
          <w:bCs/>
          <w:sz w:val="22"/>
          <w:szCs w:val="22"/>
        </w:rPr>
        <w:t>6.2 Loss Cost Method</w:t>
      </w:r>
    </w:p>
    <w:p w14:paraId="707071AB" w14:textId="77777777" w:rsidR="004A2A36" w:rsidRDefault="004A2A36" w:rsidP="004A2A36">
      <w:pPr>
        <w:spacing w:before="80"/>
        <w:jc w:val="both"/>
        <w:rPr>
          <w:rFonts w:ascii="Arial" w:hAnsi="Arial" w:cs="Arial"/>
          <w:sz w:val="22"/>
          <w:szCs w:val="22"/>
        </w:rPr>
      </w:pPr>
      <w:r w:rsidRPr="004A2A36">
        <w:rPr>
          <w:rFonts w:ascii="Arial" w:hAnsi="Arial" w:cs="Arial"/>
          <w:sz w:val="22"/>
          <w:szCs w:val="22"/>
        </w:rPr>
        <w:t xml:space="preserve">Even though the project did not require a loss cost approach, we used it as a secondary check. </w:t>
      </w:r>
    </w:p>
    <w:p w14:paraId="34CA431D" w14:textId="1A19F248" w:rsidR="00E37D15" w:rsidRDefault="00E37D15" w:rsidP="004A2A36">
      <w:pPr>
        <w:spacing w:before="80"/>
        <w:jc w:val="both"/>
        <w:rPr>
          <w:rFonts w:ascii="Arial" w:hAnsi="Arial" w:cs="Arial"/>
          <w:sz w:val="22"/>
          <w:szCs w:val="22"/>
        </w:rPr>
      </w:pPr>
      <w:r w:rsidRPr="00E37D15">
        <w:rPr>
          <w:rFonts w:ascii="Arial" w:hAnsi="Arial" w:cs="Arial"/>
          <w:sz w:val="22"/>
          <w:szCs w:val="22"/>
        </w:rPr>
        <w:t xml:space="preserve">Using the earned exposure of </w:t>
      </w:r>
      <w:r w:rsidRPr="00BF570D">
        <w:rPr>
          <w:rFonts w:ascii="Arial" w:hAnsi="Arial" w:cs="Arial"/>
          <w:sz w:val="22"/>
          <w:szCs w:val="22"/>
        </w:rPr>
        <w:t>10.756 units, the new average loss cost</w:t>
      </w:r>
      <w:r w:rsidRPr="00E37D15">
        <w:rPr>
          <w:rFonts w:ascii="Arial" w:hAnsi="Arial" w:cs="Arial"/>
          <w:sz w:val="22"/>
          <w:szCs w:val="22"/>
        </w:rPr>
        <w:t xml:space="preserve"> implied by the trended and developed incurred losses is:</w:t>
      </w:r>
    </w:p>
    <w:p w14:paraId="1CC70AA9" w14:textId="3DE8D0FC" w:rsidR="00BF570D" w:rsidRPr="00E37D15" w:rsidRDefault="00BF570D" w:rsidP="00E37D15">
      <w:pPr>
        <w:spacing w:before="80"/>
        <w:jc w:val="both"/>
        <w:rPr>
          <w:rFonts w:ascii="Arial" w:hAnsi="Arial" w:cs="Arial"/>
          <w:sz w:val="22"/>
          <w:szCs w:val="22"/>
        </w:rPr>
      </w:pPr>
      <m:oMathPara>
        <m:oMath>
          <m:r>
            <m:rPr>
              <m:sty m:val="p"/>
            </m:rPr>
            <w:rPr>
              <w:rFonts w:ascii="Cambria Math" w:hAnsi="Cambria Math" w:cs="Arial"/>
              <w:sz w:val="22"/>
              <w:szCs w:val="22"/>
            </w:rPr>
            <m:t>New Average Loss Cost=</m:t>
          </m:r>
          <m:f>
            <m:fPr>
              <m:ctrlPr>
                <w:rPr>
                  <w:rFonts w:ascii="Cambria Math" w:hAnsi="Cambria Math" w:cs="Arial"/>
                  <w:bCs/>
                  <w:color w:val="000000" w:themeColor="text1"/>
                  <w:sz w:val="22"/>
                  <w:szCs w:val="22"/>
                </w:rPr>
              </m:ctrlPr>
            </m:fPr>
            <m:num>
              <m:r>
                <m:rPr>
                  <m:sty m:val="p"/>
                </m:rPr>
                <w:rPr>
                  <w:rFonts w:ascii="Cambria Math" w:hAnsi="Cambria Math" w:cs="Arial"/>
                  <w:color w:val="000000" w:themeColor="text1"/>
                  <w:sz w:val="22"/>
                  <w:szCs w:val="22"/>
                </w:rPr>
                <m:t>18,289</m:t>
              </m:r>
            </m:num>
            <m:den>
              <m:r>
                <m:rPr>
                  <m:sty m:val="p"/>
                </m:rPr>
                <w:rPr>
                  <w:rFonts w:ascii="Cambria Math" w:hAnsi="Cambria Math" w:cs="Arial"/>
                  <w:color w:val="000000" w:themeColor="text1"/>
                  <w:sz w:val="22"/>
                  <w:szCs w:val="22"/>
                </w:rPr>
                <m:t>10.756</m:t>
              </m:r>
            </m:den>
          </m:f>
          <m:r>
            <w:rPr>
              <w:rFonts w:ascii="Cambria Math" w:hAnsi="Cambria Math" w:cs="Arial"/>
              <w:color w:val="000000" w:themeColor="text1"/>
              <w:sz w:val="22"/>
              <w:szCs w:val="22"/>
            </w:rPr>
            <m:t>=$ 1,700</m:t>
          </m:r>
        </m:oMath>
      </m:oMathPara>
    </w:p>
    <w:p w14:paraId="4E7D6FE6" w14:textId="27A62B11" w:rsidR="00E37D15" w:rsidRPr="00E37D15" w:rsidRDefault="00E37D15" w:rsidP="00E37D15">
      <w:pPr>
        <w:spacing w:before="80"/>
        <w:jc w:val="both"/>
        <w:rPr>
          <w:rFonts w:ascii="Arial" w:hAnsi="Arial" w:cs="Arial"/>
          <w:sz w:val="22"/>
          <w:szCs w:val="22"/>
        </w:rPr>
      </w:pPr>
    </w:p>
    <w:p w14:paraId="3D3AA585" w14:textId="07661290" w:rsidR="00E37D15" w:rsidRDefault="004A2A36" w:rsidP="004A2A36">
      <w:pPr>
        <w:spacing w:before="80"/>
        <w:jc w:val="both"/>
        <w:rPr>
          <w:rFonts w:ascii="Arial" w:hAnsi="Arial" w:cs="Arial"/>
          <w:sz w:val="22"/>
          <w:szCs w:val="22"/>
        </w:rPr>
      </w:pPr>
      <w:r w:rsidRPr="004A2A36">
        <w:rPr>
          <w:rFonts w:ascii="Arial" w:hAnsi="Arial" w:cs="Arial"/>
          <w:sz w:val="22"/>
          <w:szCs w:val="22"/>
        </w:rPr>
        <w:t>To compare this to current pricing, we calculated</w:t>
      </w:r>
      <w:r w:rsidR="00BF570D">
        <w:rPr>
          <w:rFonts w:ascii="Arial" w:hAnsi="Arial" w:cs="Arial"/>
          <w:sz w:val="22"/>
          <w:szCs w:val="22"/>
        </w:rPr>
        <w:t xml:space="preserve"> the new average gross rate:</w:t>
      </w:r>
    </w:p>
    <w:p w14:paraId="32297805" w14:textId="77777777" w:rsidR="00BF570D" w:rsidRDefault="00BF570D" w:rsidP="00BF570D">
      <w:pPr>
        <w:spacing w:before="80"/>
        <w:jc w:val="both"/>
        <w:rPr>
          <w:rFonts w:ascii="Arial" w:hAnsi="Arial" w:cs="Arial"/>
          <w:sz w:val="22"/>
          <w:szCs w:val="22"/>
        </w:rPr>
      </w:pPr>
      <m:oMathPara>
        <m:oMath>
          <m:r>
            <m:rPr>
              <m:sty m:val="p"/>
            </m:rPr>
            <w:rPr>
              <w:rFonts w:ascii="Cambria Math" w:hAnsi="Cambria Math" w:cs="Arial"/>
              <w:sz w:val="22"/>
              <w:szCs w:val="22"/>
            </w:rPr>
            <m:t>New Average Gross rate=</m:t>
          </m:r>
          <m:f>
            <m:fPr>
              <m:ctrlPr>
                <w:rPr>
                  <w:rFonts w:ascii="Cambria Math" w:hAnsi="Cambria Math" w:cs="Arial"/>
                  <w:bCs/>
                  <w:color w:val="000000" w:themeColor="text1"/>
                  <w:sz w:val="22"/>
                  <w:szCs w:val="22"/>
                </w:rPr>
              </m:ctrlPr>
            </m:fPr>
            <m:num>
              <m:r>
                <m:rPr>
                  <m:sty m:val="p"/>
                </m:rPr>
                <w:rPr>
                  <w:rFonts w:ascii="Cambria Math" w:hAnsi="Cambria Math" w:cs="Arial"/>
                  <w:color w:val="000000" w:themeColor="text1"/>
                  <w:sz w:val="22"/>
                  <w:szCs w:val="22"/>
                </w:rPr>
                <m:t>1,700</m:t>
              </m:r>
            </m:num>
            <m:den>
              <m:r>
                <m:rPr>
                  <m:sty m:val="p"/>
                </m:rPr>
                <w:rPr>
                  <w:rFonts w:ascii="Cambria Math" w:hAnsi="Cambria Math" w:cs="Arial"/>
                  <w:color w:val="000000" w:themeColor="text1"/>
                  <w:sz w:val="22"/>
                  <w:szCs w:val="22"/>
                </w:rPr>
                <m:t>0.75</m:t>
              </m:r>
            </m:den>
          </m:f>
          <m:r>
            <w:rPr>
              <w:rFonts w:ascii="Cambria Math" w:hAnsi="Cambria Math" w:cs="Arial"/>
              <w:color w:val="000000" w:themeColor="text1"/>
              <w:sz w:val="22"/>
              <w:szCs w:val="22"/>
            </w:rPr>
            <m:t>=$ 2,267</m:t>
          </m:r>
        </m:oMath>
      </m:oMathPara>
    </w:p>
    <w:p w14:paraId="0DECA66D" w14:textId="1BF5722A" w:rsidR="00E37D15" w:rsidRPr="00E37D15" w:rsidRDefault="00E37D15" w:rsidP="00BF570D">
      <w:pPr>
        <w:spacing w:before="80"/>
        <w:jc w:val="both"/>
        <w:rPr>
          <w:rFonts w:ascii="Arial" w:hAnsi="Arial" w:cs="Arial"/>
          <w:sz w:val="22"/>
          <w:szCs w:val="22"/>
        </w:rPr>
      </w:pPr>
      <w:r w:rsidRPr="00E37D15">
        <w:rPr>
          <w:rFonts w:ascii="Arial" w:hAnsi="Arial" w:cs="Arial"/>
          <w:sz w:val="22"/>
          <w:szCs w:val="22"/>
        </w:rPr>
        <w:t xml:space="preserve"> </w:t>
      </w:r>
    </w:p>
    <w:p w14:paraId="3E252D0A" w14:textId="5D859A0C" w:rsidR="00CD7039" w:rsidRDefault="004A2A36" w:rsidP="00CD7039">
      <w:pPr>
        <w:spacing w:before="80"/>
        <w:jc w:val="both"/>
        <w:rPr>
          <w:rFonts w:ascii="Arial" w:hAnsi="Arial" w:cs="Arial"/>
          <w:sz w:val="22"/>
          <w:szCs w:val="22"/>
        </w:rPr>
      </w:pPr>
      <w:r>
        <w:rPr>
          <w:rFonts w:ascii="Arial" w:hAnsi="Arial" w:cs="Arial"/>
          <w:sz w:val="22"/>
          <w:szCs w:val="22"/>
        </w:rPr>
        <w:lastRenderedPageBreak/>
        <w:t>and</w:t>
      </w:r>
      <w:r w:rsidR="00BF570D">
        <w:rPr>
          <w:rFonts w:ascii="Arial" w:hAnsi="Arial" w:cs="Arial"/>
          <w:sz w:val="22"/>
          <w:szCs w:val="22"/>
        </w:rPr>
        <w:t xml:space="preserve"> t</w:t>
      </w:r>
      <w:r w:rsidR="00E37D15" w:rsidRPr="00E37D15">
        <w:rPr>
          <w:rFonts w:ascii="Arial" w:hAnsi="Arial" w:cs="Arial"/>
          <w:sz w:val="22"/>
          <w:szCs w:val="22"/>
        </w:rPr>
        <w:t xml:space="preserve">he </w:t>
      </w:r>
      <w:r w:rsidR="00E37D15" w:rsidRPr="00BF570D">
        <w:rPr>
          <w:rFonts w:ascii="Arial" w:hAnsi="Arial" w:cs="Arial"/>
          <w:sz w:val="22"/>
          <w:szCs w:val="22"/>
        </w:rPr>
        <w:t>current average gross rate</w:t>
      </w:r>
      <w:r w:rsidR="00E37D15" w:rsidRPr="00E37D15">
        <w:rPr>
          <w:rFonts w:ascii="Arial" w:hAnsi="Arial" w:cs="Arial"/>
          <w:sz w:val="22"/>
          <w:szCs w:val="22"/>
        </w:rPr>
        <w:t xml:space="preserve"> based on existing premium</w:t>
      </w:r>
      <w:r>
        <w:rPr>
          <w:rFonts w:ascii="Arial" w:hAnsi="Arial" w:cs="Arial"/>
          <w:sz w:val="22"/>
          <w:szCs w:val="22"/>
        </w:rPr>
        <w:t>s</w:t>
      </w:r>
      <w:r w:rsidR="00E37D15" w:rsidRPr="00E37D15">
        <w:rPr>
          <w:rFonts w:ascii="Arial" w:hAnsi="Arial" w:cs="Arial"/>
          <w:sz w:val="22"/>
          <w:szCs w:val="22"/>
        </w:rPr>
        <w:t>:</w:t>
      </w:r>
    </w:p>
    <w:p w14:paraId="61A3D088" w14:textId="28EF3869" w:rsidR="00BF570D" w:rsidRPr="00E37D15" w:rsidRDefault="00BF570D" w:rsidP="00CD7039">
      <w:pPr>
        <w:spacing w:before="180"/>
        <w:jc w:val="both"/>
        <w:rPr>
          <w:rFonts w:ascii="Arial" w:hAnsi="Arial" w:cs="Arial"/>
          <w:sz w:val="22"/>
          <w:szCs w:val="22"/>
        </w:rPr>
      </w:pPr>
      <m:oMathPara>
        <m:oMath>
          <m:r>
            <m:rPr>
              <m:sty m:val="p"/>
            </m:rPr>
            <w:rPr>
              <w:rFonts w:ascii="Cambria Math" w:hAnsi="Cambria Math" w:cs="Arial"/>
              <w:sz w:val="22"/>
              <w:szCs w:val="22"/>
            </w:rPr>
            <m:t>Current Gross Rate=</m:t>
          </m:r>
          <m:f>
            <m:fPr>
              <m:ctrlPr>
                <w:rPr>
                  <w:rFonts w:ascii="Cambria Math" w:hAnsi="Cambria Math" w:cs="Arial"/>
                  <w:bCs/>
                  <w:color w:val="000000" w:themeColor="text1"/>
                  <w:sz w:val="22"/>
                  <w:szCs w:val="22"/>
                </w:rPr>
              </m:ctrlPr>
            </m:fPr>
            <m:num>
              <m:r>
                <m:rPr>
                  <m:sty m:val="p"/>
                </m:rPr>
                <w:rPr>
                  <w:rFonts w:ascii="Cambria Math" w:hAnsi="Cambria Math" w:cs="Arial"/>
                  <w:color w:val="000000" w:themeColor="text1"/>
                  <w:sz w:val="22"/>
                  <w:szCs w:val="22"/>
                </w:rPr>
                <m:t>Earned Premium at current rate</m:t>
              </m:r>
            </m:num>
            <m:den>
              <m:r>
                <m:rPr>
                  <m:sty m:val="p"/>
                </m:rPr>
                <w:rPr>
                  <w:rFonts w:ascii="Cambria Math" w:hAnsi="Cambria Math" w:cs="Arial"/>
                  <w:color w:val="000000" w:themeColor="text1"/>
                  <w:sz w:val="22"/>
                  <w:szCs w:val="22"/>
                </w:rPr>
                <m:t>Earned Exposure units</m:t>
              </m:r>
            </m:den>
          </m:f>
          <m:r>
            <w:rPr>
              <w:rFonts w:ascii="Cambria Math" w:hAnsi="Cambria Math" w:cs="Arial"/>
              <w:color w:val="000000" w:themeColor="text1"/>
              <w:sz w:val="22"/>
              <w:szCs w:val="22"/>
            </w:rPr>
            <m:t>=</m:t>
          </m:r>
          <m:f>
            <m:fPr>
              <m:ctrlPr>
                <w:rPr>
                  <w:rFonts w:ascii="Cambria Math" w:hAnsi="Cambria Math" w:cs="Arial"/>
                  <w:bCs/>
                  <w:color w:val="000000" w:themeColor="text1"/>
                  <w:sz w:val="22"/>
                  <w:szCs w:val="22"/>
                </w:rPr>
              </m:ctrlPr>
            </m:fPr>
            <m:num>
              <m:r>
                <m:rPr>
                  <m:sty m:val="p"/>
                </m:rPr>
                <w:rPr>
                  <w:rFonts w:ascii="Cambria Math" w:hAnsi="Cambria Math" w:cs="Arial"/>
                  <w:color w:val="000000" w:themeColor="text1"/>
                  <w:sz w:val="22"/>
                  <w:szCs w:val="22"/>
                </w:rPr>
                <m:t>29,000</m:t>
              </m:r>
            </m:num>
            <m:den>
              <m:r>
                <m:rPr>
                  <m:sty m:val="p"/>
                </m:rPr>
                <w:rPr>
                  <w:rFonts w:ascii="Cambria Math" w:hAnsi="Cambria Math" w:cs="Arial"/>
                  <w:color w:val="000000" w:themeColor="text1"/>
                  <w:sz w:val="22"/>
                  <w:szCs w:val="22"/>
                </w:rPr>
                <m:t>6.81</m:t>
              </m:r>
            </m:den>
          </m:f>
          <m:r>
            <w:rPr>
              <w:rFonts w:ascii="Cambria Math" w:hAnsi="Cambria Math" w:cs="Arial"/>
              <w:color w:val="000000" w:themeColor="text1"/>
              <w:sz w:val="22"/>
              <w:szCs w:val="22"/>
            </w:rPr>
            <m:t>=$ 2,696.13</m:t>
          </m:r>
        </m:oMath>
      </m:oMathPara>
    </w:p>
    <w:p w14:paraId="63980F4A" w14:textId="77777777" w:rsidR="00BF570D" w:rsidRDefault="00BF570D" w:rsidP="00E37D15">
      <w:pPr>
        <w:spacing w:before="80"/>
        <w:jc w:val="both"/>
        <w:rPr>
          <w:rFonts w:ascii="Arial" w:hAnsi="Arial" w:cs="Arial"/>
          <w:sz w:val="22"/>
          <w:szCs w:val="22"/>
        </w:rPr>
      </w:pPr>
    </w:p>
    <w:p w14:paraId="7801CA17" w14:textId="77777777" w:rsidR="00BF570D" w:rsidRDefault="00E37D15" w:rsidP="00BF570D">
      <w:pPr>
        <w:spacing w:before="80"/>
        <w:jc w:val="both"/>
        <w:rPr>
          <w:rFonts w:ascii="Arial" w:hAnsi="Arial" w:cs="Arial"/>
          <w:sz w:val="22"/>
          <w:szCs w:val="22"/>
        </w:rPr>
      </w:pPr>
      <w:r w:rsidRPr="00E37D15">
        <w:rPr>
          <w:rFonts w:ascii="Arial" w:hAnsi="Arial" w:cs="Arial"/>
          <w:sz w:val="22"/>
          <w:szCs w:val="22"/>
        </w:rPr>
        <w:t>Comparing the two</w:t>
      </w:r>
      <w:r w:rsidR="00BF570D">
        <w:rPr>
          <w:rFonts w:ascii="Arial" w:hAnsi="Arial" w:cs="Arial"/>
          <w:sz w:val="22"/>
          <w:szCs w:val="22"/>
        </w:rPr>
        <w:t xml:space="preserve"> gross rates values:</w:t>
      </w:r>
    </w:p>
    <w:p w14:paraId="236DB578" w14:textId="7E279779" w:rsidR="00BF570D" w:rsidRPr="00E37D15" w:rsidRDefault="00BF570D" w:rsidP="00BF570D">
      <w:pPr>
        <w:spacing w:before="80"/>
        <w:jc w:val="both"/>
        <w:rPr>
          <w:rFonts w:ascii="Arial" w:hAnsi="Arial" w:cs="Arial"/>
          <w:sz w:val="22"/>
          <w:szCs w:val="22"/>
        </w:rPr>
      </w:pPr>
      <m:oMathPara>
        <m:oMath>
          <m:r>
            <m:rPr>
              <m:sty m:val="p"/>
            </m:rPr>
            <w:rPr>
              <w:rFonts w:ascii="Cambria Math" w:hAnsi="Cambria Math" w:cs="Arial"/>
              <w:color w:val="000000" w:themeColor="text1"/>
              <w:sz w:val="22"/>
              <w:szCs w:val="22"/>
            </w:rPr>
            <m:t>Indicated Rate Change=</m:t>
          </m:r>
          <m:f>
            <m:fPr>
              <m:ctrlPr>
                <w:rPr>
                  <w:rFonts w:ascii="Cambria Math" w:hAnsi="Cambria Math" w:cs="Arial"/>
                  <w:bCs/>
                  <w:color w:val="000000" w:themeColor="text1"/>
                  <w:sz w:val="22"/>
                  <w:szCs w:val="22"/>
                </w:rPr>
              </m:ctrlPr>
            </m:fPr>
            <m:num>
              <m:r>
                <m:rPr>
                  <m:sty m:val="p"/>
                </m:rPr>
                <w:rPr>
                  <w:rFonts w:ascii="Cambria Math" w:hAnsi="Cambria Math" w:cs="Arial"/>
                  <w:color w:val="000000" w:themeColor="text1"/>
                  <w:sz w:val="22"/>
                  <w:szCs w:val="22"/>
                </w:rPr>
                <m:t>2,267-2,696.13</m:t>
              </m:r>
            </m:num>
            <m:den>
              <m:r>
                <m:rPr>
                  <m:sty m:val="p"/>
                </m:rPr>
                <w:rPr>
                  <w:rFonts w:ascii="Cambria Math" w:hAnsi="Cambria Math" w:cs="Arial"/>
                  <w:color w:val="000000" w:themeColor="text1"/>
                  <w:sz w:val="22"/>
                  <w:szCs w:val="22"/>
                </w:rPr>
                <m:t>2,696</m:t>
              </m:r>
            </m:den>
          </m:f>
          <m:r>
            <w:rPr>
              <w:rFonts w:ascii="Cambria Math" w:hAnsi="Cambria Math" w:cs="Arial"/>
              <w:color w:val="000000" w:themeColor="text1"/>
              <w:sz w:val="22"/>
              <w:szCs w:val="22"/>
            </w:rPr>
            <m:t>=-15.9 %</m:t>
          </m:r>
        </m:oMath>
      </m:oMathPara>
    </w:p>
    <w:p w14:paraId="77BB8344" w14:textId="77777777" w:rsidR="004A2A36" w:rsidRDefault="004A2A36" w:rsidP="00BF570D">
      <w:pPr>
        <w:spacing w:before="120"/>
        <w:jc w:val="both"/>
        <w:rPr>
          <w:rFonts w:ascii="Arial" w:hAnsi="Arial" w:cs="Arial"/>
          <w:sz w:val="22"/>
          <w:szCs w:val="22"/>
        </w:rPr>
      </w:pPr>
    </w:p>
    <w:p w14:paraId="7E039E20" w14:textId="2A0D75BE" w:rsidR="004A2A36" w:rsidRDefault="00E37D15" w:rsidP="004A2A36">
      <w:pPr>
        <w:spacing w:before="120"/>
        <w:jc w:val="both"/>
        <w:rPr>
          <w:rFonts w:ascii="Arial" w:hAnsi="Arial" w:cs="Arial"/>
          <w:sz w:val="22"/>
          <w:szCs w:val="22"/>
        </w:rPr>
      </w:pPr>
      <w:r w:rsidRPr="00E37D15">
        <w:rPr>
          <w:rFonts w:ascii="Arial" w:hAnsi="Arial" w:cs="Arial"/>
          <w:sz w:val="22"/>
          <w:szCs w:val="22"/>
        </w:rPr>
        <w:t>The loss cost method therefore confirms the result obtained from the loss ratio method</w:t>
      </w:r>
      <w:r w:rsidRPr="00BF570D">
        <w:rPr>
          <w:rFonts w:ascii="Arial" w:hAnsi="Arial" w:cs="Arial"/>
          <w:sz w:val="22"/>
          <w:szCs w:val="22"/>
        </w:rPr>
        <w:t xml:space="preserve"> decrease of approximately 16%.</w:t>
      </w:r>
    </w:p>
    <w:p w14:paraId="616AC0D4" w14:textId="77777777" w:rsidR="004A2A36" w:rsidRPr="004A2A36" w:rsidRDefault="004A2A36" w:rsidP="004A2A36">
      <w:pPr>
        <w:jc w:val="both"/>
        <w:rPr>
          <w:rFonts w:ascii="Arial" w:hAnsi="Arial" w:cs="Arial"/>
          <w:sz w:val="22"/>
          <w:szCs w:val="22"/>
        </w:rPr>
      </w:pPr>
    </w:p>
    <w:p w14:paraId="6BD633B3" w14:textId="36B243D7" w:rsidR="004A2A36" w:rsidRPr="004A2A36" w:rsidRDefault="004A2A36" w:rsidP="004A2A36">
      <w:pPr>
        <w:spacing w:before="120"/>
        <w:jc w:val="both"/>
        <w:rPr>
          <w:rFonts w:ascii="Arial" w:hAnsi="Arial" w:cs="Arial"/>
          <w:sz w:val="22"/>
          <w:szCs w:val="22"/>
        </w:rPr>
      </w:pPr>
      <w:r w:rsidRPr="004A2A36">
        <w:rPr>
          <w:rFonts w:ascii="Arial" w:hAnsi="Arial" w:cs="Arial"/>
          <w:sz w:val="22"/>
          <w:szCs w:val="22"/>
        </w:rPr>
        <w:t>Both approaches therefore lead to the same conclusion</w:t>
      </w:r>
      <w:r>
        <w:rPr>
          <w:rFonts w:ascii="Arial" w:hAnsi="Arial" w:cs="Arial"/>
          <w:sz w:val="22"/>
          <w:szCs w:val="22"/>
        </w:rPr>
        <w:t>,</w:t>
      </w:r>
      <w:r w:rsidRPr="004A2A36">
        <w:rPr>
          <w:rFonts w:ascii="Arial" w:hAnsi="Arial" w:cs="Arial"/>
          <w:sz w:val="22"/>
          <w:szCs w:val="22"/>
        </w:rPr>
        <w:t xml:space="preserve"> </w:t>
      </w:r>
      <w:r>
        <w:rPr>
          <w:rFonts w:ascii="Arial" w:hAnsi="Arial" w:cs="Arial"/>
          <w:sz w:val="22"/>
          <w:szCs w:val="22"/>
        </w:rPr>
        <w:t>that from a pure objective view, the</w:t>
      </w:r>
      <w:r w:rsidRPr="004A2A36">
        <w:rPr>
          <w:rFonts w:ascii="Arial" w:hAnsi="Arial" w:cs="Arial"/>
          <w:sz w:val="22"/>
          <w:szCs w:val="22"/>
        </w:rPr>
        <w:t xml:space="preserve"> technical indication points to a moderate rate decrease.</w:t>
      </w:r>
    </w:p>
    <w:p w14:paraId="34982831" w14:textId="77777777" w:rsidR="004A2A36" w:rsidRDefault="004A2A36" w:rsidP="004A2A36">
      <w:pPr>
        <w:jc w:val="both"/>
        <w:rPr>
          <w:rFonts w:ascii="Arial" w:hAnsi="Arial" w:cs="Arial"/>
          <w:sz w:val="22"/>
          <w:szCs w:val="22"/>
        </w:rPr>
      </w:pPr>
    </w:p>
    <w:p w14:paraId="138A4075" w14:textId="6FE162CC" w:rsidR="004A2A36" w:rsidRPr="004A2A36" w:rsidRDefault="004A2A36" w:rsidP="004A2A36">
      <w:pPr>
        <w:spacing w:before="120"/>
        <w:jc w:val="both"/>
        <w:rPr>
          <w:rFonts w:ascii="Arial" w:hAnsi="Arial" w:cs="Arial"/>
          <w:sz w:val="22"/>
          <w:szCs w:val="22"/>
        </w:rPr>
      </w:pPr>
      <w:r w:rsidRPr="004A2A36">
        <w:rPr>
          <w:rFonts w:ascii="Arial" w:hAnsi="Arial" w:cs="Arial"/>
          <w:sz w:val="22"/>
          <w:szCs w:val="22"/>
        </w:rPr>
        <w:t>However, because the 2025 underwriting year has limited exposure and is still developing, we treated this indication cautiously in the recommendations section.</w:t>
      </w:r>
    </w:p>
    <w:p w14:paraId="77BC59E3" w14:textId="77777777" w:rsidR="00CD7039" w:rsidRPr="00E37D15" w:rsidRDefault="00CD7039" w:rsidP="00BF570D">
      <w:pPr>
        <w:spacing w:before="120"/>
        <w:jc w:val="both"/>
        <w:rPr>
          <w:rFonts w:ascii="Arial" w:hAnsi="Arial" w:cs="Arial"/>
          <w:sz w:val="22"/>
          <w:szCs w:val="22"/>
        </w:rPr>
      </w:pPr>
    </w:p>
    <w:p w14:paraId="1E5A4F1E" w14:textId="570B7079" w:rsidR="00132ED2" w:rsidRDefault="00A02CEF" w:rsidP="00E33B6E">
      <w:pPr>
        <w:spacing w:before="80"/>
        <w:jc w:val="both"/>
        <w:rPr>
          <w:rFonts w:ascii="Arial" w:hAnsi="Arial" w:cs="Arial"/>
          <w:b/>
          <w:bCs/>
          <w:sz w:val="22"/>
          <w:szCs w:val="22"/>
        </w:rPr>
      </w:pPr>
      <w:r>
        <w:rPr>
          <w:rFonts w:ascii="Arial" w:hAnsi="Arial" w:cs="Arial"/>
          <w:b/>
          <w:bCs/>
          <w:sz w:val="22"/>
          <w:szCs w:val="22"/>
        </w:rPr>
        <w:t>7</w:t>
      </w:r>
      <w:r w:rsidR="00132ED2">
        <w:rPr>
          <w:rFonts w:ascii="Arial" w:hAnsi="Arial" w:cs="Arial"/>
          <w:b/>
          <w:bCs/>
          <w:sz w:val="22"/>
          <w:szCs w:val="22"/>
        </w:rPr>
        <w:t>. Loss Reserve Estimation</w:t>
      </w:r>
    </w:p>
    <w:p w14:paraId="16A4F289" w14:textId="77777777" w:rsidR="00132ED2" w:rsidRDefault="00132ED2" w:rsidP="00E33B6E">
      <w:pPr>
        <w:spacing w:before="80"/>
        <w:jc w:val="both"/>
        <w:rPr>
          <w:rFonts w:ascii="Arial" w:hAnsi="Arial" w:cs="Arial"/>
          <w:b/>
          <w:bCs/>
          <w:sz w:val="22"/>
          <w:szCs w:val="22"/>
        </w:rPr>
      </w:pPr>
    </w:p>
    <w:p w14:paraId="18B654F9" w14:textId="67B5AA27" w:rsidR="00E33B6E" w:rsidRPr="00E33B6E" w:rsidRDefault="00A02CEF" w:rsidP="00E33B6E">
      <w:pPr>
        <w:spacing w:before="80"/>
        <w:jc w:val="both"/>
        <w:rPr>
          <w:rFonts w:ascii="Arial" w:hAnsi="Arial" w:cs="Arial"/>
          <w:b/>
          <w:bCs/>
          <w:sz w:val="22"/>
          <w:szCs w:val="22"/>
        </w:rPr>
      </w:pPr>
      <w:r>
        <w:rPr>
          <w:rFonts w:ascii="Arial" w:hAnsi="Arial" w:cs="Arial"/>
          <w:b/>
          <w:bCs/>
          <w:sz w:val="22"/>
          <w:szCs w:val="22"/>
        </w:rPr>
        <w:t>7</w:t>
      </w:r>
      <w:r w:rsidR="00E33B6E" w:rsidRPr="00E33B6E">
        <w:rPr>
          <w:rFonts w:ascii="Arial" w:hAnsi="Arial" w:cs="Arial"/>
          <w:b/>
          <w:bCs/>
          <w:sz w:val="22"/>
          <w:szCs w:val="22"/>
        </w:rPr>
        <w:t>.1 Choice of Reserving Method</w:t>
      </w:r>
    </w:p>
    <w:p w14:paraId="379A5D69" w14:textId="77777777" w:rsidR="00B942FC" w:rsidRPr="00B942FC" w:rsidRDefault="00B942FC" w:rsidP="00B942FC">
      <w:pPr>
        <w:spacing w:before="120"/>
        <w:jc w:val="both"/>
        <w:rPr>
          <w:rFonts w:ascii="Arial" w:hAnsi="Arial" w:cs="Arial"/>
          <w:sz w:val="22"/>
          <w:szCs w:val="22"/>
        </w:rPr>
      </w:pPr>
      <w:r w:rsidRPr="00B942FC">
        <w:rPr>
          <w:rFonts w:ascii="Arial" w:hAnsi="Arial" w:cs="Arial"/>
          <w:sz w:val="22"/>
          <w:szCs w:val="22"/>
        </w:rPr>
        <w:t>To estimate the loss reserves for this portfolio, we selected the incurred Chain Ladder method as the primary approach. Before finalizing this choice, we considered alternative methods and evaluated how well each one aligned with the characteristics of the dataset.</w:t>
      </w:r>
    </w:p>
    <w:p w14:paraId="37FE67E7" w14:textId="19D9BB10" w:rsidR="00B942FC" w:rsidRPr="00B942FC" w:rsidRDefault="00B942FC" w:rsidP="00B942FC">
      <w:pPr>
        <w:spacing w:before="120"/>
        <w:jc w:val="both"/>
        <w:rPr>
          <w:rFonts w:ascii="Arial" w:hAnsi="Arial" w:cs="Arial"/>
          <w:sz w:val="22"/>
          <w:szCs w:val="22"/>
        </w:rPr>
      </w:pPr>
      <w:r w:rsidRPr="00B942FC">
        <w:rPr>
          <w:rFonts w:ascii="Arial" w:hAnsi="Arial" w:cs="Arial"/>
          <w:sz w:val="22"/>
          <w:szCs w:val="22"/>
        </w:rPr>
        <w:t xml:space="preserve">The Loss Ratio method was not retained </w:t>
      </w:r>
      <w:r>
        <w:rPr>
          <w:rFonts w:ascii="Arial" w:hAnsi="Arial" w:cs="Arial"/>
          <w:sz w:val="22"/>
          <w:szCs w:val="22"/>
        </w:rPr>
        <w:t>since</w:t>
      </w:r>
      <w:r w:rsidRPr="00B942FC">
        <w:rPr>
          <w:rFonts w:ascii="Arial" w:hAnsi="Arial" w:cs="Arial"/>
          <w:sz w:val="22"/>
          <w:szCs w:val="22"/>
        </w:rPr>
        <w:t xml:space="preserve"> it relies mainly on premiums and expected loss ratios instead of the actual development of claim costs. For a portfolio of this size, where individual claims can materially shift results from one year to the next, such an approach would introduce unnecessary noise.</w:t>
      </w:r>
    </w:p>
    <w:p w14:paraId="35E4CBD4" w14:textId="79FDF242" w:rsidR="00B942FC" w:rsidRPr="00B942FC" w:rsidRDefault="00B942FC" w:rsidP="00B942FC">
      <w:pPr>
        <w:spacing w:before="120"/>
        <w:jc w:val="both"/>
        <w:rPr>
          <w:rFonts w:ascii="Arial" w:hAnsi="Arial" w:cs="Arial"/>
          <w:sz w:val="22"/>
          <w:szCs w:val="22"/>
        </w:rPr>
      </w:pPr>
      <w:r w:rsidRPr="00B942FC">
        <w:rPr>
          <w:rFonts w:ascii="Arial" w:hAnsi="Arial" w:cs="Arial"/>
          <w:sz w:val="22"/>
          <w:szCs w:val="22"/>
        </w:rPr>
        <w:t>We also examined the Bornhuetter-Ferguson method, which blends expected losses with observed development. While the project provides a permissible loss ratio of 75%, this figure reflects the company’s pricing target, not an objective expected loss ratio. Using the PLR as a substitute for an ELR would therefore introduce bias</w:t>
      </w:r>
      <w:r>
        <w:rPr>
          <w:rFonts w:ascii="Arial" w:hAnsi="Arial" w:cs="Arial"/>
          <w:sz w:val="22"/>
          <w:szCs w:val="22"/>
        </w:rPr>
        <w:t xml:space="preserve"> </w:t>
      </w:r>
      <w:r w:rsidRPr="00B942FC">
        <w:rPr>
          <w:rFonts w:ascii="Arial" w:hAnsi="Arial" w:cs="Arial"/>
          <w:sz w:val="22"/>
          <w:szCs w:val="22"/>
        </w:rPr>
        <w:t>especially for a small portfolio where credibility is limited, and recent experience has been volatile. Without a reliable data or credible external benchmark, applying BF would make the reserve more dependent on assumptions than on observed claim behavior.</w:t>
      </w:r>
    </w:p>
    <w:p w14:paraId="256C65B9" w14:textId="2780AC88" w:rsidR="00B942FC" w:rsidRPr="00B942FC" w:rsidRDefault="00B942FC" w:rsidP="00B942FC">
      <w:pPr>
        <w:spacing w:before="120"/>
        <w:jc w:val="both"/>
        <w:rPr>
          <w:rFonts w:ascii="Arial" w:hAnsi="Arial" w:cs="Arial"/>
          <w:sz w:val="22"/>
          <w:szCs w:val="22"/>
        </w:rPr>
      </w:pPr>
      <w:r w:rsidRPr="00B942FC">
        <w:rPr>
          <w:rFonts w:ascii="Arial" w:hAnsi="Arial" w:cs="Arial"/>
          <w:sz w:val="22"/>
          <w:szCs w:val="22"/>
        </w:rPr>
        <w:t>In contrast, the incurred Chain Ladder method relies directly on historical development patterns within the portfolio. The incurred triangles show a clear stabilization around 2</w:t>
      </w:r>
      <w:r>
        <w:rPr>
          <w:rFonts w:ascii="Arial" w:hAnsi="Arial" w:cs="Arial"/>
          <w:sz w:val="22"/>
          <w:szCs w:val="22"/>
        </w:rPr>
        <w:t>3</w:t>
      </w:r>
      <w:r w:rsidRPr="00B942FC">
        <w:rPr>
          <w:rFonts w:ascii="Arial" w:hAnsi="Arial" w:cs="Arial"/>
          <w:sz w:val="22"/>
          <w:szCs w:val="22"/>
        </w:rPr>
        <w:t xml:space="preserve"> months, and case reserves appear to be updated in a timely manner. These features make incurred development a reasonable and transparent basis for projecting ultimate losses, particularly when combined with sensitivity checks around outliers and recent volatility.</w:t>
      </w:r>
    </w:p>
    <w:p w14:paraId="3AD6EA1B" w14:textId="77777777" w:rsidR="00B942FC" w:rsidRDefault="00B942FC" w:rsidP="00B942FC">
      <w:pPr>
        <w:jc w:val="both"/>
        <w:rPr>
          <w:rFonts w:ascii="Arial" w:hAnsi="Arial" w:cs="Arial"/>
          <w:sz w:val="22"/>
          <w:szCs w:val="22"/>
        </w:rPr>
      </w:pPr>
    </w:p>
    <w:p w14:paraId="4A873EA7" w14:textId="0E67AFFB" w:rsidR="00B942FC" w:rsidRPr="00B942FC" w:rsidRDefault="00B942FC" w:rsidP="00B942FC">
      <w:pPr>
        <w:spacing w:before="120"/>
        <w:jc w:val="both"/>
        <w:rPr>
          <w:rFonts w:ascii="Arial" w:hAnsi="Arial" w:cs="Arial"/>
          <w:sz w:val="22"/>
          <w:szCs w:val="22"/>
        </w:rPr>
      </w:pPr>
      <w:r w:rsidRPr="00B942FC">
        <w:rPr>
          <w:rFonts w:ascii="Arial" w:hAnsi="Arial" w:cs="Arial"/>
          <w:sz w:val="22"/>
          <w:szCs w:val="22"/>
        </w:rPr>
        <w:t>For these reasons, and after reviewing the alternatives, the incurred Chain Ladder method provided the most defensible and internally consistent reserve estimate for this assignment.</w:t>
      </w:r>
    </w:p>
    <w:p w14:paraId="6B72B498" w14:textId="6E35EA57" w:rsidR="00E37D15" w:rsidRDefault="00E37D15" w:rsidP="000C1306">
      <w:pPr>
        <w:spacing w:before="80"/>
        <w:jc w:val="both"/>
        <w:rPr>
          <w:rFonts w:ascii="Arial" w:hAnsi="Arial" w:cs="Arial"/>
          <w:sz w:val="22"/>
          <w:szCs w:val="22"/>
        </w:rPr>
      </w:pPr>
    </w:p>
    <w:p w14:paraId="6B52ED77" w14:textId="1A0EFAE6" w:rsidR="00490C5A" w:rsidRPr="00490C5A" w:rsidRDefault="00A02CEF" w:rsidP="00490C5A">
      <w:pPr>
        <w:spacing w:before="80"/>
        <w:jc w:val="both"/>
        <w:rPr>
          <w:rFonts w:ascii="Arial" w:hAnsi="Arial" w:cs="Arial"/>
          <w:b/>
          <w:bCs/>
          <w:sz w:val="22"/>
          <w:szCs w:val="22"/>
        </w:rPr>
      </w:pPr>
      <w:r>
        <w:rPr>
          <w:rFonts w:ascii="Arial" w:hAnsi="Arial" w:cs="Arial"/>
          <w:b/>
          <w:bCs/>
          <w:sz w:val="22"/>
          <w:szCs w:val="22"/>
        </w:rPr>
        <w:lastRenderedPageBreak/>
        <w:t>7</w:t>
      </w:r>
      <w:r w:rsidR="00490C5A" w:rsidRPr="00490C5A">
        <w:rPr>
          <w:rFonts w:ascii="Arial" w:hAnsi="Arial" w:cs="Arial"/>
          <w:b/>
          <w:bCs/>
          <w:sz w:val="22"/>
          <w:szCs w:val="22"/>
        </w:rPr>
        <w:t>.2 Projection of Ultimate Incurred Losses</w:t>
      </w:r>
    </w:p>
    <w:p w14:paraId="3CD72D54" w14:textId="6D8A3CAC" w:rsidR="00B942FC" w:rsidRDefault="00B942FC" w:rsidP="00B942FC">
      <w:pPr>
        <w:spacing w:before="80"/>
        <w:jc w:val="both"/>
        <w:rPr>
          <w:rFonts w:ascii="Arial" w:hAnsi="Arial" w:cs="Arial"/>
          <w:sz w:val="22"/>
          <w:szCs w:val="22"/>
        </w:rPr>
      </w:pPr>
      <w:r w:rsidRPr="00B942FC">
        <w:rPr>
          <w:rFonts w:ascii="Arial" w:hAnsi="Arial" w:cs="Arial"/>
          <w:sz w:val="22"/>
          <w:szCs w:val="22"/>
        </w:rPr>
        <w:t>Using the previously derived monthly development factors, we projected the ultimate incurred losses for UWYs 2024 and 2025.</w:t>
      </w:r>
      <w:r>
        <w:rPr>
          <w:rFonts w:ascii="Arial" w:hAnsi="Arial" w:cs="Arial"/>
          <w:sz w:val="22"/>
          <w:szCs w:val="22"/>
        </w:rPr>
        <w:t xml:space="preserve"> </w:t>
      </w:r>
      <w:r w:rsidRPr="00B942FC">
        <w:rPr>
          <w:rFonts w:ascii="Arial" w:hAnsi="Arial" w:cs="Arial"/>
          <w:sz w:val="22"/>
          <w:szCs w:val="22"/>
        </w:rPr>
        <w:t>Underwriting years 2021</w:t>
      </w:r>
      <w:r>
        <w:rPr>
          <w:rFonts w:ascii="Arial" w:hAnsi="Arial" w:cs="Arial"/>
          <w:sz w:val="22"/>
          <w:szCs w:val="22"/>
        </w:rPr>
        <w:t xml:space="preserve"> to </w:t>
      </w:r>
      <w:r w:rsidRPr="00B942FC">
        <w:rPr>
          <w:rFonts w:ascii="Arial" w:hAnsi="Arial" w:cs="Arial"/>
          <w:sz w:val="22"/>
          <w:szCs w:val="22"/>
        </w:rPr>
        <w:t xml:space="preserve">2023 were already fully developed, so their ultimate values are simply their incurred amounts to date. </w:t>
      </w:r>
    </w:p>
    <w:p w14:paraId="6B468892" w14:textId="09DCD8E4" w:rsidR="00B942FC" w:rsidRDefault="00B942FC" w:rsidP="00B942FC">
      <w:pPr>
        <w:spacing w:before="80"/>
        <w:jc w:val="both"/>
        <w:rPr>
          <w:rFonts w:ascii="Arial" w:hAnsi="Arial" w:cs="Arial"/>
          <w:sz w:val="22"/>
          <w:szCs w:val="22"/>
        </w:rPr>
      </w:pPr>
      <w:r w:rsidRPr="00B942FC">
        <w:rPr>
          <w:rFonts w:ascii="Arial" w:hAnsi="Arial" w:cs="Arial"/>
          <w:sz w:val="22"/>
          <w:szCs w:val="22"/>
        </w:rPr>
        <w:t>The projected ultimate losses were:</w:t>
      </w:r>
    </w:p>
    <w:p w14:paraId="4A9A6A02" w14:textId="56C3A98A" w:rsidR="00490C5A" w:rsidRPr="00490C5A" w:rsidRDefault="00490C5A" w:rsidP="00490C5A">
      <w:pPr>
        <w:numPr>
          <w:ilvl w:val="0"/>
          <w:numId w:val="8"/>
        </w:numPr>
        <w:spacing w:before="80"/>
        <w:jc w:val="both"/>
        <w:rPr>
          <w:rFonts w:ascii="Arial" w:hAnsi="Arial" w:cs="Arial"/>
          <w:sz w:val="22"/>
          <w:szCs w:val="22"/>
        </w:rPr>
      </w:pPr>
      <w:r w:rsidRPr="00490C5A">
        <w:rPr>
          <w:rFonts w:ascii="Arial" w:hAnsi="Arial" w:cs="Arial"/>
          <w:b/>
          <w:bCs/>
          <w:sz w:val="22"/>
          <w:szCs w:val="22"/>
        </w:rPr>
        <w:t>2021:</w:t>
      </w:r>
      <w:r w:rsidRPr="00490C5A">
        <w:rPr>
          <w:rFonts w:ascii="Arial" w:hAnsi="Arial" w:cs="Arial"/>
          <w:sz w:val="22"/>
          <w:szCs w:val="22"/>
        </w:rPr>
        <w:t xml:space="preserve"> $</w:t>
      </w:r>
      <w:r>
        <w:rPr>
          <w:rFonts w:ascii="Arial" w:hAnsi="Arial" w:cs="Arial"/>
          <w:sz w:val="22"/>
          <w:szCs w:val="22"/>
        </w:rPr>
        <w:t xml:space="preserve"> </w:t>
      </w:r>
      <w:r w:rsidRPr="00490C5A">
        <w:rPr>
          <w:rFonts w:ascii="Arial" w:hAnsi="Arial" w:cs="Arial"/>
          <w:sz w:val="22"/>
          <w:szCs w:val="22"/>
        </w:rPr>
        <w:t>9,150</w:t>
      </w:r>
    </w:p>
    <w:p w14:paraId="20E1ADBD" w14:textId="2B4C06E6" w:rsidR="00490C5A" w:rsidRPr="00490C5A" w:rsidRDefault="00490C5A" w:rsidP="00490C5A">
      <w:pPr>
        <w:numPr>
          <w:ilvl w:val="0"/>
          <w:numId w:val="8"/>
        </w:numPr>
        <w:spacing w:before="80"/>
        <w:jc w:val="both"/>
        <w:rPr>
          <w:rFonts w:ascii="Arial" w:hAnsi="Arial" w:cs="Arial"/>
          <w:sz w:val="22"/>
          <w:szCs w:val="22"/>
        </w:rPr>
      </w:pPr>
      <w:r w:rsidRPr="00490C5A">
        <w:rPr>
          <w:rFonts w:ascii="Arial" w:hAnsi="Arial" w:cs="Arial"/>
          <w:b/>
          <w:bCs/>
          <w:sz w:val="22"/>
          <w:szCs w:val="22"/>
        </w:rPr>
        <w:t>2022:</w:t>
      </w:r>
      <w:r w:rsidRPr="00490C5A">
        <w:rPr>
          <w:rFonts w:ascii="Arial" w:hAnsi="Arial" w:cs="Arial"/>
          <w:sz w:val="22"/>
          <w:szCs w:val="22"/>
        </w:rPr>
        <w:t xml:space="preserve"> $</w:t>
      </w:r>
      <w:r>
        <w:rPr>
          <w:rFonts w:ascii="Arial" w:hAnsi="Arial" w:cs="Arial"/>
          <w:sz w:val="22"/>
          <w:szCs w:val="22"/>
        </w:rPr>
        <w:t xml:space="preserve"> </w:t>
      </w:r>
      <w:r w:rsidRPr="00490C5A">
        <w:rPr>
          <w:rFonts w:ascii="Arial" w:hAnsi="Arial" w:cs="Arial"/>
          <w:sz w:val="22"/>
          <w:szCs w:val="22"/>
        </w:rPr>
        <w:t>15,450</w:t>
      </w:r>
    </w:p>
    <w:p w14:paraId="0CD2EB6D" w14:textId="1EB17162" w:rsidR="00490C5A" w:rsidRPr="00490C5A" w:rsidRDefault="00490C5A" w:rsidP="00490C5A">
      <w:pPr>
        <w:numPr>
          <w:ilvl w:val="0"/>
          <w:numId w:val="8"/>
        </w:numPr>
        <w:spacing w:before="80"/>
        <w:jc w:val="both"/>
        <w:rPr>
          <w:rFonts w:ascii="Arial" w:hAnsi="Arial" w:cs="Arial"/>
          <w:sz w:val="22"/>
          <w:szCs w:val="22"/>
        </w:rPr>
      </w:pPr>
      <w:r w:rsidRPr="00490C5A">
        <w:rPr>
          <w:rFonts w:ascii="Arial" w:hAnsi="Arial" w:cs="Arial"/>
          <w:b/>
          <w:bCs/>
          <w:sz w:val="22"/>
          <w:szCs w:val="22"/>
        </w:rPr>
        <w:t>2023:</w:t>
      </w:r>
      <w:r w:rsidRPr="00490C5A">
        <w:rPr>
          <w:rFonts w:ascii="Arial" w:hAnsi="Arial" w:cs="Arial"/>
          <w:sz w:val="22"/>
          <w:szCs w:val="22"/>
        </w:rPr>
        <w:t xml:space="preserve"> $</w:t>
      </w:r>
      <w:r>
        <w:rPr>
          <w:rFonts w:ascii="Arial" w:hAnsi="Arial" w:cs="Arial"/>
          <w:sz w:val="22"/>
          <w:szCs w:val="22"/>
        </w:rPr>
        <w:t xml:space="preserve"> </w:t>
      </w:r>
      <w:r w:rsidRPr="00490C5A">
        <w:rPr>
          <w:rFonts w:ascii="Arial" w:hAnsi="Arial" w:cs="Arial"/>
          <w:sz w:val="22"/>
          <w:szCs w:val="22"/>
        </w:rPr>
        <w:t>13,200</w:t>
      </w:r>
    </w:p>
    <w:p w14:paraId="129E7E2E" w14:textId="18578F8D" w:rsidR="00490C5A" w:rsidRPr="00490C5A" w:rsidRDefault="00490C5A" w:rsidP="00490C5A">
      <w:pPr>
        <w:numPr>
          <w:ilvl w:val="0"/>
          <w:numId w:val="8"/>
        </w:numPr>
        <w:spacing w:before="80"/>
        <w:jc w:val="both"/>
        <w:rPr>
          <w:rFonts w:ascii="Arial" w:hAnsi="Arial" w:cs="Arial"/>
          <w:sz w:val="22"/>
          <w:szCs w:val="22"/>
        </w:rPr>
      </w:pPr>
      <w:r w:rsidRPr="00490C5A">
        <w:rPr>
          <w:rFonts w:ascii="Arial" w:hAnsi="Arial" w:cs="Arial"/>
          <w:b/>
          <w:bCs/>
          <w:sz w:val="22"/>
          <w:szCs w:val="22"/>
        </w:rPr>
        <w:t>2024:</w:t>
      </w:r>
      <w:r w:rsidRPr="00490C5A">
        <w:rPr>
          <w:rFonts w:ascii="Arial" w:hAnsi="Arial" w:cs="Arial"/>
          <w:sz w:val="22"/>
          <w:szCs w:val="22"/>
        </w:rPr>
        <w:t xml:space="preserve"> $</w:t>
      </w:r>
      <w:r>
        <w:rPr>
          <w:rFonts w:ascii="Arial" w:hAnsi="Arial" w:cs="Arial"/>
          <w:sz w:val="22"/>
          <w:szCs w:val="22"/>
        </w:rPr>
        <w:t xml:space="preserve"> </w:t>
      </w:r>
      <w:r w:rsidRPr="00490C5A">
        <w:rPr>
          <w:rFonts w:ascii="Arial" w:hAnsi="Arial" w:cs="Arial"/>
          <w:sz w:val="22"/>
          <w:szCs w:val="22"/>
        </w:rPr>
        <w:t>34,453</w:t>
      </w:r>
    </w:p>
    <w:p w14:paraId="655B6C6C" w14:textId="216F352B" w:rsidR="00490C5A" w:rsidRPr="00490C5A" w:rsidRDefault="00490C5A" w:rsidP="00490C5A">
      <w:pPr>
        <w:numPr>
          <w:ilvl w:val="0"/>
          <w:numId w:val="8"/>
        </w:numPr>
        <w:spacing w:before="80"/>
        <w:jc w:val="both"/>
        <w:rPr>
          <w:rFonts w:ascii="Arial" w:hAnsi="Arial" w:cs="Arial"/>
          <w:sz w:val="22"/>
          <w:szCs w:val="22"/>
        </w:rPr>
      </w:pPr>
      <w:r w:rsidRPr="00490C5A">
        <w:rPr>
          <w:rFonts w:ascii="Arial" w:hAnsi="Arial" w:cs="Arial"/>
          <w:b/>
          <w:bCs/>
          <w:sz w:val="22"/>
          <w:szCs w:val="22"/>
        </w:rPr>
        <w:t>2025:</w:t>
      </w:r>
      <w:r w:rsidRPr="00490C5A">
        <w:rPr>
          <w:rFonts w:ascii="Arial" w:hAnsi="Arial" w:cs="Arial"/>
          <w:sz w:val="22"/>
          <w:szCs w:val="22"/>
        </w:rPr>
        <w:t xml:space="preserve"> $1</w:t>
      </w:r>
      <w:r>
        <w:rPr>
          <w:rFonts w:ascii="Arial" w:hAnsi="Arial" w:cs="Arial"/>
          <w:sz w:val="22"/>
          <w:szCs w:val="22"/>
        </w:rPr>
        <w:t>8</w:t>
      </w:r>
      <w:r w:rsidRPr="00490C5A">
        <w:rPr>
          <w:rFonts w:ascii="Arial" w:hAnsi="Arial" w:cs="Arial"/>
          <w:sz w:val="22"/>
          <w:szCs w:val="22"/>
        </w:rPr>
        <w:t>,</w:t>
      </w:r>
      <w:r>
        <w:rPr>
          <w:rFonts w:ascii="Arial" w:hAnsi="Arial" w:cs="Arial"/>
          <w:sz w:val="22"/>
          <w:szCs w:val="22"/>
        </w:rPr>
        <w:t>892</w:t>
      </w:r>
    </w:p>
    <w:p w14:paraId="72096DCE" w14:textId="77777777" w:rsidR="00B942FC" w:rsidRDefault="00B942FC" w:rsidP="00490C5A">
      <w:pPr>
        <w:spacing w:before="80"/>
        <w:jc w:val="both"/>
        <w:rPr>
          <w:rFonts w:ascii="Arial" w:hAnsi="Arial" w:cs="Arial"/>
          <w:sz w:val="22"/>
          <w:szCs w:val="22"/>
        </w:rPr>
      </w:pPr>
    </w:p>
    <w:p w14:paraId="7F5B5089" w14:textId="32834C0D" w:rsidR="00490C5A" w:rsidRPr="00490C5A" w:rsidRDefault="00490C5A" w:rsidP="00490C5A">
      <w:pPr>
        <w:spacing w:before="80"/>
        <w:jc w:val="both"/>
        <w:rPr>
          <w:rFonts w:ascii="Arial" w:hAnsi="Arial" w:cs="Arial"/>
          <w:sz w:val="22"/>
          <w:szCs w:val="22"/>
        </w:rPr>
      </w:pPr>
      <w:r w:rsidRPr="00490C5A">
        <w:rPr>
          <w:rFonts w:ascii="Arial" w:hAnsi="Arial" w:cs="Arial"/>
          <w:sz w:val="22"/>
          <w:szCs w:val="22"/>
        </w:rPr>
        <w:t>These results reflect both the maturity of older underwriting years and the increased volatility in more recent years, particularly 2024 and 2025.</w:t>
      </w:r>
    </w:p>
    <w:p w14:paraId="6D2D87C9" w14:textId="0C20860F" w:rsidR="00490C5A" w:rsidRPr="00490C5A" w:rsidRDefault="00490C5A" w:rsidP="00490C5A">
      <w:pPr>
        <w:spacing w:before="80"/>
        <w:jc w:val="both"/>
        <w:rPr>
          <w:rFonts w:ascii="Arial" w:hAnsi="Arial" w:cs="Arial"/>
          <w:sz w:val="22"/>
          <w:szCs w:val="22"/>
        </w:rPr>
      </w:pPr>
    </w:p>
    <w:p w14:paraId="06BF1924" w14:textId="0A423B67" w:rsidR="00490C5A" w:rsidRPr="00490C5A" w:rsidRDefault="00A02CEF" w:rsidP="00490C5A">
      <w:pPr>
        <w:spacing w:before="80"/>
        <w:jc w:val="both"/>
        <w:rPr>
          <w:rFonts w:ascii="Arial" w:hAnsi="Arial" w:cs="Arial"/>
          <w:b/>
          <w:bCs/>
          <w:sz w:val="22"/>
          <w:szCs w:val="22"/>
        </w:rPr>
      </w:pPr>
      <w:r>
        <w:rPr>
          <w:rFonts w:ascii="Arial" w:hAnsi="Arial" w:cs="Arial"/>
          <w:b/>
          <w:bCs/>
          <w:sz w:val="22"/>
          <w:szCs w:val="22"/>
        </w:rPr>
        <w:t>7</w:t>
      </w:r>
      <w:r w:rsidR="00490C5A" w:rsidRPr="00490C5A">
        <w:rPr>
          <w:rFonts w:ascii="Arial" w:hAnsi="Arial" w:cs="Arial"/>
          <w:b/>
          <w:bCs/>
          <w:sz w:val="22"/>
          <w:szCs w:val="22"/>
        </w:rPr>
        <w:t>.3 Paid Development Analysis (Reasonableness Check)</w:t>
      </w:r>
    </w:p>
    <w:p w14:paraId="6C343BF0" w14:textId="60DD66DB" w:rsidR="00490C5A" w:rsidRDefault="00490C5A" w:rsidP="00D83877">
      <w:pPr>
        <w:spacing w:before="120"/>
        <w:jc w:val="both"/>
        <w:rPr>
          <w:rFonts w:ascii="Arial" w:hAnsi="Arial" w:cs="Arial"/>
          <w:sz w:val="22"/>
          <w:szCs w:val="22"/>
        </w:rPr>
      </w:pPr>
      <w:r w:rsidRPr="00490C5A">
        <w:rPr>
          <w:rFonts w:ascii="Arial" w:hAnsi="Arial" w:cs="Arial"/>
          <w:sz w:val="22"/>
          <w:szCs w:val="22"/>
        </w:rPr>
        <w:t xml:space="preserve">As a validation step, we </w:t>
      </w:r>
      <w:r w:rsidR="00B942FC">
        <w:rPr>
          <w:rFonts w:ascii="Arial" w:hAnsi="Arial" w:cs="Arial"/>
          <w:sz w:val="22"/>
          <w:szCs w:val="22"/>
        </w:rPr>
        <w:t>built</w:t>
      </w:r>
      <w:r w:rsidRPr="00490C5A">
        <w:rPr>
          <w:rFonts w:ascii="Arial" w:hAnsi="Arial" w:cs="Arial"/>
          <w:sz w:val="22"/>
          <w:szCs w:val="22"/>
        </w:rPr>
        <w:t xml:space="preserve"> monthly paid loss development triangles and calculated the corresponding age-to-age paid development factors. Paid losses in this portfolio develop more slowly than incurred losses, due to the timing of claim payments and the early establishment of case reserves.</w:t>
      </w:r>
    </w:p>
    <w:p w14:paraId="15A2213D" w14:textId="77777777" w:rsidR="00D83877" w:rsidRDefault="00D83877" w:rsidP="00D83877">
      <w:pPr>
        <w:jc w:val="both"/>
        <w:rPr>
          <w:rFonts w:ascii="Arial" w:hAnsi="Arial" w:cs="Arial"/>
          <w:sz w:val="22"/>
          <w:szCs w:val="22"/>
        </w:rPr>
      </w:pPr>
    </w:p>
    <w:p w14:paraId="1E6C22BD" w14:textId="4EE07FB8" w:rsidR="00D83877" w:rsidRDefault="00D83877" w:rsidP="00D83877">
      <w:pPr>
        <w:spacing w:before="120"/>
        <w:jc w:val="both"/>
        <w:rPr>
          <w:rFonts w:ascii="Arial" w:hAnsi="Arial" w:cs="Arial"/>
          <w:sz w:val="22"/>
          <w:szCs w:val="22"/>
        </w:rPr>
      </w:pPr>
      <w:r w:rsidRPr="00D83877">
        <w:rPr>
          <w:rFonts w:ascii="Arial" w:hAnsi="Arial" w:cs="Arial"/>
          <w:sz w:val="22"/>
          <w:szCs w:val="22"/>
        </w:rPr>
        <w:t xml:space="preserve">When we tested these factors by projecting January 2025 paid losses forward, the estimates ranged from about $4,381 to $14,729, depending on the averaging method. </w:t>
      </w:r>
      <w:r>
        <w:rPr>
          <w:rFonts w:ascii="Arial" w:hAnsi="Arial" w:cs="Arial"/>
          <w:sz w:val="22"/>
          <w:szCs w:val="22"/>
        </w:rPr>
        <w:t>T</w:t>
      </w:r>
      <w:r w:rsidRPr="00D83877">
        <w:rPr>
          <w:rFonts w:ascii="Arial" w:hAnsi="Arial" w:cs="Arial"/>
          <w:sz w:val="22"/>
          <w:szCs w:val="22"/>
        </w:rPr>
        <w:t>hese</w:t>
      </w:r>
      <w:r>
        <w:rPr>
          <w:rFonts w:ascii="Arial" w:hAnsi="Arial" w:cs="Arial"/>
          <w:sz w:val="22"/>
          <w:szCs w:val="22"/>
        </w:rPr>
        <w:t xml:space="preserve"> projections either</w:t>
      </w:r>
      <w:r w:rsidRPr="00D83877">
        <w:rPr>
          <w:rFonts w:ascii="Arial" w:hAnsi="Arial" w:cs="Arial"/>
          <w:sz w:val="22"/>
          <w:szCs w:val="22"/>
        </w:rPr>
        <w:t xml:space="preserve"> underestimated </w:t>
      </w:r>
      <w:r>
        <w:rPr>
          <w:rFonts w:ascii="Arial" w:hAnsi="Arial" w:cs="Arial"/>
          <w:sz w:val="22"/>
          <w:szCs w:val="22"/>
        </w:rPr>
        <w:t xml:space="preserve">or over expected </w:t>
      </w:r>
      <w:r w:rsidRPr="00D83877">
        <w:rPr>
          <w:rFonts w:ascii="Arial" w:hAnsi="Arial" w:cs="Arial"/>
          <w:sz w:val="22"/>
          <w:szCs w:val="22"/>
        </w:rPr>
        <w:t>the actual incurred amount of $11,320 at September 2025.</w:t>
      </w:r>
    </w:p>
    <w:p w14:paraId="15909EAC" w14:textId="77777777" w:rsidR="00D83877" w:rsidRPr="00D83877" w:rsidRDefault="00D83877" w:rsidP="00D83877">
      <w:pPr>
        <w:jc w:val="both"/>
        <w:rPr>
          <w:rFonts w:ascii="Arial" w:hAnsi="Arial" w:cs="Arial"/>
          <w:sz w:val="22"/>
          <w:szCs w:val="22"/>
        </w:rPr>
      </w:pPr>
    </w:p>
    <w:p w14:paraId="357D6648" w14:textId="6823E461" w:rsidR="00D83877" w:rsidRDefault="00D83877" w:rsidP="00D83877">
      <w:pPr>
        <w:spacing w:before="120"/>
        <w:jc w:val="both"/>
        <w:rPr>
          <w:rFonts w:ascii="Arial" w:hAnsi="Arial" w:cs="Arial"/>
          <w:sz w:val="22"/>
          <w:szCs w:val="22"/>
        </w:rPr>
      </w:pPr>
      <w:r w:rsidRPr="00D83877">
        <w:rPr>
          <w:rFonts w:ascii="Arial" w:hAnsi="Arial" w:cs="Arial"/>
          <w:sz w:val="22"/>
          <w:szCs w:val="22"/>
        </w:rPr>
        <w:t>This underestimation made sense after we reviewed the claim files. The portfolio uses case reserving actively, and payments often lag incurred recognition</w:t>
      </w:r>
      <w:r>
        <w:rPr>
          <w:rFonts w:ascii="Arial" w:hAnsi="Arial" w:cs="Arial"/>
          <w:sz w:val="22"/>
          <w:szCs w:val="22"/>
        </w:rPr>
        <w:t xml:space="preserve">, </w:t>
      </w:r>
      <w:r w:rsidRPr="00D83877">
        <w:rPr>
          <w:rFonts w:ascii="Arial" w:hAnsi="Arial" w:cs="Arial"/>
          <w:sz w:val="22"/>
          <w:szCs w:val="22"/>
        </w:rPr>
        <w:t>especially for the larger or more complex claims. Because of this, paid development alone does not reliably capture the true emergence pattern in t</w:t>
      </w:r>
      <w:r>
        <w:rPr>
          <w:rFonts w:ascii="Arial" w:hAnsi="Arial" w:cs="Arial"/>
          <w:sz w:val="22"/>
          <w:szCs w:val="22"/>
        </w:rPr>
        <w:t xml:space="preserve">his </w:t>
      </w:r>
      <w:r w:rsidRPr="00D83877">
        <w:rPr>
          <w:rFonts w:ascii="Arial" w:hAnsi="Arial" w:cs="Arial"/>
          <w:sz w:val="22"/>
          <w:szCs w:val="22"/>
        </w:rPr>
        <w:t>dataset.</w:t>
      </w:r>
    </w:p>
    <w:p w14:paraId="43FD4A69" w14:textId="77777777" w:rsidR="00D83877" w:rsidRPr="00D83877" w:rsidRDefault="00D83877" w:rsidP="00D83877">
      <w:pPr>
        <w:jc w:val="both"/>
        <w:rPr>
          <w:rFonts w:ascii="Arial" w:hAnsi="Arial" w:cs="Arial"/>
          <w:sz w:val="22"/>
          <w:szCs w:val="22"/>
        </w:rPr>
      </w:pPr>
    </w:p>
    <w:p w14:paraId="26C9A5C9" w14:textId="7F21CDC8" w:rsidR="00D83877" w:rsidRPr="00D83877" w:rsidRDefault="00D83877" w:rsidP="00D83877">
      <w:pPr>
        <w:spacing w:before="120"/>
        <w:jc w:val="both"/>
        <w:rPr>
          <w:rFonts w:ascii="Arial" w:hAnsi="Arial" w:cs="Arial"/>
          <w:sz w:val="22"/>
          <w:szCs w:val="22"/>
        </w:rPr>
      </w:pPr>
      <w:r w:rsidRPr="00D83877">
        <w:rPr>
          <w:rFonts w:ascii="Arial" w:hAnsi="Arial" w:cs="Arial"/>
          <w:sz w:val="22"/>
          <w:szCs w:val="22"/>
        </w:rPr>
        <w:t>For that reason, we used the paid Chain Ladder results only as a reasonableness check and kept the incurred Chain Ladder method as our primary reserving tool.</w:t>
      </w:r>
    </w:p>
    <w:p w14:paraId="457F1439" w14:textId="42576652" w:rsidR="00490C5A" w:rsidRPr="00490C5A" w:rsidRDefault="00490C5A" w:rsidP="00490C5A">
      <w:pPr>
        <w:spacing w:before="80"/>
        <w:jc w:val="both"/>
        <w:rPr>
          <w:rFonts w:ascii="Arial" w:hAnsi="Arial" w:cs="Arial"/>
          <w:sz w:val="22"/>
          <w:szCs w:val="22"/>
        </w:rPr>
      </w:pPr>
    </w:p>
    <w:p w14:paraId="37379823" w14:textId="6D9E6760" w:rsidR="00490C5A" w:rsidRPr="00D83877" w:rsidRDefault="00490C5A" w:rsidP="00D83877">
      <w:pPr>
        <w:pStyle w:val="ListParagraph"/>
        <w:numPr>
          <w:ilvl w:val="1"/>
          <w:numId w:val="11"/>
        </w:numPr>
        <w:spacing w:before="80"/>
        <w:jc w:val="both"/>
        <w:rPr>
          <w:rFonts w:ascii="Arial" w:hAnsi="Arial" w:cs="Arial"/>
          <w:b/>
          <w:bCs/>
          <w:sz w:val="22"/>
          <w:szCs w:val="22"/>
        </w:rPr>
      </w:pPr>
      <w:r w:rsidRPr="00D83877">
        <w:rPr>
          <w:rFonts w:ascii="Arial" w:hAnsi="Arial" w:cs="Arial"/>
          <w:b/>
          <w:bCs/>
          <w:sz w:val="22"/>
          <w:szCs w:val="22"/>
        </w:rPr>
        <w:t>Case Reserve Determination and Total Reserve Estimate</w:t>
      </w:r>
    </w:p>
    <w:p w14:paraId="3522A03B" w14:textId="77777777" w:rsidR="00D83877" w:rsidRDefault="00490C5A" w:rsidP="00D83877">
      <w:pPr>
        <w:spacing w:before="80"/>
        <w:jc w:val="both"/>
        <w:rPr>
          <w:rFonts w:ascii="Arial" w:hAnsi="Arial" w:cs="Arial"/>
          <w:sz w:val="22"/>
          <w:szCs w:val="22"/>
        </w:rPr>
      </w:pPr>
      <w:r w:rsidRPr="00490C5A">
        <w:rPr>
          <w:rFonts w:ascii="Arial" w:hAnsi="Arial" w:cs="Arial"/>
          <w:sz w:val="22"/>
          <w:szCs w:val="22"/>
        </w:rPr>
        <w:t>With the ultimate incurred losses determined, we calculated the following reserve components for each underwriting year:</w:t>
      </w:r>
    </w:p>
    <w:p w14:paraId="6E2EA8BD" w14:textId="10E442CD" w:rsidR="00490C5A" w:rsidRPr="00D83877" w:rsidRDefault="00490C5A" w:rsidP="00D83877">
      <w:pPr>
        <w:pStyle w:val="ListParagraph"/>
        <w:numPr>
          <w:ilvl w:val="0"/>
          <w:numId w:val="13"/>
        </w:numPr>
        <w:spacing w:before="80"/>
        <w:jc w:val="both"/>
        <w:rPr>
          <w:rFonts w:ascii="Arial" w:hAnsi="Arial" w:cs="Arial"/>
          <w:sz w:val="22"/>
          <w:szCs w:val="22"/>
        </w:rPr>
      </w:pPr>
      <w:r w:rsidRPr="00D83877">
        <w:rPr>
          <w:rFonts w:ascii="Arial" w:hAnsi="Arial" w:cs="Arial"/>
          <w:sz w:val="22"/>
          <w:szCs w:val="22"/>
        </w:rPr>
        <w:t>Case Reserve = Incurred Loss</w:t>
      </w:r>
      <w:r w:rsidR="003D3325" w:rsidRPr="00D83877">
        <w:rPr>
          <w:rFonts w:ascii="Arial" w:hAnsi="Arial" w:cs="Arial"/>
          <w:sz w:val="22"/>
          <w:szCs w:val="22"/>
        </w:rPr>
        <w:t>es</w:t>
      </w:r>
      <w:r w:rsidRPr="00D83877">
        <w:rPr>
          <w:rFonts w:ascii="Arial" w:hAnsi="Arial" w:cs="Arial"/>
          <w:sz w:val="22"/>
          <w:szCs w:val="22"/>
        </w:rPr>
        <w:t xml:space="preserve"> to Date </w:t>
      </w:r>
      <m:oMath>
        <m:r>
          <w:rPr>
            <w:rFonts w:ascii="Cambria Math" w:hAnsi="Cambria Math" w:cs="Arial"/>
            <w:sz w:val="22"/>
            <w:szCs w:val="22"/>
          </w:rPr>
          <m:t>-</m:t>
        </m:r>
      </m:oMath>
      <w:r w:rsidRPr="00D83877">
        <w:rPr>
          <w:rFonts w:ascii="Arial" w:hAnsi="Arial" w:cs="Arial"/>
          <w:sz w:val="22"/>
          <w:szCs w:val="22"/>
        </w:rPr>
        <w:t xml:space="preserve"> Paid Loss</w:t>
      </w:r>
      <w:r w:rsidR="003D3325" w:rsidRPr="00D83877">
        <w:rPr>
          <w:rFonts w:ascii="Arial" w:hAnsi="Arial" w:cs="Arial"/>
          <w:sz w:val="22"/>
          <w:szCs w:val="22"/>
        </w:rPr>
        <w:t>es</w:t>
      </w:r>
      <w:r w:rsidRPr="00D83877">
        <w:rPr>
          <w:rFonts w:ascii="Arial" w:hAnsi="Arial" w:cs="Arial"/>
          <w:sz w:val="22"/>
          <w:szCs w:val="22"/>
        </w:rPr>
        <w:t xml:space="preserve"> to Date</w:t>
      </w:r>
    </w:p>
    <w:p w14:paraId="0F0C4A15" w14:textId="2642B92A" w:rsidR="00490C5A" w:rsidRPr="00D83877" w:rsidRDefault="00490C5A" w:rsidP="00D83877">
      <w:pPr>
        <w:pStyle w:val="ListParagraph"/>
        <w:numPr>
          <w:ilvl w:val="0"/>
          <w:numId w:val="13"/>
        </w:numPr>
        <w:spacing w:before="80"/>
        <w:jc w:val="both"/>
        <w:rPr>
          <w:rFonts w:ascii="Arial" w:hAnsi="Arial" w:cs="Arial"/>
          <w:sz w:val="22"/>
          <w:szCs w:val="22"/>
        </w:rPr>
      </w:pPr>
      <w:r w:rsidRPr="00D83877">
        <w:rPr>
          <w:rFonts w:ascii="Arial" w:hAnsi="Arial" w:cs="Arial"/>
          <w:sz w:val="22"/>
          <w:szCs w:val="22"/>
        </w:rPr>
        <w:t>IBNR = Ultimate Loss</w:t>
      </w:r>
      <w:r w:rsidR="003D3325" w:rsidRPr="00D83877">
        <w:rPr>
          <w:rFonts w:ascii="Arial" w:hAnsi="Arial" w:cs="Arial"/>
          <w:sz w:val="22"/>
          <w:szCs w:val="22"/>
        </w:rPr>
        <w:t>es</w:t>
      </w:r>
      <w:r w:rsidRPr="00D83877">
        <w:rPr>
          <w:rFonts w:ascii="Arial" w:hAnsi="Arial" w:cs="Arial"/>
          <w:sz w:val="22"/>
          <w:szCs w:val="22"/>
        </w:rPr>
        <w:t xml:space="preserve"> </w:t>
      </w:r>
      <m:oMath>
        <m:r>
          <w:rPr>
            <w:rFonts w:ascii="Cambria Math" w:hAnsi="Cambria Math" w:cs="Arial"/>
            <w:sz w:val="22"/>
            <w:szCs w:val="22"/>
          </w:rPr>
          <m:t>-</m:t>
        </m:r>
      </m:oMath>
      <w:r w:rsidRPr="00D83877">
        <w:rPr>
          <w:rFonts w:ascii="Arial" w:hAnsi="Arial" w:cs="Arial"/>
          <w:sz w:val="22"/>
          <w:szCs w:val="22"/>
        </w:rPr>
        <w:t xml:space="preserve"> Incurred Loss</w:t>
      </w:r>
      <w:r w:rsidR="003D3325" w:rsidRPr="00D83877">
        <w:rPr>
          <w:rFonts w:ascii="Arial" w:hAnsi="Arial" w:cs="Arial"/>
          <w:sz w:val="22"/>
          <w:szCs w:val="22"/>
        </w:rPr>
        <w:t>es</w:t>
      </w:r>
      <w:r w:rsidRPr="00D83877">
        <w:rPr>
          <w:rFonts w:ascii="Arial" w:hAnsi="Arial" w:cs="Arial"/>
          <w:sz w:val="22"/>
          <w:szCs w:val="22"/>
        </w:rPr>
        <w:t xml:space="preserve"> to Date</w:t>
      </w:r>
    </w:p>
    <w:p w14:paraId="6582BF00" w14:textId="77777777" w:rsidR="00490C5A" w:rsidRPr="00D83877" w:rsidRDefault="00490C5A" w:rsidP="00D83877">
      <w:pPr>
        <w:pStyle w:val="ListParagraph"/>
        <w:numPr>
          <w:ilvl w:val="0"/>
          <w:numId w:val="13"/>
        </w:numPr>
        <w:spacing w:before="80"/>
        <w:jc w:val="both"/>
        <w:rPr>
          <w:rFonts w:ascii="Arial" w:hAnsi="Arial" w:cs="Arial"/>
          <w:sz w:val="22"/>
          <w:szCs w:val="22"/>
        </w:rPr>
      </w:pPr>
      <w:r w:rsidRPr="00D83877">
        <w:rPr>
          <w:rFonts w:ascii="Arial" w:hAnsi="Arial" w:cs="Arial"/>
          <w:sz w:val="22"/>
          <w:szCs w:val="22"/>
        </w:rPr>
        <w:t>Total Loss Reserve = Case Reserve + IBNR</w:t>
      </w:r>
    </w:p>
    <w:p w14:paraId="140EE664" w14:textId="669551FE" w:rsidR="00490C5A" w:rsidRPr="00490C5A" w:rsidRDefault="00490C5A" w:rsidP="00D83877">
      <w:pPr>
        <w:spacing w:before="80"/>
        <w:jc w:val="both"/>
        <w:rPr>
          <w:rFonts w:ascii="Arial" w:hAnsi="Arial" w:cs="Arial"/>
          <w:sz w:val="22"/>
          <w:szCs w:val="22"/>
        </w:rPr>
      </w:pPr>
      <w:r w:rsidRPr="00490C5A">
        <w:rPr>
          <w:rFonts w:ascii="Arial" w:hAnsi="Arial" w:cs="Arial"/>
          <w:sz w:val="22"/>
          <w:szCs w:val="22"/>
        </w:rPr>
        <w:t>Older underwriting years (2021</w:t>
      </w:r>
      <w:r w:rsidR="003D3325">
        <w:rPr>
          <w:rFonts w:ascii="Arial" w:hAnsi="Arial" w:cs="Arial"/>
          <w:sz w:val="22"/>
          <w:szCs w:val="22"/>
        </w:rPr>
        <w:t>-</w:t>
      </w:r>
      <w:r w:rsidRPr="00490C5A">
        <w:rPr>
          <w:rFonts w:ascii="Arial" w:hAnsi="Arial" w:cs="Arial"/>
          <w:sz w:val="22"/>
          <w:szCs w:val="22"/>
        </w:rPr>
        <w:t xml:space="preserve">2023) are essentially fully developed, with only minor outstanding case reserves in 2022 and 2023. </w:t>
      </w:r>
      <w:r w:rsidR="00D83877" w:rsidRPr="00D83877">
        <w:rPr>
          <w:rFonts w:ascii="Arial" w:hAnsi="Arial" w:cs="Arial"/>
          <w:sz w:val="22"/>
          <w:szCs w:val="22"/>
        </w:rPr>
        <w:t>Most of the reserving need lies in the recent years, which is consistent with their immaturity and higher volatility.</w:t>
      </w:r>
    </w:p>
    <w:tbl>
      <w:tblPr>
        <w:tblStyle w:val="TableGrid"/>
        <w:tblW w:w="0" w:type="auto"/>
        <w:jc w:val="center"/>
        <w:tblLook w:val="04A0" w:firstRow="1" w:lastRow="0" w:firstColumn="1" w:lastColumn="0" w:noHBand="0" w:noVBand="1"/>
      </w:tblPr>
      <w:tblGrid>
        <w:gridCol w:w="1152"/>
        <w:gridCol w:w="1363"/>
        <w:gridCol w:w="1517"/>
        <w:gridCol w:w="1440"/>
        <w:gridCol w:w="1440"/>
        <w:gridCol w:w="1440"/>
      </w:tblGrid>
      <w:tr w:rsidR="00303BA4" w:rsidRPr="00490C5A" w14:paraId="251BBB5E" w14:textId="77777777" w:rsidTr="00303BA4">
        <w:trPr>
          <w:jc w:val="center"/>
        </w:trPr>
        <w:tc>
          <w:tcPr>
            <w:tcW w:w="1152" w:type="dxa"/>
            <w:shd w:val="clear" w:color="auto" w:fill="222A35" w:themeFill="text2" w:themeFillShade="80"/>
            <w:vAlign w:val="center"/>
            <w:hideMark/>
          </w:tcPr>
          <w:p w14:paraId="1AA945AD" w14:textId="77777777" w:rsidR="00303BA4" w:rsidRPr="00490C5A" w:rsidRDefault="00303BA4" w:rsidP="003D3325">
            <w:pPr>
              <w:spacing w:before="80" w:after="80"/>
              <w:jc w:val="center"/>
              <w:rPr>
                <w:rFonts w:ascii="Arial" w:hAnsi="Arial" w:cs="Arial"/>
                <w:b/>
                <w:bCs/>
                <w:color w:val="FFFFFF" w:themeColor="background1"/>
                <w:sz w:val="22"/>
                <w:szCs w:val="22"/>
              </w:rPr>
            </w:pPr>
            <w:r w:rsidRPr="00490C5A">
              <w:rPr>
                <w:rFonts w:ascii="Arial" w:hAnsi="Arial" w:cs="Arial"/>
                <w:b/>
                <w:bCs/>
                <w:color w:val="FFFFFF" w:themeColor="background1"/>
                <w:sz w:val="22"/>
                <w:szCs w:val="22"/>
              </w:rPr>
              <w:lastRenderedPageBreak/>
              <w:t>UWY</w:t>
            </w:r>
          </w:p>
        </w:tc>
        <w:tc>
          <w:tcPr>
            <w:tcW w:w="1363" w:type="dxa"/>
            <w:shd w:val="clear" w:color="auto" w:fill="222A35" w:themeFill="text2" w:themeFillShade="80"/>
          </w:tcPr>
          <w:p w14:paraId="55FF4F85" w14:textId="7131427A" w:rsidR="00303BA4" w:rsidRPr="00490C5A" w:rsidRDefault="00303BA4" w:rsidP="003D3325">
            <w:pPr>
              <w:spacing w:before="80" w:after="80"/>
              <w:jc w:val="center"/>
              <w:rPr>
                <w:rFonts w:ascii="Arial" w:hAnsi="Arial" w:cs="Arial"/>
                <w:b/>
                <w:bCs/>
                <w:color w:val="FFFFFF" w:themeColor="background1"/>
                <w:sz w:val="22"/>
                <w:szCs w:val="22"/>
              </w:rPr>
            </w:pPr>
            <w:r>
              <w:rPr>
                <w:rFonts w:ascii="Arial" w:hAnsi="Arial" w:cs="Arial"/>
                <w:b/>
                <w:bCs/>
                <w:color w:val="FFFFFF" w:themeColor="background1"/>
                <w:sz w:val="22"/>
                <w:szCs w:val="22"/>
              </w:rPr>
              <w:t>Ultimate Losses</w:t>
            </w:r>
          </w:p>
        </w:tc>
        <w:tc>
          <w:tcPr>
            <w:tcW w:w="1517" w:type="dxa"/>
            <w:shd w:val="clear" w:color="auto" w:fill="222A35" w:themeFill="text2" w:themeFillShade="80"/>
          </w:tcPr>
          <w:p w14:paraId="0B876AE2" w14:textId="5F5213A2" w:rsidR="00303BA4" w:rsidRPr="00490C5A" w:rsidRDefault="00303BA4" w:rsidP="003D3325">
            <w:pPr>
              <w:spacing w:before="80" w:after="80"/>
              <w:jc w:val="center"/>
              <w:rPr>
                <w:rFonts w:ascii="Arial" w:hAnsi="Arial" w:cs="Arial"/>
                <w:b/>
                <w:bCs/>
                <w:color w:val="FFFFFF" w:themeColor="background1"/>
                <w:sz w:val="22"/>
                <w:szCs w:val="22"/>
              </w:rPr>
            </w:pPr>
            <w:r>
              <w:rPr>
                <w:rFonts w:ascii="Arial" w:hAnsi="Arial" w:cs="Arial"/>
                <w:b/>
                <w:bCs/>
                <w:color w:val="FFFFFF" w:themeColor="background1"/>
                <w:sz w:val="22"/>
                <w:szCs w:val="22"/>
              </w:rPr>
              <w:t>Paid-to-date Losses</w:t>
            </w:r>
          </w:p>
        </w:tc>
        <w:tc>
          <w:tcPr>
            <w:tcW w:w="1440" w:type="dxa"/>
            <w:shd w:val="clear" w:color="auto" w:fill="222A35" w:themeFill="text2" w:themeFillShade="80"/>
            <w:vAlign w:val="center"/>
            <w:hideMark/>
          </w:tcPr>
          <w:p w14:paraId="6AE2ABED" w14:textId="0D4AD985" w:rsidR="00303BA4" w:rsidRPr="00490C5A" w:rsidRDefault="00303BA4" w:rsidP="003D3325">
            <w:pPr>
              <w:spacing w:before="80" w:after="80"/>
              <w:jc w:val="center"/>
              <w:rPr>
                <w:rFonts w:ascii="Arial" w:hAnsi="Arial" w:cs="Arial"/>
                <w:b/>
                <w:bCs/>
                <w:color w:val="FFFFFF" w:themeColor="background1"/>
                <w:sz w:val="22"/>
                <w:szCs w:val="22"/>
              </w:rPr>
            </w:pPr>
            <w:r w:rsidRPr="00490C5A">
              <w:rPr>
                <w:rFonts w:ascii="Arial" w:hAnsi="Arial" w:cs="Arial"/>
                <w:b/>
                <w:bCs/>
                <w:color w:val="FFFFFF" w:themeColor="background1"/>
                <w:sz w:val="22"/>
                <w:szCs w:val="22"/>
              </w:rPr>
              <w:t>IBNR</w:t>
            </w:r>
          </w:p>
        </w:tc>
        <w:tc>
          <w:tcPr>
            <w:tcW w:w="1440" w:type="dxa"/>
            <w:shd w:val="clear" w:color="auto" w:fill="222A35" w:themeFill="text2" w:themeFillShade="80"/>
            <w:vAlign w:val="center"/>
            <w:hideMark/>
          </w:tcPr>
          <w:p w14:paraId="14EA9823" w14:textId="77777777" w:rsidR="00303BA4" w:rsidRPr="00490C5A" w:rsidRDefault="00303BA4" w:rsidP="003D3325">
            <w:pPr>
              <w:spacing w:before="80" w:after="80"/>
              <w:jc w:val="center"/>
              <w:rPr>
                <w:rFonts w:ascii="Arial" w:hAnsi="Arial" w:cs="Arial"/>
                <w:b/>
                <w:bCs/>
                <w:color w:val="FFFFFF" w:themeColor="background1"/>
                <w:sz w:val="22"/>
                <w:szCs w:val="22"/>
              </w:rPr>
            </w:pPr>
            <w:r w:rsidRPr="00490C5A">
              <w:rPr>
                <w:rFonts w:ascii="Arial" w:hAnsi="Arial" w:cs="Arial"/>
                <w:b/>
                <w:bCs/>
                <w:color w:val="FFFFFF" w:themeColor="background1"/>
                <w:sz w:val="22"/>
                <w:szCs w:val="22"/>
              </w:rPr>
              <w:t>Case Reserve</w:t>
            </w:r>
          </w:p>
        </w:tc>
        <w:tc>
          <w:tcPr>
            <w:tcW w:w="1440" w:type="dxa"/>
            <w:shd w:val="clear" w:color="auto" w:fill="222A35" w:themeFill="text2" w:themeFillShade="80"/>
            <w:vAlign w:val="center"/>
            <w:hideMark/>
          </w:tcPr>
          <w:p w14:paraId="06DB4611" w14:textId="77777777" w:rsidR="00303BA4" w:rsidRPr="00490C5A" w:rsidRDefault="00303BA4" w:rsidP="003D3325">
            <w:pPr>
              <w:spacing w:before="80" w:after="80"/>
              <w:jc w:val="center"/>
              <w:rPr>
                <w:rFonts w:ascii="Arial" w:hAnsi="Arial" w:cs="Arial"/>
                <w:b/>
                <w:bCs/>
                <w:color w:val="FFFFFF" w:themeColor="background1"/>
                <w:sz w:val="22"/>
                <w:szCs w:val="22"/>
              </w:rPr>
            </w:pPr>
            <w:r w:rsidRPr="00490C5A">
              <w:rPr>
                <w:rFonts w:ascii="Arial" w:hAnsi="Arial" w:cs="Arial"/>
                <w:b/>
                <w:bCs/>
                <w:color w:val="FFFFFF" w:themeColor="background1"/>
                <w:sz w:val="22"/>
                <w:szCs w:val="22"/>
              </w:rPr>
              <w:t>Total Reserve</w:t>
            </w:r>
          </w:p>
        </w:tc>
      </w:tr>
      <w:tr w:rsidR="00303BA4" w:rsidRPr="00490C5A" w14:paraId="3B1E30A4" w14:textId="77777777" w:rsidTr="00303BA4">
        <w:trPr>
          <w:jc w:val="center"/>
        </w:trPr>
        <w:tc>
          <w:tcPr>
            <w:tcW w:w="1152" w:type="dxa"/>
            <w:shd w:val="clear" w:color="auto" w:fill="D9D9D9" w:themeFill="background1" w:themeFillShade="D9"/>
            <w:vAlign w:val="center"/>
            <w:hideMark/>
          </w:tcPr>
          <w:p w14:paraId="33EFB9AD" w14:textId="77777777" w:rsidR="00303BA4" w:rsidRPr="00490C5A" w:rsidRDefault="00303BA4" w:rsidP="00303BA4">
            <w:pPr>
              <w:spacing w:before="80" w:after="80"/>
              <w:jc w:val="center"/>
              <w:rPr>
                <w:rFonts w:ascii="Arial" w:hAnsi="Arial" w:cs="Arial"/>
                <w:b/>
                <w:bCs/>
                <w:sz w:val="22"/>
                <w:szCs w:val="22"/>
              </w:rPr>
            </w:pPr>
            <w:r w:rsidRPr="00490C5A">
              <w:rPr>
                <w:rFonts w:ascii="Arial" w:hAnsi="Arial" w:cs="Arial"/>
                <w:b/>
                <w:bCs/>
                <w:sz w:val="22"/>
                <w:szCs w:val="22"/>
              </w:rPr>
              <w:t>2021</w:t>
            </w:r>
          </w:p>
        </w:tc>
        <w:tc>
          <w:tcPr>
            <w:tcW w:w="1363" w:type="dxa"/>
          </w:tcPr>
          <w:p w14:paraId="4A5EDD94" w14:textId="297B176D"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sz w:val="22"/>
                <w:szCs w:val="22"/>
              </w:rPr>
              <w:t>$ 9,150</w:t>
            </w:r>
          </w:p>
        </w:tc>
        <w:tc>
          <w:tcPr>
            <w:tcW w:w="1517" w:type="dxa"/>
          </w:tcPr>
          <w:p w14:paraId="009DECA6" w14:textId="003C92C0"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sz w:val="22"/>
                <w:szCs w:val="22"/>
              </w:rPr>
              <w:t>$ 9,150</w:t>
            </w:r>
          </w:p>
        </w:tc>
        <w:tc>
          <w:tcPr>
            <w:tcW w:w="1440" w:type="dxa"/>
            <w:vAlign w:val="center"/>
            <w:hideMark/>
          </w:tcPr>
          <w:p w14:paraId="0EB2E1FD" w14:textId="651C0FFB" w:rsidR="00303BA4" w:rsidRPr="00490C5A" w:rsidRDefault="00303BA4" w:rsidP="00303BA4">
            <w:pPr>
              <w:spacing w:before="80" w:after="80"/>
              <w:jc w:val="center"/>
              <w:rPr>
                <w:rFonts w:ascii="Arial" w:hAnsi="Arial" w:cs="Arial"/>
                <w:sz w:val="22"/>
                <w:szCs w:val="22"/>
              </w:rPr>
            </w:pPr>
            <w:r>
              <w:rPr>
                <w:rFonts w:ascii="Arial" w:hAnsi="Arial" w:cs="Arial"/>
                <w:sz w:val="22"/>
                <w:szCs w:val="22"/>
              </w:rPr>
              <w:t>-</w:t>
            </w:r>
          </w:p>
        </w:tc>
        <w:tc>
          <w:tcPr>
            <w:tcW w:w="1440" w:type="dxa"/>
            <w:vAlign w:val="center"/>
            <w:hideMark/>
          </w:tcPr>
          <w:p w14:paraId="7F946CF7" w14:textId="5F84E5B9" w:rsidR="00303BA4" w:rsidRPr="00490C5A" w:rsidRDefault="00303BA4" w:rsidP="00303BA4">
            <w:pPr>
              <w:spacing w:before="80" w:after="80"/>
              <w:jc w:val="center"/>
              <w:rPr>
                <w:rFonts w:ascii="Arial" w:hAnsi="Arial" w:cs="Arial"/>
                <w:sz w:val="22"/>
                <w:szCs w:val="22"/>
              </w:rPr>
            </w:pPr>
            <w:r>
              <w:rPr>
                <w:rFonts w:ascii="Arial" w:hAnsi="Arial" w:cs="Arial"/>
                <w:sz w:val="22"/>
                <w:szCs w:val="22"/>
              </w:rPr>
              <w:t>-</w:t>
            </w:r>
          </w:p>
        </w:tc>
        <w:tc>
          <w:tcPr>
            <w:tcW w:w="1440" w:type="dxa"/>
            <w:vAlign w:val="center"/>
            <w:hideMark/>
          </w:tcPr>
          <w:p w14:paraId="7C25398F" w14:textId="78BE72BB" w:rsidR="00303BA4" w:rsidRPr="00490C5A" w:rsidRDefault="00303BA4" w:rsidP="00303BA4">
            <w:pPr>
              <w:spacing w:before="80" w:after="80"/>
              <w:jc w:val="center"/>
              <w:rPr>
                <w:rFonts w:ascii="Arial" w:hAnsi="Arial" w:cs="Arial"/>
                <w:sz w:val="22"/>
                <w:szCs w:val="22"/>
              </w:rPr>
            </w:pPr>
            <w:r>
              <w:rPr>
                <w:rFonts w:ascii="Arial" w:hAnsi="Arial" w:cs="Arial"/>
                <w:sz w:val="22"/>
                <w:szCs w:val="22"/>
              </w:rPr>
              <w:t>-</w:t>
            </w:r>
          </w:p>
        </w:tc>
      </w:tr>
      <w:tr w:rsidR="00303BA4" w:rsidRPr="00490C5A" w14:paraId="741D06A3" w14:textId="77777777" w:rsidTr="000B28C3">
        <w:trPr>
          <w:jc w:val="center"/>
        </w:trPr>
        <w:tc>
          <w:tcPr>
            <w:tcW w:w="1152" w:type="dxa"/>
            <w:shd w:val="clear" w:color="auto" w:fill="D9D9D9" w:themeFill="background1" w:themeFillShade="D9"/>
            <w:vAlign w:val="center"/>
            <w:hideMark/>
          </w:tcPr>
          <w:p w14:paraId="103CC9A4" w14:textId="77777777" w:rsidR="00303BA4" w:rsidRPr="00490C5A" w:rsidRDefault="00303BA4" w:rsidP="00303BA4">
            <w:pPr>
              <w:spacing w:before="80" w:after="80"/>
              <w:jc w:val="center"/>
              <w:rPr>
                <w:rFonts w:ascii="Arial" w:hAnsi="Arial" w:cs="Arial"/>
                <w:b/>
                <w:bCs/>
                <w:sz w:val="22"/>
                <w:szCs w:val="22"/>
              </w:rPr>
            </w:pPr>
            <w:r w:rsidRPr="00490C5A">
              <w:rPr>
                <w:rFonts w:ascii="Arial" w:hAnsi="Arial" w:cs="Arial"/>
                <w:b/>
                <w:bCs/>
                <w:sz w:val="22"/>
                <w:szCs w:val="22"/>
              </w:rPr>
              <w:t>2022</w:t>
            </w:r>
          </w:p>
        </w:tc>
        <w:tc>
          <w:tcPr>
            <w:tcW w:w="1363" w:type="dxa"/>
            <w:vAlign w:val="bottom"/>
          </w:tcPr>
          <w:p w14:paraId="7AE25819" w14:textId="027578E4"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$ 15,450 </w:t>
            </w:r>
          </w:p>
        </w:tc>
        <w:tc>
          <w:tcPr>
            <w:tcW w:w="1517" w:type="dxa"/>
            <w:vAlign w:val="bottom"/>
          </w:tcPr>
          <w:p w14:paraId="33B233C3" w14:textId="221F8668"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$ 12,650 </w:t>
            </w:r>
          </w:p>
        </w:tc>
        <w:tc>
          <w:tcPr>
            <w:tcW w:w="1440" w:type="dxa"/>
            <w:vAlign w:val="center"/>
            <w:hideMark/>
          </w:tcPr>
          <w:p w14:paraId="071045B0" w14:textId="458C5553" w:rsidR="00303BA4" w:rsidRPr="00490C5A" w:rsidRDefault="00303BA4" w:rsidP="00303BA4">
            <w:pPr>
              <w:spacing w:before="80" w:after="80"/>
              <w:jc w:val="center"/>
              <w:rPr>
                <w:rFonts w:ascii="Arial" w:hAnsi="Arial" w:cs="Arial"/>
                <w:sz w:val="22"/>
                <w:szCs w:val="22"/>
              </w:rPr>
            </w:pPr>
            <w:r>
              <w:rPr>
                <w:rFonts w:ascii="Arial" w:hAnsi="Arial" w:cs="Arial"/>
                <w:sz w:val="22"/>
                <w:szCs w:val="22"/>
              </w:rPr>
              <w:t>-</w:t>
            </w:r>
          </w:p>
        </w:tc>
        <w:tc>
          <w:tcPr>
            <w:tcW w:w="1440" w:type="dxa"/>
            <w:vAlign w:val="center"/>
            <w:hideMark/>
          </w:tcPr>
          <w:p w14:paraId="164E31C1" w14:textId="7E18E1F0" w:rsidR="00303BA4" w:rsidRPr="00490C5A" w:rsidRDefault="00303BA4" w:rsidP="00303BA4">
            <w:pPr>
              <w:spacing w:before="80" w:after="80"/>
              <w:jc w:val="center"/>
              <w:rPr>
                <w:rFonts w:ascii="Arial" w:hAnsi="Arial" w:cs="Arial"/>
                <w:sz w:val="22"/>
                <w:szCs w:val="22"/>
              </w:rPr>
            </w:pPr>
            <w:r>
              <w:rPr>
                <w:rFonts w:ascii="Arial" w:hAnsi="Arial" w:cs="Arial"/>
                <w:sz w:val="22"/>
                <w:szCs w:val="22"/>
              </w:rPr>
              <w:t xml:space="preserve">$ </w:t>
            </w:r>
            <w:r w:rsidRPr="00490C5A">
              <w:rPr>
                <w:rFonts w:ascii="Arial" w:hAnsi="Arial" w:cs="Arial"/>
                <w:sz w:val="22"/>
                <w:szCs w:val="22"/>
              </w:rPr>
              <w:t>2,800</w:t>
            </w:r>
          </w:p>
        </w:tc>
        <w:tc>
          <w:tcPr>
            <w:tcW w:w="1440" w:type="dxa"/>
            <w:vAlign w:val="center"/>
            <w:hideMark/>
          </w:tcPr>
          <w:p w14:paraId="50D77129" w14:textId="460D1839" w:rsidR="00303BA4" w:rsidRPr="00490C5A" w:rsidRDefault="00303BA4" w:rsidP="00303BA4">
            <w:pPr>
              <w:spacing w:before="80" w:after="80"/>
              <w:jc w:val="center"/>
              <w:rPr>
                <w:rFonts w:ascii="Arial" w:hAnsi="Arial" w:cs="Arial"/>
                <w:sz w:val="22"/>
                <w:szCs w:val="22"/>
              </w:rPr>
            </w:pPr>
            <w:r>
              <w:rPr>
                <w:rFonts w:ascii="Arial" w:hAnsi="Arial" w:cs="Arial"/>
                <w:sz w:val="22"/>
                <w:szCs w:val="22"/>
              </w:rPr>
              <w:t xml:space="preserve">$ </w:t>
            </w:r>
            <w:r w:rsidRPr="00490C5A">
              <w:rPr>
                <w:rFonts w:ascii="Arial" w:hAnsi="Arial" w:cs="Arial"/>
                <w:sz w:val="22"/>
                <w:szCs w:val="22"/>
              </w:rPr>
              <w:t>2,800</w:t>
            </w:r>
          </w:p>
        </w:tc>
      </w:tr>
      <w:tr w:rsidR="00303BA4" w:rsidRPr="00490C5A" w14:paraId="3214BCD2" w14:textId="77777777" w:rsidTr="000B28C3">
        <w:trPr>
          <w:jc w:val="center"/>
        </w:trPr>
        <w:tc>
          <w:tcPr>
            <w:tcW w:w="1152" w:type="dxa"/>
            <w:shd w:val="clear" w:color="auto" w:fill="D9D9D9" w:themeFill="background1" w:themeFillShade="D9"/>
            <w:vAlign w:val="center"/>
            <w:hideMark/>
          </w:tcPr>
          <w:p w14:paraId="189485C4" w14:textId="77777777" w:rsidR="00303BA4" w:rsidRPr="00490C5A" w:rsidRDefault="00303BA4" w:rsidP="00303BA4">
            <w:pPr>
              <w:spacing w:before="80" w:after="80"/>
              <w:jc w:val="center"/>
              <w:rPr>
                <w:rFonts w:ascii="Arial" w:hAnsi="Arial" w:cs="Arial"/>
                <w:b/>
                <w:bCs/>
                <w:sz w:val="22"/>
                <w:szCs w:val="22"/>
              </w:rPr>
            </w:pPr>
            <w:r w:rsidRPr="00490C5A">
              <w:rPr>
                <w:rFonts w:ascii="Arial" w:hAnsi="Arial" w:cs="Arial"/>
                <w:b/>
                <w:bCs/>
                <w:sz w:val="22"/>
                <w:szCs w:val="22"/>
              </w:rPr>
              <w:t>2023</w:t>
            </w:r>
          </w:p>
        </w:tc>
        <w:tc>
          <w:tcPr>
            <w:tcW w:w="1363" w:type="dxa"/>
            <w:vAlign w:val="bottom"/>
          </w:tcPr>
          <w:p w14:paraId="29DD4CC9" w14:textId="60366174"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$ 13,200 </w:t>
            </w:r>
          </w:p>
        </w:tc>
        <w:tc>
          <w:tcPr>
            <w:tcW w:w="1517" w:type="dxa"/>
            <w:vAlign w:val="bottom"/>
          </w:tcPr>
          <w:p w14:paraId="67DE05B9" w14:textId="33B8DB71"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$ 11,550 </w:t>
            </w:r>
          </w:p>
        </w:tc>
        <w:tc>
          <w:tcPr>
            <w:tcW w:w="1440" w:type="dxa"/>
            <w:vAlign w:val="center"/>
            <w:hideMark/>
          </w:tcPr>
          <w:p w14:paraId="14DC6F12" w14:textId="56788047" w:rsidR="00303BA4" w:rsidRPr="00490C5A" w:rsidRDefault="00303BA4" w:rsidP="00303BA4">
            <w:pPr>
              <w:spacing w:before="80" w:after="80"/>
              <w:jc w:val="center"/>
              <w:rPr>
                <w:rFonts w:ascii="Arial" w:hAnsi="Arial" w:cs="Arial"/>
                <w:sz w:val="22"/>
                <w:szCs w:val="22"/>
              </w:rPr>
            </w:pPr>
            <w:r>
              <w:rPr>
                <w:rFonts w:ascii="Arial" w:hAnsi="Arial" w:cs="Arial"/>
                <w:sz w:val="22"/>
                <w:szCs w:val="22"/>
              </w:rPr>
              <w:t>-</w:t>
            </w:r>
          </w:p>
        </w:tc>
        <w:tc>
          <w:tcPr>
            <w:tcW w:w="1440" w:type="dxa"/>
            <w:vAlign w:val="center"/>
            <w:hideMark/>
          </w:tcPr>
          <w:p w14:paraId="679DC839" w14:textId="0CEBAC58" w:rsidR="00303BA4" w:rsidRPr="00490C5A" w:rsidRDefault="00303BA4" w:rsidP="00303BA4">
            <w:pPr>
              <w:spacing w:before="80" w:after="80"/>
              <w:jc w:val="center"/>
              <w:rPr>
                <w:rFonts w:ascii="Arial" w:hAnsi="Arial" w:cs="Arial"/>
                <w:sz w:val="22"/>
                <w:szCs w:val="22"/>
              </w:rPr>
            </w:pPr>
            <w:r>
              <w:rPr>
                <w:rFonts w:ascii="Arial" w:hAnsi="Arial" w:cs="Arial"/>
                <w:sz w:val="22"/>
                <w:szCs w:val="22"/>
              </w:rPr>
              <w:t xml:space="preserve">$ </w:t>
            </w:r>
            <w:r w:rsidRPr="00490C5A">
              <w:rPr>
                <w:rFonts w:ascii="Arial" w:hAnsi="Arial" w:cs="Arial"/>
                <w:sz w:val="22"/>
                <w:szCs w:val="22"/>
              </w:rPr>
              <w:t>1,650</w:t>
            </w:r>
          </w:p>
        </w:tc>
        <w:tc>
          <w:tcPr>
            <w:tcW w:w="1440" w:type="dxa"/>
            <w:vAlign w:val="center"/>
            <w:hideMark/>
          </w:tcPr>
          <w:p w14:paraId="2B1725E0" w14:textId="6A792F01" w:rsidR="00303BA4" w:rsidRPr="00490C5A" w:rsidRDefault="00303BA4" w:rsidP="00303BA4">
            <w:pPr>
              <w:spacing w:before="80" w:after="80"/>
              <w:jc w:val="center"/>
              <w:rPr>
                <w:rFonts w:ascii="Arial" w:hAnsi="Arial" w:cs="Arial"/>
                <w:sz w:val="22"/>
                <w:szCs w:val="22"/>
              </w:rPr>
            </w:pPr>
            <w:r>
              <w:rPr>
                <w:rFonts w:ascii="Arial" w:hAnsi="Arial" w:cs="Arial"/>
                <w:sz w:val="22"/>
                <w:szCs w:val="22"/>
              </w:rPr>
              <w:t xml:space="preserve">$ </w:t>
            </w:r>
            <w:r w:rsidRPr="00490C5A">
              <w:rPr>
                <w:rFonts w:ascii="Arial" w:hAnsi="Arial" w:cs="Arial"/>
                <w:sz w:val="22"/>
                <w:szCs w:val="22"/>
              </w:rPr>
              <w:t>1,650</w:t>
            </w:r>
          </w:p>
        </w:tc>
      </w:tr>
      <w:tr w:rsidR="00303BA4" w:rsidRPr="00490C5A" w14:paraId="316995FF" w14:textId="77777777" w:rsidTr="000B28C3">
        <w:trPr>
          <w:jc w:val="center"/>
        </w:trPr>
        <w:tc>
          <w:tcPr>
            <w:tcW w:w="1152" w:type="dxa"/>
            <w:shd w:val="clear" w:color="auto" w:fill="D9D9D9" w:themeFill="background1" w:themeFillShade="D9"/>
            <w:vAlign w:val="center"/>
            <w:hideMark/>
          </w:tcPr>
          <w:p w14:paraId="609C91D7" w14:textId="77777777" w:rsidR="00303BA4" w:rsidRPr="00490C5A" w:rsidRDefault="00303BA4" w:rsidP="00303BA4">
            <w:pPr>
              <w:spacing w:before="80" w:after="80"/>
              <w:jc w:val="center"/>
              <w:rPr>
                <w:rFonts w:ascii="Arial" w:hAnsi="Arial" w:cs="Arial"/>
                <w:b/>
                <w:bCs/>
                <w:sz w:val="22"/>
                <w:szCs w:val="22"/>
              </w:rPr>
            </w:pPr>
            <w:r w:rsidRPr="00490C5A">
              <w:rPr>
                <w:rFonts w:ascii="Arial" w:hAnsi="Arial" w:cs="Arial"/>
                <w:b/>
                <w:bCs/>
                <w:sz w:val="22"/>
                <w:szCs w:val="22"/>
              </w:rPr>
              <w:t>2024</w:t>
            </w:r>
          </w:p>
        </w:tc>
        <w:tc>
          <w:tcPr>
            <w:tcW w:w="1363" w:type="dxa"/>
            <w:vAlign w:val="bottom"/>
          </w:tcPr>
          <w:p w14:paraId="4ECFA996" w14:textId="49843E6C"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$ 34,453 </w:t>
            </w:r>
          </w:p>
        </w:tc>
        <w:tc>
          <w:tcPr>
            <w:tcW w:w="1517" w:type="dxa"/>
            <w:vAlign w:val="bottom"/>
          </w:tcPr>
          <w:p w14:paraId="32F3F743" w14:textId="57E60124"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$ 25,850 </w:t>
            </w:r>
          </w:p>
        </w:tc>
        <w:tc>
          <w:tcPr>
            <w:tcW w:w="1440" w:type="dxa"/>
            <w:vAlign w:val="center"/>
            <w:hideMark/>
          </w:tcPr>
          <w:p w14:paraId="7193BEDE" w14:textId="13E0517F" w:rsidR="00303BA4" w:rsidRPr="00490C5A" w:rsidRDefault="00303BA4" w:rsidP="00303BA4">
            <w:pPr>
              <w:spacing w:before="80" w:after="80"/>
              <w:jc w:val="center"/>
              <w:rPr>
                <w:rFonts w:ascii="Arial" w:hAnsi="Arial" w:cs="Arial"/>
                <w:sz w:val="22"/>
                <w:szCs w:val="22"/>
              </w:rPr>
            </w:pPr>
            <w:r>
              <w:rPr>
                <w:rFonts w:ascii="Arial" w:hAnsi="Arial" w:cs="Arial"/>
                <w:sz w:val="22"/>
                <w:szCs w:val="22"/>
              </w:rPr>
              <w:t>$ 1,003</w:t>
            </w:r>
          </w:p>
        </w:tc>
        <w:tc>
          <w:tcPr>
            <w:tcW w:w="1440" w:type="dxa"/>
            <w:vAlign w:val="center"/>
            <w:hideMark/>
          </w:tcPr>
          <w:p w14:paraId="4C0E3BB7" w14:textId="2A4F3E70" w:rsidR="00303BA4" w:rsidRPr="00490C5A" w:rsidRDefault="00303BA4" w:rsidP="00303BA4">
            <w:pPr>
              <w:spacing w:before="80" w:after="80"/>
              <w:jc w:val="center"/>
              <w:rPr>
                <w:rFonts w:ascii="Arial" w:hAnsi="Arial" w:cs="Arial"/>
                <w:sz w:val="22"/>
                <w:szCs w:val="22"/>
              </w:rPr>
            </w:pPr>
            <w:r>
              <w:rPr>
                <w:rFonts w:ascii="Arial" w:hAnsi="Arial" w:cs="Arial"/>
                <w:sz w:val="22"/>
                <w:szCs w:val="22"/>
              </w:rPr>
              <w:t>$ 7,600</w:t>
            </w:r>
          </w:p>
        </w:tc>
        <w:tc>
          <w:tcPr>
            <w:tcW w:w="1440" w:type="dxa"/>
            <w:vAlign w:val="center"/>
            <w:hideMark/>
          </w:tcPr>
          <w:p w14:paraId="5915B911" w14:textId="4BF5BA21" w:rsidR="00303BA4" w:rsidRPr="00490C5A" w:rsidRDefault="00303BA4" w:rsidP="00303BA4">
            <w:pPr>
              <w:spacing w:before="80" w:after="80"/>
              <w:jc w:val="center"/>
              <w:rPr>
                <w:rFonts w:ascii="Arial" w:hAnsi="Arial" w:cs="Arial"/>
                <w:sz w:val="22"/>
                <w:szCs w:val="22"/>
              </w:rPr>
            </w:pPr>
            <w:r>
              <w:rPr>
                <w:rFonts w:ascii="Arial" w:hAnsi="Arial" w:cs="Arial"/>
                <w:sz w:val="22"/>
                <w:szCs w:val="22"/>
              </w:rPr>
              <w:t xml:space="preserve">$ </w:t>
            </w:r>
            <w:r w:rsidRPr="00490C5A">
              <w:rPr>
                <w:rFonts w:ascii="Arial" w:hAnsi="Arial" w:cs="Arial"/>
                <w:sz w:val="22"/>
                <w:szCs w:val="22"/>
              </w:rPr>
              <w:t>8,603</w:t>
            </w:r>
          </w:p>
        </w:tc>
      </w:tr>
      <w:tr w:rsidR="00303BA4" w:rsidRPr="00490C5A" w14:paraId="17EEC4DA" w14:textId="77777777" w:rsidTr="000B28C3">
        <w:trPr>
          <w:jc w:val="center"/>
        </w:trPr>
        <w:tc>
          <w:tcPr>
            <w:tcW w:w="1152" w:type="dxa"/>
            <w:tcBorders>
              <w:bottom w:val="single" w:sz="8" w:space="0" w:color="auto"/>
            </w:tcBorders>
            <w:shd w:val="clear" w:color="auto" w:fill="D9D9D9" w:themeFill="background1" w:themeFillShade="D9"/>
            <w:vAlign w:val="center"/>
            <w:hideMark/>
          </w:tcPr>
          <w:p w14:paraId="3AAC22CA" w14:textId="77777777" w:rsidR="00303BA4" w:rsidRPr="00490C5A" w:rsidRDefault="00303BA4" w:rsidP="00303BA4">
            <w:pPr>
              <w:spacing w:before="80" w:after="80"/>
              <w:jc w:val="center"/>
              <w:rPr>
                <w:rFonts w:ascii="Arial" w:hAnsi="Arial" w:cs="Arial"/>
                <w:b/>
                <w:bCs/>
                <w:sz w:val="22"/>
                <w:szCs w:val="22"/>
              </w:rPr>
            </w:pPr>
            <w:r w:rsidRPr="00490C5A">
              <w:rPr>
                <w:rFonts w:ascii="Arial" w:hAnsi="Arial" w:cs="Arial"/>
                <w:b/>
                <w:bCs/>
                <w:sz w:val="22"/>
                <w:szCs w:val="22"/>
              </w:rPr>
              <w:t>2025</w:t>
            </w:r>
          </w:p>
        </w:tc>
        <w:tc>
          <w:tcPr>
            <w:tcW w:w="1363" w:type="dxa"/>
            <w:tcBorders>
              <w:bottom w:val="single" w:sz="8" w:space="0" w:color="auto"/>
            </w:tcBorders>
            <w:vAlign w:val="bottom"/>
          </w:tcPr>
          <w:p w14:paraId="7B40BA2E" w14:textId="52288071"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$ 18,289 </w:t>
            </w:r>
          </w:p>
        </w:tc>
        <w:tc>
          <w:tcPr>
            <w:tcW w:w="1517" w:type="dxa"/>
            <w:tcBorders>
              <w:bottom w:val="single" w:sz="8" w:space="0" w:color="auto"/>
            </w:tcBorders>
            <w:vAlign w:val="bottom"/>
          </w:tcPr>
          <w:p w14:paraId="3EB769CF" w14:textId="3AAB31C3" w:rsidR="00303BA4" w:rsidRPr="00303BA4" w:rsidRDefault="00303BA4" w:rsidP="00303BA4">
            <w:pPr>
              <w:spacing w:before="80" w:after="80"/>
              <w:jc w:val="center"/>
              <w:rPr>
                <w:rFonts w:asciiTheme="minorBidi" w:hAnsiTheme="minorBidi" w:cstheme="minorBidi"/>
                <w:sz w:val="22"/>
                <w:szCs w:val="22"/>
              </w:rPr>
            </w:pPr>
            <w:r w:rsidRPr="00303BA4">
              <w:rPr>
                <w:rFonts w:asciiTheme="minorBidi" w:hAnsiTheme="minorBidi" w:cstheme="minorBidi"/>
                <w:color w:val="000000"/>
                <w:sz w:val="22"/>
                <w:szCs w:val="22"/>
              </w:rPr>
              <w:t xml:space="preserve"> $ 8,220 </w:t>
            </w:r>
          </w:p>
        </w:tc>
        <w:tc>
          <w:tcPr>
            <w:tcW w:w="1440" w:type="dxa"/>
            <w:tcBorders>
              <w:bottom w:val="single" w:sz="8" w:space="0" w:color="auto"/>
            </w:tcBorders>
            <w:vAlign w:val="center"/>
            <w:hideMark/>
          </w:tcPr>
          <w:p w14:paraId="78BF8056" w14:textId="21FB0B02" w:rsidR="00303BA4" w:rsidRPr="00490C5A" w:rsidRDefault="00303BA4" w:rsidP="00303BA4">
            <w:pPr>
              <w:spacing w:before="80" w:after="80"/>
              <w:jc w:val="center"/>
              <w:rPr>
                <w:rFonts w:ascii="Arial" w:hAnsi="Arial" w:cs="Arial"/>
                <w:sz w:val="22"/>
                <w:szCs w:val="22"/>
              </w:rPr>
            </w:pPr>
            <w:r>
              <w:rPr>
                <w:rFonts w:ascii="Arial" w:hAnsi="Arial" w:cs="Arial"/>
                <w:sz w:val="22"/>
                <w:szCs w:val="22"/>
              </w:rPr>
              <w:t>$ 6,969</w:t>
            </w:r>
          </w:p>
        </w:tc>
        <w:tc>
          <w:tcPr>
            <w:tcW w:w="1440" w:type="dxa"/>
            <w:tcBorders>
              <w:bottom w:val="single" w:sz="8" w:space="0" w:color="auto"/>
            </w:tcBorders>
            <w:vAlign w:val="center"/>
            <w:hideMark/>
          </w:tcPr>
          <w:p w14:paraId="65AB6517" w14:textId="5D2F41BC" w:rsidR="00303BA4" w:rsidRPr="00490C5A" w:rsidRDefault="00303BA4" w:rsidP="00303BA4">
            <w:pPr>
              <w:spacing w:before="80" w:after="80"/>
              <w:jc w:val="center"/>
              <w:rPr>
                <w:rFonts w:ascii="Arial" w:hAnsi="Arial" w:cs="Arial"/>
                <w:sz w:val="22"/>
                <w:szCs w:val="22"/>
              </w:rPr>
            </w:pPr>
            <w:r>
              <w:rPr>
                <w:rFonts w:ascii="Arial" w:hAnsi="Arial" w:cs="Arial"/>
                <w:sz w:val="22"/>
                <w:szCs w:val="22"/>
              </w:rPr>
              <w:t>$ 3,100</w:t>
            </w:r>
          </w:p>
        </w:tc>
        <w:tc>
          <w:tcPr>
            <w:tcW w:w="1440" w:type="dxa"/>
            <w:tcBorders>
              <w:bottom w:val="single" w:sz="8" w:space="0" w:color="auto"/>
            </w:tcBorders>
            <w:vAlign w:val="center"/>
            <w:hideMark/>
          </w:tcPr>
          <w:p w14:paraId="7B521B50" w14:textId="08B5CB3D" w:rsidR="00303BA4" w:rsidRPr="00490C5A" w:rsidRDefault="00303BA4" w:rsidP="00303BA4">
            <w:pPr>
              <w:spacing w:before="80" w:after="80"/>
              <w:jc w:val="center"/>
              <w:rPr>
                <w:rFonts w:ascii="Arial" w:hAnsi="Arial" w:cs="Arial"/>
                <w:sz w:val="22"/>
                <w:szCs w:val="22"/>
              </w:rPr>
            </w:pPr>
            <w:r>
              <w:rPr>
                <w:rFonts w:ascii="Arial" w:hAnsi="Arial" w:cs="Arial"/>
                <w:sz w:val="22"/>
                <w:szCs w:val="22"/>
              </w:rPr>
              <w:t>$ 10,069</w:t>
            </w:r>
          </w:p>
        </w:tc>
      </w:tr>
      <w:tr w:rsidR="00303BA4" w:rsidRPr="00490C5A" w14:paraId="7E1D3738" w14:textId="77777777" w:rsidTr="00906326">
        <w:trPr>
          <w:jc w:val="center"/>
        </w:trPr>
        <w:tc>
          <w:tcPr>
            <w:tcW w:w="1152" w:type="dxa"/>
            <w:tcBorders>
              <w:top w:val="single" w:sz="8" w:space="0" w:color="auto"/>
            </w:tcBorders>
            <w:shd w:val="clear" w:color="auto" w:fill="D9D9D9" w:themeFill="background1" w:themeFillShade="D9"/>
            <w:vAlign w:val="center"/>
            <w:hideMark/>
          </w:tcPr>
          <w:p w14:paraId="3E028B2E" w14:textId="77777777" w:rsidR="00303BA4" w:rsidRPr="00490C5A" w:rsidRDefault="00303BA4" w:rsidP="00303BA4">
            <w:pPr>
              <w:spacing w:before="80" w:after="80"/>
              <w:jc w:val="center"/>
              <w:rPr>
                <w:rFonts w:ascii="Arial" w:hAnsi="Arial" w:cs="Arial"/>
                <w:sz w:val="22"/>
                <w:szCs w:val="22"/>
              </w:rPr>
            </w:pPr>
            <w:r w:rsidRPr="00490C5A">
              <w:rPr>
                <w:rFonts w:ascii="Arial" w:hAnsi="Arial" w:cs="Arial"/>
                <w:b/>
                <w:bCs/>
                <w:sz w:val="22"/>
                <w:szCs w:val="22"/>
              </w:rPr>
              <w:t>Total</w:t>
            </w:r>
          </w:p>
        </w:tc>
        <w:tc>
          <w:tcPr>
            <w:tcW w:w="1363" w:type="dxa"/>
            <w:tcBorders>
              <w:top w:val="single" w:sz="8" w:space="0" w:color="auto"/>
            </w:tcBorders>
            <w:vAlign w:val="bottom"/>
          </w:tcPr>
          <w:p w14:paraId="392C6EED" w14:textId="1302B7A7" w:rsidR="00303BA4" w:rsidRPr="00303BA4" w:rsidRDefault="00303BA4" w:rsidP="00303BA4">
            <w:pPr>
              <w:spacing w:before="80" w:after="80"/>
              <w:jc w:val="center"/>
              <w:rPr>
                <w:rFonts w:asciiTheme="minorBidi" w:hAnsiTheme="minorBidi" w:cstheme="minorBidi"/>
                <w:b/>
                <w:bCs/>
                <w:sz w:val="22"/>
                <w:szCs w:val="22"/>
              </w:rPr>
            </w:pPr>
            <w:r w:rsidRPr="00303BA4">
              <w:rPr>
                <w:rFonts w:asciiTheme="minorBidi" w:hAnsiTheme="minorBidi" w:cstheme="minorBidi"/>
                <w:b/>
                <w:bCs/>
                <w:color w:val="000000"/>
                <w:sz w:val="22"/>
                <w:szCs w:val="22"/>
              </w:rPr>
              <w:t xml:space="preserve"> $ 90,542 </w:t>
            </w:r>
          </w:p>
        </w:tc>
        <w:tc>
          <w:tcPr>
            <w:tcW w:w="1517" w:type="dxa"/>
            <w:tcBorders>
              <w:top w:val="single" w:sz="8" w:space="0" w:color="auto"/>
            </w:tcBorders>
            <w:vAlign w:val="bottom"/>
          </w:tcPr>
          <w:p w14:paraId="787F7DBE" w14:textId="014DD0F9" w:rsidR="00303BA4" w:rsidRPr="00303BA4" w:rsidRDefault="00303BA4" w:rsidP="00303BA4">
            <w:pPr>
              <w:spacing w:before="80" w:after="80"/>
              <w:jc w:val="center"/>
              <w:rPr>
                <w:rFonts w:asciiTheme="minorBidi" w:hAnsiTheme="minorBidi" w:cstheme="minorBidi"/>
                <w:b/>
                <w:bCs/>
                <w:sz w:val="22"/>
                <w:szCs w:val="22"/>
              </w:rPr>
            </w:pPr>
            <w:r w:rsidRPr="00303BA4">
              <w:rPr>
                <w:rFonts w:asciiTheme="minorBidi" w:hAnsiTheme="minorBidi" w:cstheme="minorBidi"/>
                <w:b/>
                <w:bCs/>
                <w:color w:val="000000"/>
                <w:sz w:val="22"/>
                <w:szCs w:val="22"/>
              </w:rPr>
              <w:t xml:space="preserve"> $ 67,420 </w:t>
            </w:r>
          </w:p>
        </w:tc>
        <w:tc>
          <w:tcPr>
            <w:tcW w:w="1440" w:type="dxa"/>
            <w:tcBorders>
              <w:top w:val="single" w:sz="8" w:space="0" w:color="auto"/>
            </w:tcBorders>
            <w:vAlign w:val="bottom"/>
            <w:hideMark/>
          </w:tcPr>
          <w:p w14:paraId="02A22F18" w14:textId="537837AB" w:rsidR="00303BA4" w:rsidRPr="00490C5A" w:rsidRDefault="00303BA4" w:rsidP="00303BA4">
            <w:pPr>
              <w:spacing w:before="80" w:after="80"/>
              <w:jc w:val="center"/>
              <w:rPr>
                <w:rFonts w:asciiTheme="minorBidi" w:hAnsiTheme="minorBidi" w:cstheme="minorBidi"/>
                <w:b/>
                <w:bCs/>
                <w:sz w:val="22"/>
                <w:szCs w:val="22"/>
              </w:rPr>
            </w:pPr>
            <w:r w:rsidRPr="00303BA4">
              <w:rPr>
                <w:rFonts w:asciiTheme="minorBidi" w:hAnsiTheme="minorBidi" w:cstheme="minorBidi"/>
                <w:b/>
                <w:bCs/>
                <w:color w:val="000000"/>
                <w:sz w:val="22"/>
                <w:szCs w:val="22"/>
              </w:rPr>
              <w:t xml:space="preserve"> $ 7,972 </w:t>
            </w:r>
          </w:p>
        </w:tc>
        <w:tc>
          <w:tcPr>
            <w:tcW w:w="1440" w:type="dxa"/>
            <w:tcBorders>
              <w:top w:val="single" w:sz="8" w:space="0" w:color="auto"/>
            </w:tcBorders>
            <w:vAlign w:val="bottom"/>
            <w:hideMark/>
          </w:tcPr>
          <w:p w14:paraId="22F554DB" w14:textId="33EC5BED" w:rsidR="00303BA4" w:rsidRPr="00490C5A" w:rsidRDefault="00303BA4" w:rsidP="00303BA4">
            <w:pPr>
              <w:spacing w:before="80" w:after="80"/>
              <w:jc w:val="center"/>
              <w:rPr>
                <w:rFonts w:asciiTheme="minorBidi" w:hAnsiTheme="minorBidi" w:cstheme="minorBidi"/>
                <w:b/>
                <w:bCs/>
                <w:sz w:val="22"/>
                <w:szCs w:val="22"/>
              </w:rPr>
            </w:pPr>
            <w:r w:rsidRPr="00303BA4">
              <w:rPr>
                <w:rFonts w:asciiTheme="minorBidi" w:hAnsiTheme="minorBidi" w:cstheme="minorBidi"/>
                <w:b/>
                <w:bCs/>
                <w:color w:val="000000"/>
                <w:sz w:val="22"/>
                <w:szCs w:val="22"/>
              </w:rPr>
              <w:t xml:space="preserve"> $ 15,150 </w:t>
            </w:r>
          </w:p>
        </w:tc>
        <w:tc>
          <w:tcPr>
            <w:tcW w:w="1440" w:type="dxa"/>
            <w:tcBorders>
              <w:top w:val="single" w:sz="8" w:space="0" w:color="auto"/>
            </w:tcBorders>
            <w:vAlign w:val="bottom"/>
            <w:hideMark/>
          </w:tcPr>
          <w:p w14:paraId="38C524B0" w14:textId="0A63DCD8" w:rsidR="00303BA4" w:rsidRPr="00490C5A" w:rsidRDefault="00303BA4" w:rsidP="00303BA4">
            <w:pPr>
              <w:spacing w:before="80" w:after="80"/>
              <w:jc w:val="center"/>
              <w:rPr>
                <w:rFonts w:asciiTheme="minorBidi" w:hAnsiTheme="minorBidi" w:cstheme="minorBidi"/>
                <w:b/>
                <w:bCs/>
                <w:sz w:val="22"/>
                <w:szCs w:val="22"/>
              </w:rPr>
            </w:pPr>
            <w:r w:rsidRPr="00303BA4">
              <w:rPr>
                <w:rFonts w:asciiTheme="minorBidi" w:hAnsiTheme="minorBidi" w:cstheme="minorBidi"/>
                <w:b/>
                <w:bCs/>
                <w:color w:val="000000"/>
                <w:sz w:val="22"/>
                <w:szCs w:val="22"/>
              </w:rPr>
              <w:t xml:space="preserve"> $ 23,122 </w:t>
            </w:r>
          </w:p>
        </w:tc>
      </w:tr>
    </w:tbl>
    <w:p w14:paraId="317FBB61" w14:textId="311E4DF5" w:rsidR="003D3325" w:rsidRPr="003D3325" w:rsidRDefault="003D3325" w:rsidP="003D3325">
      <w:pPr>
        <w:spacing w:before="80"/>
        <w:jc w:val="center"/>
        <w:rPr>
          <w:rFonts w:ascii="Arial" w:hAnsi="Arial" w:cs="Arial"/>
          <w:b/>
          <w:bCs/>
          <w:sz w:val="18"/>
          <w:szCs w:val="18"/>
        </w:rPr>
      </w:pPr>
      <w:r w:rsidRPr="003D3325">
        <w:rPr>
          <w:rFonts w:ascii="Arial" w:hAnsi="Arial" w:cs="Arial"/>
          <w:b/>
          <w:bCs/>
          <w:sz w:val="18"/>
          <w:szCs w:val="18"/>
        </w:rPr>
        <w:t xml:space="preserve">Table 4 </w:t>
      </w:r>
      <w:r w:rsidR="00303BA4">
        <w:rPr>
          <w:rFonts w:ascii="Arial" w:hAnsi="Arial" w:cs="Arial"/>
          <w:b/>
          <w:bCs/>
          <w:sz w:val="18"/>
          <w:szCs w:val="18"/>
        </w:rPr>
        <w:t xml:space="preserve">- </w:t>
      </w:r>
      <w:r w:rsidRPr="003D3325">
        <w:rPr>
          <w:rFonts w:ascii="Arial" w:hAnsi="Arial" w:cs="Arial"/>
          <w:b/>
          <w:bCs/>
          <w:sz w:val="18"/>
          <w:szCs w:val="18"/>
        </w:rPr>
        <w:t>Estimated Loss Reserves</w:t>
      </w:r>
    </w:p>
    <w:p w14:paraId="6A2EB188" w14:textId="77777777" w:rsidR="003D3325" w:rsidRDefault="003D3325" w:rsidP="003D3325">
      <w:pPr>
        <w:spacing w:before="80"/>
        <w:jc w:val="both"/>
        <w:rPr>
          <w:rFonts w:ascii="Arial" w:hAnsi="Arial" w:cs="Arial"/>
          <w:sz w:val="22"/>
          <w:szCs w:val="22"/>
        </w:rPr>
      </w:pPr>
    </w:p>
    <w:p w14:paraId="3EF1081B" w14:textId="5C5C3BA4" w:rsidR="00490C5A" w:rsidRDefault="00490C5A" w:rsidP="003D3325">
      <w:pPr>
        <w:spacing w:before="80"/>
        <w:jc w:val="both"/>
        <w:rPr>
          <w:rFonts w:ascii="Arial" w:hAnsi="Arial" w:cs="Arial"/>
          <w:sz w:val="22"/>
          <w:szCs w:val="22"/>
        </w:rPr>
      </w:pPr>
      <w:r w:rsidRPr="00490C5A">
        <w:rPr>
          <w:rFonts w:ascii="Arial" w:hAnsi="Arial" w:cs="Arial"/>
          <w:sz w:val="22"/>
          <w:szCs w:val="22"/>
        </w:rPr>
        <w:t xml:space="preserve">Thus, the total </w:t>
      </w:r>
      <w:r w:rsidR="00D83877">
        <w:rPr>
          <w:rFonts w:ascii="Arial" w:hAnsi="Arial" w:cs="Arial"/>
          <w:sz w:val="22"/>
          <w:szCs w:val="22"/>
        </w:rPr>
        <w:t>required</w:t>
      </w:r>
      <w:r w:rsidRPr="00490C5A">
        <w:rPr>
          <w:rFonts w:ascii="Arial" w:hAnsi="Arial" w:cs="Arial"/>
          <w:sz w:val="22"/>
          <w:szCs w:val="22"/>
        </w:rPr>
        <w:t xml:space="preserve"> reserve for the portfolio is</w:t>
      </w:r>
      <w:r w:rsidR="003D3325" w:rsidRPr="003D3325">
        <w:rPr>
          <w:rFonts w:ascii="Arial" w:hAnsi="Arial" w:cs="Arial"/>
          <w:sz w:val="22"/>
          <w:szCs w:val="22"/>
        </w:rPr>
        <w:t xml:space="preserve"> of </w:t>
      </w:r>
      <w:r w:rsidRPr="00490C5A">
        <w:rPr>
          <w:rFonts w:ascii="Arial" w:hAnsi="Arial" w:cs="Arial"/>
          <w:sz w:val="22"/>
          <w:szCs w:val="22"/>
        </w:rPr>
        <w:t>$2</w:t>
      </w:r>
      <w:r w:rsidR="007E79C0">
        <w:rPr>
          <w:rFonts w:ascii="Arial" w:hAnsi="Arial" w:cs="Arial"/>
          <w:sz w:val="22"/>
          <w:szCs w:val="22"/>
        </w:rPr>
        <w:t>3</w:t>
      </w:r>
      <w:r w:rsidRPr="00490C5A">
        <w:rPr>
          <w:rFonts w:ascii="Arial" w:hAnsi="Arial" w:cs="Arial"/>
          <w:sz w:val="22"/>
          <w:szCs w:val="22"/>
        </w:rPr>
        <w:t>,</w:t>
      </w:r>
      <w:r w:rsidR="007E79C0">
        <w:rPr>
          <w:rFonts w:ascii="Arial" w:hAnsi="Arial" w:cs="Arial"/>
          <w:sz w:val="22"/>
          <w:szCs w:val="22"/>
        </w:rPr>
        <w:t>122</w:t>
      </w:r>
      <w:r w:rsidRPr="00490C5A">
        <w:rPr>
          <w:rFonts w:ascii="Arial" w:hAnsi="Arial" w:cs="Arial"/>
          <w:sz w:val="22"/>
          <w:szCs w:val="22"/>
        </w:rPr>
        <w:t>,</w:t>
      </w:r>
      <w:r w:rsidR="003D3325" w:rsidRPr="003D3325">
        <w:rPr>
          <w:rFonts w:ascii="Arial" w:hAnsi="Arial" w:cs="Arial"/>
          <w:sz w:val="22"/>
          <w:szCs w:val="22"/>
        </w:rPr>
        <w:t xml:space="preserve"> </w:t>
      </w:r>
      <w:r w:rsidR="00D83877">
        <w:rPr>
          <w:rFonts w:ascii="Arial" w:hAnsi="Arial" w:cs="Arial"/>
          <w:sz w:val="22"/>
          <w:szCs w:val="22"/>
        </w:rPr>
        <w:t>consisting</w:t>
      </w:r>
      <w:r w:rsidRPr="00490C5A">
        <w:rPr>
          <w:rFonts w:ascii="Arial" w:hAnsi="Arial" w:cs="Arial"/>
          <w:sz w:val="22"/>
          <w:szCs w:val="22"/>
        </w:rPr>
        <w:t xml:space="preserve"> of $</w:t>
      </w:r>
      <w:r w:rsidR="007E79C0">
        <w:rPr>
          <w:rFonts w:ascii="Arial" w:hAnsi="Arial" w:cs="Arial"/>
          <w:sz w:val="22"/>
          <w:szCs w:val="22"/>
        </w:rPr>
        <w:t>7</w:t>
      </w:r>
      <w:r w:rsidRPr="00490C5A">
        <w:rPr>
          <w:rFonts w:ascii="Arial" w:hAnsi="Arial" w:cs="Arial"/>
          <w:sz w:val="22"/>
          <w:szCs w:val="22"/>
        </w:rPr>
        <w:t>,</w:t>
      </w:r>
      <w:r w:rsidR="007E79C0">
        <w:rPr>
          <w:rFonts w:ascii="Arial" w:hAnsi="Arial" w:cs="Arial"/>
          <w:sz w:val="22"/>
          <w:szCs w:val="22"/>
        </w:rPr>
        <w:t>972</w:t>
      </w:r>
      <w:r w:rsidRPr="00490C5A">
        <w:rPr>
          <w:rFonts w:ascii="Arial" w:hAnsi="Arial" w:cs="Arial"/>
          <w:sz w:val="22"/>
          <w:szCs w:val="22"/>
        </w:rPr>
        <w:t xml:space="preserve"> in IBNR and $1</w:t>
      </w:r>
      <w:r w:rsidR="007E79C0">
        <w:rPr>
          <w:rFonts w:ascii="Arial" w:hAnsi="Arial" w:cs="Arial"/>
          <w:sz w:val="22"/>
          <w:szCs w:val="22"/>
        </w:rPr>
        <w:t>5,150</w:t>
      </w:r>
      <w:r w:rsidRPr="00490C5A">
        <w:rPr>
          <w:rFonts w:ascii="Arial" w:hAnsi="Arial" w:cs="Arial"/>
          <w:sz w:val="22"/>
          <w:szCs w:val="22"/>
        </w:rPr>
        <w:t xml:space="preserve"> in case reserves.</w:t>
      </w:r>
    </w:p>
    <w:p w14:paraId="4F095EFA" w14:textId="77777777" w:rsidR="003D3325" w:rsidRDefault="003D3325" w:rsidP="00437479">
      <w:pPr>
        <w:jc w:val="both"/>
        <w:rPr>
          <w:rFonts w:ascii="Arial" w:hAnsi="Arial" w:cs="Arial"/>
          <w:b/>
          <w:bCs/>
          <w:sz w:val="22"/>
          <w:szCs w:val="22"/>
        </w:rPr>
      </w:pPr>
    </w:p>
    <w:p w14:paraId="48150EFC" w14:textId="1C5DA180" w:rsidR="00490C5A" w:rsidRPr="00490C5A" w:rsidRDefault="00490C5A" w:rsidP="00437479">
      <w:pPr>
        <w:spacing w:before="120"/>
        <w:jc w:val="both"/>
        <w:rPr>
          <w:rFonts w:ascii="Arial" w:hAnsi="Arial" w:cs="Arial"/>
          <w:b/>
          <w:bCs/>
          <w:sz w:val="22"/>
          <w:szCs w:val="22"/>
        </w:rPr>
      </w:pPr>
      <w:r w:rsidRPr="00490C5A">
        <w:rPr>
          <w:rFonts w:ascii="Arial" w:hAnsi="Arial" w:cs="Arial"/>
          <w:b/>
          <w:bCs/>
          <w:sz w:val="22"/>
          <w:szCs w:val="22"/>
        </w:rPr>
        <w:t>Consideration of the Medical Outlier</w:t>
      </w:r>
    </w:p>
    <w:p w14:paraId="6AECBF99" w14:textId="77777777" w:rsidR="00490C5A" w:rsidRPr="00490C5A" w:rsidRDefault="00490C5A" w:rsidP="00437479">
      <w:pPr>
        <w:spacing w:before="120"/>
        <w:jc w:val="both"/>
        <w:rPr>
          <w:rFonts w:ascii="Arial" w:hAnsi="Arial" w:cs="Arial"/>
          <w:sz w:val="22"/>
          <w:szCs w:val="22"/>
        </w:rPr>
      </w:pPr>
      <w:r w:rsidRPr="00490C5A">
        <w:rPr>
          <w:rFonts w:ascii="Arial" w:hAnsi="Arial" w:cs="Arial"/>
          <w:sz w:val="22"/>
          <w:szCs w:val="22"/>
        </w:rPr>
        <w:t>One high-severity medical claim remains outstanding and has materially influenced the development pattern, particularly in the later months of UWY 2024 and 2025. Although its impact is appropriately captured in the incurred development factors, its partially paid status introduces additional uncertainty.</w:t>
      </w:r>
    </w:p>
    <w:p w14:paraId="177F398F" w14:textId="28845866" w:rsidR="00490C5A" w:rsidRDefault="00490C5A" w:rsidP="00437479">
      <w:pPr>
        <w:spacing w:before="120"/>
        <w:jc w:val="both"/>
        <w:rPr>
          <w:rFonts w:ascii="Arial" w:hAnsi="Arial" w:cs="Arial"/>
          <w:sz w:val="22"/>
          <w:szCs w:val="22"/>
        </w:rPr>
      </w:pPr>
      <w:r w:rsidRPr="00490C5A">
        <w:rPr>
          <w:rFonts w:ascii="Arial" w:hAnsi="Arial" w:cs="Arial"/>
          <w:sz w:val="22"/>
          <w:szCs w:val="22"/>
        </w:rPr>
        <w:t>From a reserving and risk-management perspective, this claim should be monitored proactively, with periodic status updates, medical progress evaluations, and potential future cost assessments. Ensuring early recognition of any deterioration in this case will help maintain reserve adequacy and reduce the risk of sudden reserve strengthening in future reporting periods.</w:t>
      </w:r>
    </w:p>
    <w:p w14:paraId="794DABED" w14:textId="33C98BA0" w:rsidR="00303BA4" w:rsidRDefault="00303BA4" w:rsidP="00490C5A">
      <w:pPr>
        <w:spacing w:before="80"/>
        <w:jc w:val="both"/>
        <w:rPr>
          <w:rFonts w:ascii="Arial" w:hAnsi="Arial" w:cs="Arial"/>
          <w:sz w:val="22"/>
          <w:szCs w:val="22"/>
        </w:rPr>
      </w:pPr>
    </w:p>
    <w:p w14:paraId="55FE3B96" w14:textId="77777777" w:rsidR="00303BA4" w:rsidRPr="00490C5A" w:rsidRDefault="00303BA4" w:rsidP="00490C5A">
      <w:pPr>
        <w:spacing w:before="80"/>
        <w:jc w:val="both"/>
        <w:rPr>
          <w:rFonts w:ascii="Arial" w:hAnsi="Arial" w:cs="Arial"/>
          <w:sz w:val="22"/>
          <w:szCs w:val="22"/>
        </w:rPr>
      </w:pPr>
    </w:p>
    <w:p w14:paraId="1F03B622" w14:textId="46A47D1C" w:rsidR="007E79C0" w:rsidRDefault="00A02CEF" w:rsidP="007E79C0">
      <w:pPr>
        <w:spacing w:before="80"/>
        <w:jc w:val="both"/>
        <w:rPr>
          <w:rFonts w:ascii="Arial" w:hAnsi="Arial" w:cs="Arial"/>
          <w:b/>
          <w:bCs/>
          <w:sz w:val="22"/>
          <w:szCs w:val="22"/>
        </w:rPr>
      </w:pPr>
      <w:r>
        <w:rPr>
          <w:rFonts w:ascii="Arial" w:hAnsi="Arial" w:cs="Arial"/>
          <w:b/>
          <w:bCs/>
          <w:sz w:val="22"/>
          <w:szCs w:val="22"/>
        </w:rPr>
        <w:t>8</w:t>
      </w:r>
      <w:r w:rsidR="007E79C0" w:rsidRPr="007E79C0">
        <w:rPr>
          <w:rFonts w:ascii="Arial" w:hAnsi="Arial" w:cs="Arial"/>
          <w:b/>
          <w:bCs/>
          <w:sz w:val="22"/>
          <w:szCs w:val="22"/>
        </w:rPr>
        <w:t>. Analysis and Interpretation of Results</w:t>
      </w:r>
    </w:p>
    <w:p w14:paraId="5CD8015E" w14:textId="77777777" w:rsidR="00824B25" w:rsidRPr="007E79C0" w:rsidRDefault="00824B25" w:rsidP="007E79C0">
      <w:pPr>
        <w:spacing w:before="80"/>
        <w:jc w:val="both"/>
        <w:rPr>
          <w:rFonts w:ascii="Arial" w:hAnsi="Arial" w:cs="Arial"/>
          <w:b/>
          <w:bCs/>
          <w:sz w:val="22"/>
          <w:szCs w:val="22"/>
        </w:rPr>
      </w:pPr>
    </w:p>
    <w:p w14:paraId="152F4505" w14:textId="4D12A359" w:rsidR="00824B25" w:rsidRPr="007E79C0" w:rsidRDefault="00A02CEF" w:rsidP="00437479">
      <w:pPr>
        <w:spacing w:before="80"/>
        <w:jc w:val="both"/>
        <w:rPr>
          <w:rFonts w:ascii="Arial" w:hAnsi="Arial" w:cs="Arial"/>
          <w:b/>
          <w:bCs/>
          <w:sz w:val="22"/>
          <w:szCs w:val="22"/>
        </w:rPr>
      </w:pPr>
      <w:r>
        <w:rPr>
          <w:rFonts w:ascii="Arial" w:hAnsi="Arial" w:cs="Arial"/>
          <w:b/>
          <w:bCs/>
          <w:sz w:val="22"/>
          <w:szCs w:val="22"/>
        </w:rPr>
        <w:t>8</w:t>
      </w:r>
      <w:r w:rsidR="007E79C0" w:rsidRPr="007E79C0">
        <w:rPr>
          <w:rFonts w:ascii="Arial" w:hAnsi="Arial" w:cs="Arial"/>
          <w:b/>
          <w:bCs/>
          <w:sz w:val="22"/>
          <w:szCs w:val="22"/>
        </w:rPr>
        <w:t>.1 Overall Interpretation</w:t>
      </w:r>
    </w:p>
    <w:p w14:paraId="3C01F7B3" w14:textId="199D325B" w:rsidR="00437479" w:rsidRPr="00437479" w:rsidRDefault="00437479" w:rsidP="00EC09A1">
      <w:pPr>
        <w:spacing w:before="120"/>
        <w:jc w:val="both"/>
        <w:rPr>
          <w:rFonts w:ascii="Arial" w:hAnsi="Arial" w:cs="Arial"/>
          <w:sz w:val="22"/>
          <w:szCs w:val="22"/>
        </w:rPr>
      </w:pPr>
      <w:r w:rsidRPr="00437479">
        <w:rPr>
          <w:rFonts w:ascii="Arial" w:hAnsi="Arial" w:cs="Arial"/>
          <w:sz w:val="22"/>
          <w:szCs w:val="22"/>
        </w:rPr>
        <w:t xml:space="preserve">When we brought together the results from the reserving and pricing analyses, a clearer picture of the portfolio’s recent behavior started to emerge. The mature underwriting years show predictable development patterns and stable incurred losses. Their claim activity settles in a way that aligns well with </w:t>
      </w:r>
      <w:r w:rsidR="00EC09A1" w:rsidRPr="00437479">
        <w:rPr>
          <w:rFonts w:ascii="Arial" w:hAnsi="Arial" w:cs="Arial"/>
          <w:sz w:val="22"/>
          <w:szCs w:val="22"/>
        </w:rPr>
        <w:t>short</w:t>
      </w:r>
      <w:r w:rsidR="00EC09A1">
        <w:rPr>
          <w:rFonts w:ascii="Arial" w:hAnsi="Arial" w:cs="Arial"/>
          <w:sz w:val="22"/>
          <w:szCs w:val="22"/>
        </w:rPr>
        <w:t>, tailed</w:t>
      </w:r>
      <w:r w:rsidRPr="00437479">
        <w:rPr>
          <w:rFonts w:ascii="Arial" w:hAnsi="Arial" w:cs="Arial"/>
          <w:sz w:val="22"/>
          <w:szCs w:val="22"/>
        </w:rPr>
        <w:t xml:space="preserve"> business, which increases our confidence in the development factors derived from those periods.</w:t>
      </w:r>
    </w:p>
    <w:p w14:paraId="54907C28" w14:textId="77777777" w:rsidR="00EC09A1" w:rsidRDefault="00EC09A1" w:rsidP="00EC09A1">
      <w:pPr>
        <w:jc w:val="both"/>
        <w:rPr>
          <w:rFonts w:ascii="Arial" w:hAnsi="Arial" w:cs="Arial"/>
          <w:sz w:val="22"/>
          <w:szCs w:val="22"/>
        </w:rPr>
      </w:pPr>
    </w:p>
    <w:p w14:paraId="32885822" w14:textId="28FF12CE" w:rsidR="00437479" w:rsidRDefault="00437479" w:rsidP="00EC09A1">
      <w:pPr>
        <w:spacing w:before="120"/>
        <w:jc w:val="both"/>
        <w:rPr>
          <w:rFonts w:ascii="Arial" w:hAnsi="Arial" w:cs="Arial"/>
          <w:sz w:val="22"/>
          <w:szCs w:val="22"/>
        </w:rPr>
      </w:pPr>
      <w:r w:rsidRPr="00437479">
        <w:rPr>
          <w:rFonts w:ascii="Arial" w:hAnsi="Arial" w:cs="Arial"/>
          <w:sz w:val="22"/>
          <w:szCs w:val="22"/>
        </w:rPr>
        <w:t>The more recent underwriting years behave differently. In both 2024 and 2025, losses emerged faster and with noticeably more variation. Part of this comes from the presence of higher</w:t>
      </w:r>
      <w:r w:rsidR="00EC09A1">
        <w:rPr>
          <w:rFonts w:ascii="Arial" w:hAnsi="Arial" w:cs="Arial"/>
          <w:sz w:val="22"/>
          <w:szCs w:val="22"/>
        </w:rPr>
        <w:t xml:space="preserve"> </w:t>
      </w:r>
      <w:r w:rsidRPr="00437479">
        <w:rPr>
          <w:rFonts w:ascii="Arial" w:hAnsi="Arial" w:cs="Arial"/>
          <w:sz w:val="22"/>
          <w:szCs w:val="22"/>
        </w:rPr>
        <w:t>severity claims, including the large medical case that remains open. Another factor is the small size of the portfolio: with exposures ranging from 8 to 16 ERP units, even one or two sizeable claims can materially shift the results.</w:t>
      </w:r>
    </w:p>
    <w:p w14:paraId="53683204" w14:textId="77777777" w:rsidR="00EC09A1" w:rsidRPr="00437479" w:rsidRDefault="00EC09A1" w:rsidP="00EC09A1">
      <w:pPr>
        <w:jc w:val="both"/>
        <w:rPr>
          <w:rFonts w:ascii="Arial" w:hAnsi="Arial" w:cs="Arial"/>
          <w:sz w:val="22"/>
          <w:szCs w:val="22"/>
        </w:rPr>
      </w:pPr>
    </w:p>
    <w:p w14:paraId="33A9DC7B" w14:textId="77777777" w:rsidR="00437479" w:rsidRPr="00437479" w:rsidRDefault="00437479" w:rsidP="00EC09A1">
      <w:pPr>
        <w:spacing w:before="120"/>
        <w:jc w:val="both"/>
        <w:rPr>
          <w:rFonts w:ascii="Arial" w:hAnsi="Arial" w:cs="Arial"/>
          <w:sz w:val="22"/>
          <w:szCs w:val="22"/>
        </w:rPr>
      </w:pPr>
      <w:r w:rsidRPr="00437479">
        <w:rPr>
          <w:rFonts w:ascii="Arial" w:hAnsi="Arial" w:cs="Arial"/>
          <w:sz w:val="22"/>
          <w:szCs w:val="22"/>
        </w:rPr>
        <w:lastRenderedPageBreak/>
        <w:t>Because of this, the uncertainty surrounding the recent years should not be interpreted as a structural change in risk without further evidence. Instead, it reflects the natural volatility that comes with limited data and the fact that 2024 and 2025 have not yet fully matured.</w:t>
      </w:r>
    </w:p>
    <w:p w14:paraId="2CD60BAD" w14:textId="77777777" w:rsidR="00EC09A1" w:rsidRDefault="00EC09A1" w:rsidP="00EC09A1">
      <w:pPr>
        <w:jc w:val="both"/>
        <w:rPr>
          <w:rFonts w:ascii="Arial" w:hAnsi="Arial" w:cs="Arial"/>
          <w:sz w:val="22"/>
          <w:szCs w:val="22"/>
        </w:rPr>
      </w:pPr>
    </w:p>
    <w:p w14:paraId="167C2324" w14:textId="6D27D9A9" w:rsidR="00437479" w:rsidRDefault="00437479" w:rsidP="00EC09A1">
      <w:pPr>
        <w:spacing w:before="120"/>
        <w:jc w:val="both"/>
        <w:rPr>
          <w:rFonts w:ascii="Arial" w:hAnsi="Arial" w:cs="Arial"/>
          <w:sz w:val="22"/>
          <w:szCs w:val="22"/>
        </w:rPr>
      </w:pPr>
      <w:r w:rsidRPr="00437479">
        <w:rPr>
          <w:rFonts w:ascii="Arial" w:hAnsi="Arial" w:cs="Arial"/>
          <w:sz w:val="22"/>
          <w:szCs w:val="22"/>
        </w:rPr>
        <w:t>From a reserving perspective, the total requirement of $23,122 reflects the combination of stability in older years and the heightened uncertainty in the most recent ones. The distribution of reserve amounts</w:t>
      </w:r>
      <w:r w:rsidR="00EC09A1">
        <w:rPr>
          <w:rFonts w:ascii="Arial" w:hAnsi="Arial" w:cs="Arial"/>
          <w:sz w:val="22"/>
          <w:szCs w:val="22"/>
        </w:rPr>
        <w:t xml:space="preserve"> </w:t>
      </w:r>
      <w:r w:rsidRPr="00437479">
        <w:rPr>
          <w:rFonts w:ascii="Arial" w:hAnsi="Arial" w:cs="Arial"/>
          <w:sz w:val="22"/>
          <w:szCs w:val="22"/>
        </w:rPr>
        <w:t>minimal in the early years and concentrated in 2024</w:t>
      </w:r>
      <w:r w:rsidR="00EC09A1">
        <w:rPr>
          <w:rFonts w:ascii="Arial" w:hAnsi="Arial" w:cs="Arial"/>
          <w:sz w:val="22"/>
          <w:szCs w:val="22"/>
        </w:rPr>
        <w:t xml:space="preserve"> and </w:t>
      </w:r>
      <w:r w:rsidRPr="00437479">
        <w:rPr>
          <w:rFonts w:ascii="Arial" w:hAnsi="Arial" w:cs="Arial"/>
          <w:sz w:val="22"/>
          <w:szCs w:val="22"/>
        </w:rPr>
        <w:t>2025</w:t>
      </w:r>
      <w:r w:rsidR="00EC09A1">
        <w:rPr>
          <w:rFonts w:ascii="Arial" w:hAnsi="Arial" w:cs="Arial"/>
          <w:sz w:val="22"/>
          <w:szCs w:val="22"/>
        </w:rPr>
        <w:t xml:space="preserve">, </w:t>
      </w:r>
      <w:r w:rsidRPr="00437479">
        <w:rPr>
          <w:rFonts w:ascii="Arial" w:hAnsi="Arial" w:cs="Arial"/>
          <w:sz w:val="22"/>
          <w:szCs w:val="22"/>
        </w:rPr>
        <w:t>is consistent with normal claim development and aligns with what we observed in the triangles.</w:t>
      </w:r>
    </w:p>
    <w:p w14:paraId="7497586A" w14:textId="77777777" w:rsidR="00EC09A1" w:rsidRPr="00437479" w:rsidRDefault="00EC09A1" w:rsidP="00EC09A1">
      <w:pPr>
        <w:jc w:val="both"/>
        <w:rPr>
          <w:rFonts w:ascii="Arial" w:hAnsi="Arial" w:cs="Arial"/>
          <w:sz w:val="22"/>
          <w:szCs w:val="22"/>
        </w:rPr>
      </w:pPr>
    </w:p>
    <w:p w14:paraId="335CE85B" w14:textId="77777777" w:rsidR="00437479" w:rsidRPr="00437479" w:rsidRDefault="00437479" w:rsidP="00EC09A1">
      <w:pPr>
        <w:spacing w:before="120"/>
        <w:jc w:val="both"/>
        <w:rPr>
          <w:rFonts w:ascii="Arial" w:hAnsi="Arial" w:cs="Arial"/>
          <w:sz w:val="22"/>
          <w:szCs w:val="22"/>
        </w:rPr>
      </w:pPr>
      <w:r w:rsidRPr="00437479">
        <w:rPr>
          <w:rFonts w:ascii="Arial" w:hAnsi="Arial" w:cs="Arial"/>
          <w:sz w:val="22"/>
          <w:szCs w:val="22"/>
        </w:rPr>
        <w:t>On the pricing side, both methods pointed to an indicated decrease of around 16%. While the math behind this result is sound, our team discussed whether it would be appropriate to act directly on such a strong indication. Because the 2025 underwriting year has very limited exposure and is still developing, its experience should not be given full weight. The contrast between the heavy losses in 2024 and the lighter results in early 2025 also shows how sensitive results are to timing and emergence. That sensitivity reduces the credibility of a single-year indication.</w:t>
      </w:r>
    </w:p>
    <w:p w14:paraId="26F19814" w14:textId="77777777" w:rsidR="00EC09A1" w:rsidRDefault="00EC09A1" w:rsidP="00EC09A1">
      <w:pPr>
        <w:jc w:val="both"/>
        <w:rPr>
          <w:rFonts w:ascii="Arial" w:hAnsi="Arial" w:cs="Arial"/>
          <w:sz w:val="22"/>
          <w:szCs w:val="22"/>
        </w:rPr>
      </w:pPr>
    </w:p>
    <w:p w14:paraId="256BF329" w14:textId="0629939D" w:rsidR="00132ED2" w:rsidRDefault="00437479" w:rsidP="00EC09A1">
      <w:pPr>
        <w:spacing w:before="120"/>
        <w:jc w:val="both"/>
        <w:rPr>
          <w:rFonts w:ascii="Arial" w:hAnsi="Arial" w:cs="Arial"/>
          <w:sz w:val="22"/>
          <w:szCs w:val="22"/>
        </w:rPr>
      </w:pPr>
      <w:r w:rsidRPr="00437479">
        <w:rPr>
          <w:rFonts w:ascii="Arial" w:hAnsi="Arial" w:cs="Arial"/>
          <w:sz w:val="22"/>
          <w:szCs w:val="22"/>
        </w:rPr>
        <w:t>Overall, while the portfolio remains operationally sound, the recent volatility suggests that future decisions</w:t>
      </w:r>
      <w:r w:rsidR="00EC09A1">
        <w:rPr>
          <w:rFonts w:ascii="Arial" w:hAnsi="Arial" w:cs="Arial"/>
          <w:sz w:val="22"/>
          <w:szCs w:val="22"/>
        </w:rPr>
        <w:t xml:space="preserve">, </w:t>
      </w:r>
      <w:r w:rsidRPr="00437479">
        <w:rPr>
          <w:rFonts w:ascii="Arial" w:hAnsi="Arial" w:cs="Arial"/>
          <w:sz w:val="22"/>
          <w:szCs w:val="22"/>
        </w:rPr>
        <w:t>whether related to pricing, monitoring, or reserving</w:t>
      </w:r>
      <w:r w:rsidR="00EC09A1">
        <w:rPr>
          <w:rFonts w:ascii="Arial" w:hAnsi="Arial" w:cs="Arial"/>
          <w:sz w:val="22"/>
          <w:szCs w:val="22"/>
        </w:rPr>
        <w:t xml:space="preserve">, </w:t>
      </w:r>
      <w:r w:rsidRPr="00437479">
        <w:rPr>
          <w:rFonts w:ascii="Arial" w:hAnsi="Arial" w:cs="Arial"/>
          <w:sz w:val="22"/>
          <w:szCs w:val="22"/>
        </w:rPr>
        <w:t>should be taken with some caution, particularly for segments with higher severity risk.</w:t>
      </w:r>
    </w:p>
    <w:p w14:paraId="064A05B9" w14:textId="77777777" w:rsidR="00824B25" w:rsidRDefault="00824B25" w:rsidP="000C1306">
      <w:pPr>
        <w:spacing w:before="80"/>
        <w:jc w:val="both"/>
        <w:rPr>
          <w:rFonts w:ascii="Arial" w:hAnsi="Arial" w:cs="Arial"/>
          <w:sz w:val="22"/>
          <w:szCs w:val="22"/>
        </w:rPr>
      </w:pPr>
    </w:p>
    <w:p w14:paraId="49541841" w14:textId="5F7D1FC3" w:rsidR="00824B25" w:rsidRPr="00824B25" w:rsidRDefault="00A02CEF" w:rsidP="00EC09A1">
      <w:pPr>
        <w:spacing w:before="120"/>
        <w:jc w:val="both"/>
        <w:rPr>
          <w:rFonts w:ascii="Arial" w:hAnsi="Arial" w:cs="Arial"/>
          <w:b/>
          <w:bCs/>
          <w:sz w:val="22"/>
          <w:szCs w:val="22"/>
        </w:rPr>
      </w:pPr>
      <w:r>
        <w:rPr>
          <w:rFonts w:ascii="Arial" w:hAnsi="Arial" w:cs="Arial"/>
          <w:b/>
          <w:bCs/>
          <w:sz w:val="22"/>
          <w:szCs w:val="22"/>
        </w:rPr>
        <w:t>8</w:t>
      </w:r>
      <w:r w:rsidR="00824B25" w:rsidRPr="00824B25">
        <w:rPr>
          <w:rFonts w:ascii="Arial" w:hAnsi="Arial" w:cs="Arial"/>
          <w:b/>
          <w:bCs/>
          <w:sz w:val="22"/>
          <w:szCs w:val="22"/>
        </w:rPr>
        <w:t>.2 Recommendations</w:t>
      </w:r>
    </w:p>
    <w:p w14:paraId="0CBDF456" w14:textId="6B02A4E7" w:rsidR="00824B25" w:rsidRPr="00824B25" w:rsidRDefault="00824B25" w:rsidP="00EC09A1">
      <w:pPr>
        <w:spacing w:before="120"/>
        <w:jc w:val="both"/>
        <w:rPr>
          <w:rFonts w:ascii="Arial" w:hAnsi="Arial" w:cs="Arial"/>
          <w:sz w:val="22"/>
          <w:szCs w:val="22"/>
        </w:rPr>
      </w:pPr>
      <w:r w:rsidRPr="00824B25">
        <w:rPr>
          <w:rFonts w:ascii="Arial" w:hAnsi="Arial" w:cs="Arial"/>
          <w:sz w:val="22"/>
          <w:szCs w:val="22"/>
        </w:rPr>
        <w:t xml:space="preserve">Based on the analysis, </w:t>
      </w:r>
      <w:r w:rsidR="00EC09A1">
        <w:rPr>
          <w:rFonts w:ascii="Arial" w:hAnsi="Arial" w:cs="Arial"/>
          <w:sz w:val="22"/>
          <w:szCs w:val="22"/>
        </w:rPr>
        <w:t>s</w:t>
      </w:r>
      <w:r w:rsidR="00EC09A1" w:rsidRPr="00EC09A1">
        <w:rPr>
          <w:rFonts w:ascii="Arial" w:hAnsi="Arial" w:cs="Arial"/>
          <w:sz w:val="22"/>
          <w:szCs w:val="22"/>
        </w:rPr>
        <w:t>everal practical recommendations</w:t>
      </w:r>
      <w:r w:rsidRPr="00824B25">
        <w:rPr>
          <w:rFonts w:ascii="Arial" w:hAnsi="Arial" w:cs="Arial"/>
          <w:sz w:val="22"/>
          <w:szCs w:val="22"/>
        </w:rPr>
        <w:t xml:space="preserve"> can</w:t>
      </w:r>
      <w:r w:rsidR="00EC09A1">
        <w:rPr>
          <w:rFonts w:ascii="Arial" w:hAnsi="Arial" w:cs="Arial"/>
          <w:sz w:val="22"/>
          <w:szCs w:val="22"/>
        </w:rPr>
        <w:t xml:space="preserve"> </w:t>
      </w:r>
      <w:r w:rsidR="00EC09A1" w:rsidRPr="00EC09A1">
        <w:rPr>
          <w:rFonts w:ascii="Arial" w:hAnsi="Arial" w:cs="Arial"/>
          <w:sz w:val="22"/>
          <w:szCs w:val="22"/>
        </w:rPr>
        <w:t>help guide the company’s next steps.</w:t>
      </w:r>
    </w:p>
    <w:p w14:paraId="720D4A9A" w14:textId="77777777" w:rsidR="00A02CEF" w:rsidRDefault="00A02CEF" w:rsidP="00EC09A1">
      <w:pPr>
        <w:jc w:val="both"/>
        <w:rPr>
          <w:rFonts w:ascii="Arial" w:hAnsi="Arial" w:cs="Arial"/>
          <w:sz w:val="22"/>
          <w:szCs w:val="22"/>
        </w:rPr>
      </w:pPr>
    </w:p>
    <w:p w14:paraId="50D48BD8" w14:textId="77777777" w:rsidR="00FA2BFA" w:rsidRDefault="00EC09A1" w:rsidP="00FA2BFA">
      <w:pPr>
        <w:pStyle w:val="ListParagraph"/>
        <w:numPr>
          <w:ilvl w:val="0"/>
          <w:numId w:val="14"/>
        </w:numPr>
        <w:spacing w:before="80"/>
        <w:ind w:left="360"/>
        <w:jc w:val="both"/>
        <w:rPr>
          <w:rFonts w:ascii="Arial" w:hAnsi="Arial" w:cs="Arial"/>
          <w:sz w:val="22"/>
          <w:szCs w:val="22"/>
        </w:rPr>
      </w:pPr>
      <w:r w:rsidRPr="00EC09A1">
        <w:rPr>
          <w:rFonts w:ascii="Arial" w:hAnsi="Arial" w:cs="Arial"/>
          <w:sz w:val="22"/>
          <w:szCs w:val="22"/>
        </w:rPr>
        <w:t xml:space="preserve">Adopt a conservative pricing </w:t>
      </w:r>
      <w:r>
        <w:rPr>
          <w:rFonts w:ascii="Arial" w:hAnsi="Arial" w:cs="Arial"/>
          <w:sz w:val="22"/>
          <w:szCs w:val="22"/>
        </w:rPr>
        <w:t>position</w:t>
      </w:r>
      <w:r w:rsidRPr="00EC09A1">
        <w:rPr>
          <w:rFonts w:ascii="Arial" w:hAnsi="Arial" w:cs="Arial"/>
          <w:sz w:val="22"/>
          <w:szCs w:val="22"/>
        </w:rPr>
        <w:t xml:space="preserve"> for 2026.</w:t>
      </w:r>
    </w:p>
    <w:p w14:paraId="15B4D4B3" w14:textId="0505AEB2" w:rsidR="00EC09A1" w:rsidRPr="00FA2BFA" w:rsidRDefault="00EC09A1" w:rsidP="00FA2BFA">
      <w:pPr>
        <w:pStyle w:val="ListParagraph"/>
        <w:spacing w:before="80"/>
        <w:ind w:left="360"/>
        <w:jc w:val="both"/>
        <w:rPr>
          <w:rFonts w:ascii="Arial" w:hAnsi="Arial" w:cs="Arial"/>
          <w:sz w:val="22"/>
          <w:szCs w:val="22"/>
        </w:rPr>
      </w:pPr>
      <w:r w:rsidRPr="00FA2BFA">
        <w:rPr>
          <w:rFonts w:ascii="Arial" w:hAnsi="Arial" w:cs="Arial"/>
          <w:sz w:val="22"/>
          <w:szCs w:val="22"/>
        </w:rPr>
        <w:t>Even though the technical indication points to a 16% rate decrease, we do not believe the recent experience carries enough credibility to support such a large adjustment. Given the immaturity of 2025 and the volatility seen in 2024, a more balanced approach would be to keep current rates stable or consider at most a small decrease of up to 5%. This acknowledges the technical result without overreacting to short-term fluctuations.</w:t>
      </w:r>
    </w:p>
    <w:p w14:paraId="0E0AE56B" w14:textId="77777777" w:rsidR="00EC09A1" w:rsidRPr="00EC09A1" w:rsidRDefault="00EC09A1" w:rsidP="00EC09A1">
      <w:pPr>
        <w:pStyle w:val="ListParagraph"/>
        <w:spacing w:before="80"/>
        <w:ind w:left="360"/>
        <w:jc w:val="both"/>
        <w:rPr>
          <w:rFonts w:ascii="Arial" w:hAnsi="Arial" w:cs="Arial"/>
          <w:b/>
          <w:bCs/>
          <w:sz w:val="22"/>
          <w:szCs w:val="22"/>
        </w:rPr>
      </w:pPr>
    </w:p>
    <w:p w14:paraId="2889790B" w14:textId="57069EE6" w:rsidR="00EC09A1" w:rsidRPr="00FA2BFA" w:rsidRDefault="00EC09A1" w:rsidP="00EC09A1">
      <w:pPr>
        <w:pStyle w:val="ListParagraph"/>
        <w:numPr>
          <w:ilvl w:val="0"/>
          <w:numId w:val="14"/>
        </w:numPr>
        <w:spacing w:before="80"/>
        <w:ind w:left="360"/>
        <w:jc w:val="both"/>
        <w:rPr>
          <w:rFonts w:ascii="Arial" w:hAnsi="Arial" w:cs="Arial"/>
          <w:sz w:val="22"/>
          <w:szCs w:val="22"/>
        </w:rPr>
      </w:pPr>
      <w:r w:rsidRPr="00FA2BFA">
        <w:rPr>
          <w:rFonts w:ascii="Arial" w:hAnsi="Arial" w:cs="Arial"/>
          <w:sz w:val="22"/>
          <w:szCs w:val="22"/>
        </w:rPr>
        <w:t>Strengthen monitoring of higher</w:t>
      </w:r>
      <w:r w:rsidR="00FA2BFA">
        <w:rPr>
          <w:rFonts w:ascii="Arial" w:hAnsi="Arial" w:cs="Arial"/>
          <w:sz w:val="22"/>
          <w:szCs w:val="22"/>
        </w:rPr>
        <w:t xml:space="preserve"> </w:t>
      </w:r>
      <w:r w:rsidRPr="00FA2BFA">
        <w:rPr>
          <w:rFonts w:ascii="Arial" w:hAnsi="Arial" w:cs="Arial"/>
          <w:sz w:val="22"/>
          <w:szCs w:val="22"/>
        </w:rPr>
        <w:t>severity or longer</w:t>
      </w:r>
      <w:r w:rsidR="00FA2BFA">
        <w:rPr>
          <w:rFonts w:ascii="Arial" w:hAnsi="Arial" w:cs="Arial"/>
          <w:sz w:val="22"/>
          <w:szCs w:val="22"/>
        </w:rPr>
        <w:t xml:space="preserve"> </w:t>
      </w:r>
      <w:r w:rsidRPr="00FA2BFA">
        <w:rPr>
          <w:rFonts w:ascii="Arial" w:hAnsi="Arial" w:cs="Arial"/>
          <w:sz w:val="22"/>
          <w:szCs w:val="22"/>
        </w:rPr>
        <w:t>duration claims.</w:t>
      </w:r>
    </w:p>
    <w:p w14:paraId="55509A9D" w14:textId="7E893B96" w:rsidR="00EC09A1" w:rsidRDefault="00EC09A1" w:rsidP="00EC09A1">
      <w:pPr>
        <w:pStyle w:val="ListParagraph"/>
        <w:spacing w:before="80"/>
        <w:ind w:left="360"/>
        <w:jc w:val="both"/>
        <w:rPr>
          <w:rFonts w:ascii="Arial" w:hAnsi="Arial" w:cs="Arial"/>
          <w:sz w:val="22"/>
          <w:szCs w:val="22"/>
        </w:rPr>
      </w:pPr>
      <w:r w:rsidRPr="00EC09A1">
        <w:rPr>
          <w:rFonts w:ascii="Arial" w:hAnsi="Arial" w:cs="Arial"/>
          <w:sz w:val="22"/>
          <w:szCs w:val="22"/>
        </w:rPr>
        <w:t>The medical outlier highlighted in the analysis had a noticeable impact on development patterns. Since it remains partially unpaid, it should be followed closely. Regular updates on case status, treatment progress, and potential future costs would help prevent unexpected reserve increases and improve the accuracy of future projections.</w:t>
      </w:r>
    </w:p>
    <w:p w14:paraId="71BFD829" w14:textId="77777777" w:rsidR="00EC09A1" w:rsidRPr="00EC09A1" w:rsidRDefault="00EC09A1" w:rsidP="00EC09A1">
      <w:pPr>
        <w:pStyle w:val="ListParagraph"/>
        <w:spacing w:before="80"/>
        <w:jc w:val="both"/>
        <w:rPr>
          <w:rFonts w:ascii="Arial" w:hAnsi="Arial" w:cs="Arial"/>
          <w:sz w:val="22"/>
          <w:szCs w:val="22"/>
        </w:rPr>
      </w:pPr>
    </w:p>
    <w:p w14:paraId="5E7F8929" w14:textId="5DBDD664" w:rsidR="00EC09A1" w:rsidRPr="00FA2BFA" w:rsidRDefault="00EC09A1" w:rsidP="00EC09A1">
      <w:pPr>
        <w:pStyle w:val="ListParagraph"/>
        <w:numPr>
          <w:ilvl w:val="0"/>
          <w:numId w:val="14"/>
        </w:numPr>
        <w:spacing w:before="80"/>
        <w:ind w:left="360"/>
        <w:jc w:val="both"/>
        <w:rPr>
          <w:rFonts w:ascii="Arial" w:hAnsi="Arial" w:cs="Arial"/>
          <w:sz w:val="22"/>
          <w:szCs w:val="22"/>
        </w:rPr>
      </w:pPr>
      <w:r w:rsidRPr="00FA2BFA">
        <w:rPr>
          <w:rFonts w:ascii="Arial" w:hAnsi="Arial" w:cs="Arial"/>
          <w:sz w:val="22"/>
          <w:szCs w:val="22"/>
        </w:rPr>
        <w:t>Review and formalize case reserving practices.</w:t>
      </w:r>
    </w:p>
    <w:p w14:paraId="10484CBC" w14:textId="340ACD33" w:rsidR="00EC09A1" w:rsidRDefault="00EC09A1" w:rsidP="00EC09A1">
      <w:pPr>
        <w:pStyle w:val="ListParagraph"/>
        <w:spacing w:before="80"/>
        <w:ind w:left="360"/>
        <w:jc w:val="both"/>
        <w:rPr>
          <w:rFonts w:ascii="Arial" w:hAnsi="Arial" w:cs="Arial"/>
          <w:sz w:val="22"/>
          <w:szCs w:val="22"/>
        </w:rPr>
      </w:pPr>
      <w:r w:rsidRPr="00EC09A1">
        <w:rPr>
          <w:rFonts w:ascii="Arial" w:hAnsi="Arial" w:cs="Arial"/>
          <w:sz w:val="22"/>
          <w:szCs w:val="22"/>
        </w:rPr>
        <w:t>The comparison between paid and incurred development suggests that case reserving plays a significant role in how losses emerge. Ensuring that case reserves are set on a consistent and well-documented basis</w:t>
      </w:r>
      <w:r>
        <w:rPr>
          <w:rFonts w:ascii="Arial" w:hAnsi="Arial" w:cs="Arial"/>
          <w:sz w:val="22"/>
          <w:szCs w:val="22"/>
        </w:rPr>
        <w:t xml:space="preserve">, </w:t>
      </w:r>
      <w:r w:rsidRPr="00EC09A1">
        <w:rPr>
          <w:rFonts w:ascii="Arial" w:hAnsi="Arial" w:cs="Arial"/>
          <w:sz w:val="22"/>
          <w:szCs w:val="22"/>
        </w:rPr>
        <w:t>especially for complex or longer</w:t>
      </w:r>
      <w:r>
        <w:rPr>
          <w:rFonts w:ascii="Arial" w:hAnsi="Arial" w:cs="Arial"/>
          <w:sz w:val="22"/>
          <w:szCs w:val="22"/>
        </w:rPr>
        <w:t xml:space="preserve"> </w:t>
      </w:r>
      <w:r w:rsidRPr="00EC09A1">
        <w:rPr>
          <w:rFonts w:ascii="Arial" w:hAnsi="Arial" w:cs="Arial"/>
          <w:sz w:val="22"/>
          <w:szCs w:val="22"/>
        </w:rPr>
        <w:t>tail claims</w:t>
      </w:r>
      <w:r>
        <w:rPr>
          <w:rFonts w:ascii="Arial" w:hAnsi="Arial" w:cs="Arial"/>
          <w:sz w:val="22"/>
          <w:szCs w:val="22"/>
        </w:rPr>
        <w:t xml:space="preserve">, </w:t>
      </w:r>
      <w:r w:rsidRPr="00EC09A1">
        <w:rPr>
          <w:rFonts w:ascii="Arial" w:hAnsi="Arial" w:cs="Arial"/>
          <w:sz w:val="22"/>
          <w:szCs w:val="22"/>
        </w:rPr>
        <w:t>would reduce unnecessary volatility in the incurred development.</w:t>
      </w:r>
    </w:p>
    <w:p w14:paraId="1D6EE9BB" w14:textId="77777777" w:rsidR="00FA2BFA" w:rsidRPr="00EC09A1" w:rsidRDefault="00FA2BFA" w:rsidP="00EC09A1">
      <w:pPr>
        <w:pStyle w:val="ListParagraph"/>
        <w:spacing w:before="80"/>
        <w:ind w:left="360"/>
        <w:jc w:val="both"/>
        <w:rPr>
          <w:rFonts w:ascii="Arial" w:hAnsi="Arial" w:cs="Arial"/>
          <w:sz w:val="22"/>
          <w:szCs w:val="22"/>
        </w:rPr>
      </w:pPr>
    </w:p>
    <w:p w14:paraId="7F220D9D" w14:textId="5871384B" w:rsidR="00EC09A1" w:rsidRPr="00FA2BFA" w:rsidRDefault="00EC09A1" w:rsidP="00EC09A1">
      <w:pPr>
        <w:pStyle w:val="ListParagraph"/>
        <w:numPr>
          <w:ilvl w:val="0"/>
          <w:numId w:val="14"/>
        </w:numPr>
        <w:spacing w:before="80"/>
        <w:ind w:left="360"/>
        <w:jc w:val="both"/>
        <w:rPr>
          <w:rFonts w:ascii="Arial" w:hAnsi="Arial" w:cs="Arial"/>
          <w:sz w:val="22"/>
          <w:szCs w:val="22"/>
        </w:rPr>
      </w:pPr>
      <w:r w:rsidRPr="00FA2BFA">
        <w:rPr>
          <w:rFonts w:ascii="Arial" w:hAnsi="Arial" w:cs="Arial"/>
          <w:sz w:val="22"/>
          <w:szCs w:val="22"/>
        </w:rPr>
        <w:t>Use targeted pricing actions instead of broad rate cuts.</w:t>
      </w:r>
    </w:p>
    <w:p w14:paraId="40B477A7" w14:textId="22909F4C" w:rsidR="00EC09A1" w:rsidRPr="00AC3521" w:rsidRDefault="00EC09A1" w:rsidP="00AC3521">
      <w:pPr>
        <w:pStyle w:val="ListParagraph"/>
        <w:spacing w:before="80"/>
        <w:ind w:left="360"/>
        <w:jc w:val="both"/>
        <w:rPr>
          <w:rFonts w:ascii="Arial" w:hAnsi="Arial" w:cs="Arial"/>
          <w:sz w:val="22"/>
          <w:szCs w:val="22"/>
        </w:rPr>
      </w:pPr>
      <w:r w:rsidRPr="00EC09A1">
        <w:rPr>
          <w:rFonts w:ascii="Arial" w:hAnsi="Arial" w:cs="Arial"/>
          <w:sz w:val="22"/>
          <w:szCs w:val="22"/>
        </w:rPr>
        <w:t xml:space="preserve">Because the portfolio is small, year-to-year results will continue to fluctuate. Instead of reducing rates across the entire book, the company could offer selective discounts or promotional incentives for lower-risk policyholders. </w:t>
      </w:r>
      <w:r w:rsidR="00AC3521" w:rsidRPr="00AC3521">
        <w:rPr>
          <w:rFonts w:ascii="Arial" w:hAnsi="Arial" w:cs="Arial"/>
          <w:sz w:val="22"/>
          <w:szCs w:val="22"/>
        </w:rPr>
        <w:t xml:space="preserve">For motor, discounts could be directed </w:t>
      </w:r>
      <w:r w:rsidR="00AC3521" w:rsidRPr="00AC3521">
        <w:rPr>
          <w:rFonts w:ascii="Arial" w:hAnsi="Arial" w:cs="Arial"/>
          <w:sz w:val="22"/>
          <w:szCs w:val="22"/>
        </w:rPr>
        <w:lastRenderedPageBreak/>
        <w:t>toward safe drivers or policyholders in defensive-driving programs. Property discounts should remain limited to clearly low-risk homes to avoid weakening the strong performance of that line</w:t>
      </w:r>
      <w:r w:rsidR="00FA2BFA">
        <w:rPr>
          <w:rFonts w:ascii="Arial" w:hAnsi="Arial" w:cs="Arial"/>
          <w:sz w:val="22"/>
          <w:szCs w:val="22"/>
        </w:rPr>
        <w:t>.</w:t>
      </w:r>
      <w:r w:rsidR="00AC3521">
        <w:rPr>
          <w:rFonts w:ascii="Arial" w:hAnsi="Arial" w:cs="Arial"/>
          <w:sz w:val="22"/>
          <w:szCs w:val="22"/>
        </w:rPr>
        <w:t xml:space="preserve"> </w:t>
      </w:r>
      <w:r w:rsidRPr="00AC3521">
        <w:rPr>
          <w:rFonts w:ascii="Arial" w:hAnsi="Arial" w:cs="Arial"/>
          <w:sz w:val="22"/>
          <w:szCs w:val="22"/>
        </w:rPr>
        <w:t>This allows the company to remain competitive and attract desirable risks without compromising overall rate adequacy.</w:t>
      </w:r>
    </w:p>
    <w:p w14:paraId="4A0184FB" w14:textId="77777777" w:rsidR="00EC09A1" w:rsidRPr="00EC09A1" w:rsidRDefault="00EC09A1" w:rsidP="00EC09A1">
      <w:pPr>
        <w:pStyle w:val="ListParagraph"/>
        <w:spacing w:before="80"/>
        <w:ind w:left="360"/>
        <w:jc w:val="both"/>
        <w:rPr>
          <w:rFonts w:ascii="Arial" w:hAnsi="Arial" w:cs="Arial"/>
          <w:sz w:val="22"/>
          <w:szCs w:val="22"/>
        </w:rPr>
      </w:pPr>
    </w:p>
    <w:p w14:paraId="44D9F9F6" w14:textId="79572AC8" w:rsidR="00EC09A1" w:rsidRPr="00FA2BFA" w:rsidRDefault="00EC09A1" w:rsidP="00EC09A1">
      <w:pPr>
        <w:pStyle w:val="ListParagraph"/>
        <w:numPr>
          <w:ilvl w:val="0"/>
          <w:numId w:val="14"/>
        </w:numPr>
        <w:spacing w:before="80"/>
        <w:ind w:left="360"/>
        <w:jc w:val="both"/>
        <w:rPr>
          <w:rFonts w:ascii="Arial" w:hAnsi="Arial" w:cs="Arial"/>
          <w:sz w:val="22"/>
          <w:szCs w:val="22"/>
        </w:rPr>
      </w:pPr>
      <w:r w:rsidRPr="00FA2BFA">
        <w:rPr>
          <w:rFonts w:ascii="Arial" w:hAnsi="Arial" w:cs="Arial"/>
          <w:sz w:val="22"/>
          <w:szCs w:val="22"/>
        </w:rPr>
        <w:t>Continue monitoring exposure growth and its impact on credibility.</w:t>
      </w:r>
    </w:p>
    <w:p w14:paraId="665F13B6" w14:textId="375762DB" w:rsidR="00EC09A1" w:rsidRDefault="00EC09A1" w:rsidP="00EC09A1">
      <w:pPr>
        <w:pStyle w:val="ListParagraph"/>
        <w:spacing w:before="80"/>
        <w:ind w:left="360"/>
        <w:jc w:val="both"/>
        <w:rPr>
          <w:rFonts w:ascii="Arial" w:hAnsi="Arial" w:cs="Arial"/>
          <w:sz w:val="22"/>
          <w:szCs w:val="22"/>
        </w:rPr>
      </w:pPr>
      <w:r w:rsidRPr="00EC09A1">
        <w:rPr>
          <w:rFonts w:ascii="Arial" w:hAnsi="Arial" w:cs="Arial"/>
          <w:sz w:val="22"/>
          <w:szCs w:val="22"/>
        </w:rPr>
        <w:t>As the portfolio grows, long-term patterns will become clearer and technical indications will carry more weight. In the meantime, decisions should continue balancing technical results with practical judgment, especially when exposure remains small.</w:t>
      </w:r>
    </w:p>
    <w:p w14:paraId="2E7844F3" w14:textId="77777777" w:rsidR="00EC09A1" w:rsidRPr="00EC09A1" w:rsidRDefault="00EC09A1" w:rsidP="00EC09A1">
      <w:pPr>
        <w:pStyle w:val="ListParagraph"/>
        <w:spacing w:before="80"/>
        <w:jc w:val="both"/>
        <w:rPr>
          <w:rFonts w:ascii="Arial" w:hAnsi="Arial" w:cs="Arial"/>
          <w:sz w:val="22"/>
          <w:szCs w:val="22"/>
        </w:rPr>
      </w:pPr>
    </w:p>
    <w:p w14:paraId="68842959" w14:textId="77777777" w:rsidR="00EC09A1" w:rsidRPr="00EC09A1" w:rsidRDefault="00EC09A1" w:rsidP="00EC09A1">
      <w:pPr>
        <w:spacing w:before="80"/>
        <w:jc w:val="both"/>
        <w:rPr>
          <w:rFonts w:ascii="Arial" w:hAnsi="Arial" w:cs="Arial"/>
          <w:sz w:val="22"/>
          <w:szCs w:val="22"/>
        </w:rPr>
      </w:pPr>
      <w:r w:rsidRPr="00EC09A1">
        <w:rPr>
          <w:rFonts w:ascii="Arial" w:hAnsi="Arial" w:cs="Arial"/>
          <w:sz w:val="22"/>
          <w:szCs w:val="22"/>
        </w:rPr>
        <w:t>Overall, these recommendations aim to help the company maintain financial stability, manage uncertainty in recent experience, and gradually strengthen the credibility of its data as the portfolio evolves.</w:t>
      </w:r>
    </w:p>
    <w:p w14:paraId="31331B51" w14:textId="0BBB0B44" w:rsidR="00EC09A1" w:rsidRPr="00EC09A1" w:rsidRDefault="00EC09A1" w:rsidP="00EC09A1">
      <w:pPr>
        <w:spacing w:before="80"/>
        <w:jc w:val="both"/>
        <w:rPr>
          <w:rFonts w:ascii="Arial" w:hAnsi="Arial" w:cs="Arial"/>
          <w:sz w:val="22"/>
          <w:szCs w:val="22"/>
        </w:rPr>
      </w:pPr>
    </w:p>
    <w:p w14:paraId="10ABC00E" w14:textId="771C336E" w:rsidR="00EC09A1" w:rsidRPr="00EC09A1" w:rsidRDefault="00EC09A1" w:rsidP="00FA2BFA">
      <w:pPr>
        <w:spacing w:before="120"/>
        <w:jc w:val="both"/>
        <w:rPr>
          <w:rFonts w:ascii="Arial" w:hAnsi="Arial" w:cs="Arial"/>
          <w:b/>
          <w:bCs/>
          <w:sz w:val="22"/>
          <w:szCs w:val="22"/>
        </w:rPr>
      </w:pPr>
      <w:r w:rsidRPr="00EC09A1">
        <w:rPr>
          <w:rFonts w:ascii="Arial" w:hAnsi="Arial" w:cs="Arial"/>
          <w:b/>
          <w:bCs/>
          <w:sz w:val="22"/>
          <w:szCs w:val="22"/>
        </w:rPr>
        <w:t>Conclusion</w:t>
      </w:r>
    </w:p>
    <w:p w14:paraId="27F39375" w14:textId="0FEE044A" w:rsidR="00EC09A1" w:rsidRDefault="00EC09A1" w:rsidP="00FA2BFA">
      <w:pPr>
        <w:spacing w:before="120"/>
        <w:jc w:val="both"/>
        <w:rPr>
          <w:rFonts w:ascii="Arial" w:hAnsi="Arial" w:cs="Arial"/>
          <w:sz w:val="22"/>
          <w:szCs w:val="22"/>
        </w:rPr>
      </w:pPr>
      <w:r w:rsidRPr="00EC09A1">
        <w:rPr>
          <w:rFonts w:ascii="Arial" w:hAnsi="Arial" w:cs="Arial"/>
          <w:sz w:val="22"/>
          <w:szCs w:val="22"/>
        </w:rPr>
        <w:t>The study provided a comprehensive view of how losses develop within the portfolio and how these patterns influence both reserving and pricing decisions. The mature underwriting years behaved predictably, while the more recent years showed faster and more variable emergence, partly driven by higher-severity claims. The final reserve estimate of $23,122 reflects this combination of stability and uncertainty.</w:t>
      </w:r>
    </w:p>
    <w:p w14:paraId="39275224" w14:textId="77777777" w:rsidR="00FA2BFA" w:rsidRPr="00EC09A1" w:rsidRDefault="00FA2BFA" w:rsidP="00FA2BFA">
      <w:pPr>
        <w:jc w:val="both"/>
        <w:rPr>
          <w:rFonts w:ascii="Arial" w:hAnsi="Arial" w:cs="Arial"/>
          <w:sz w:val="22"/>
          <w:szCs w:val="22"/>
        </w:rPr>
      </w:pPr>
    </w:p>
    <w:p w14:paraId="466CB616" w14:textId="46850802" w:rsidR="00EC09A1" w:rsidRPr="00EC09A1" w:rsidRDefault="00EC09A1" w:rsidP="00FA2BFA">
      <w:pPr>
        <w:spacing w:before="120"/>
        <w:jc w:val="both"/>
        <w:rPr>
          <w:rFonts w:ascii="Arial" w:hAnsi="Arial" w:cs="Arial"/>
          <w:sz w:val="22"/>
          <w:szCs w:val="22"/>
        </w:rPr>
      </w:pPr>
      <w:r w:rsidRPr="00EC09A1">
        <w:rPr>
          <w:rFonts w:ascii="Arial" w:hAnsi="Arial" w:cs="Arial"/>
          <w:sz w:val="22"/>
          <w:szCs w:val="22"/>
        </w:rPr>
        <w:t>On the pricing side, the technical indication supported a notable decrease. However, given the small exposure base and the immaturity of 2025, relying entirely on that indication would be premature. A more careful approach</w:t>
      </w:r>
      <w:r w:rsidR="00FA2BFA">
        <w:rPr>
          <w:rFonts w:ascii="Arial" w:hAnsi="Arial" w:cs="Arial"/>
          <w:sz w:val="22"/>
          <w:szCs w:val="22"/>
        </w:rPr>
        <w:t xml:space="preserve">, </w:t>
      </w:r>
      <w:r w:rsidRPr="00EC09A1">
        <w:rPr>
          <w:rFonts w:ascii="Arial" w:hAnsi="Arial" w:cs="Arial"/>
          <w:sz w:val="22"/>
          <w:szCs w:val="22"/>
        </w:rPr>
        <w:t>maintaining current rates or applying only a modest reduction</w:t>
      </w:r>
      <w:r w:rsidR="00FA2BFA">
        <w:rPr>
          <w:rFonts w:ascii="Arial" w:hAnsi="Arial" w:cs="Arial"/>
          <w:sz w:val="22"/>
          <w:szCs w:val="22"/>
        </w:rPr>
        <w:t xml:space="preserve">, </w:t>
      </w:r>
      <w:r w:rsidRPr="00EC09A1">
        <w:rPr>
          <w:rFonts w:ascii="Arial" w:hAnsi="Arial" w:cs="Arial"/>
          <w:sz w:val="22"/>
          <w:szCs w:val="22"/>
        </w:rPr>
        <w:t>is more appropriate at this stage.</w:t>
      </w:r>
    </w:p>
    <w:p w14:paraId="7191D5BC" w14:textId="77777777" w:rsidR="00FA2BFA" w:rsidRDefault="00FA2BFA" w:rsidP="00FA2BFA">
      <w:pPr>
        <w:jc w:val="both"/>
        <w:rPr>
          <w:rFonts w:ascii="Arial" w:hAnsi="Arial" w:cs="Arial"/>
          <w:sz w:val="22"/>
          <w:szCs w:val="22"/>
        </w:rPr>
      </w:pPr>
    </w:p>
    <w:p w14:paraId="1057918C" w14:textId="02C184D0" w:rsidR="00A02CEF" w:rsidRPr="00EC6044" w:rsidRDefault="00EC09A1" w:rsidP="00FA2BFA">
      <w:pPr>
        <w:spacing w:before="120"/>
        <w:jc w:val="both"/>
        <w:rPr>
          <w:rFonts w:ascii="Arial" w:hAnsi="Arial" w:cs="Arial"/>
          <w:sz w:val="22"/>
          <w:szCs w:val="22"/>
        </w:rPr>
      </w:pPr>
      <w:r w:rsidRPr="00EC09A1">
        <w:rPr>
          <w:rFonts w:ascii="Arial" w:hAnsi="Arial" w:cs="Arial"/>
          <w:sz w:val="22"/>
          <w:szCs w:val="22"/>
        </w:rPr>
        <w:t>Moving forward, closer monitoring of developing claims, especially those with higher severity, along with consistent case reserving practices, will help the company manage volatility and maintain stable projections. These actions will support more reliable underwriting and reserving outcomes as the portfolio continues to grow.</w:t>
      </w:r>
    </w:p>
    <w:sectPr w:rsidR="00A02CEF" w:rsidRPr="00EC6044" w:rsidSect="00677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22B3"/>
    <w:multiLevelType w:val="multilevel"/>
    <w:tmpl w:val="CB0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14C1"/>
    <w:multiLevelType w:val="multilevel"/>
    <w:tmpl w:val="BC6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F3607"/>
    <w:multiLevelType w:val="multilevel"/>
    <w:tmpl w:val="CD5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2290E"/>
    <w:multiLevelType w:val="hybridMultilevel"/>
    <w:tmpl w:val="9FBC9E9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4BB5A02"/>
    <w:multiLevelType w:val="multilevel"/>
    <w:tmpl w:val="B63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D345B"/>
    <w:multiLevelType w:val="hybridMultilevel"/>
    <w:tmpl w:val="3D7C3AAE"/>
    <w:lvl w:ilvl="0" w:tplc="1C6CBF2A">
      <w:start w:val="8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A337C"/>
    <w:multiLevelType w:val="multilevel"/>
    <w:tmpl w:val="B66E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A2D0D"/>
    <w:multiLevelType w:val="hybridMultilevel"/>
    <w:tmpl w:val="17FA3F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876A28"/>
    <w:multiLevelType w:val="multilevel"/>
    <w:tmpl w:val="AD04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004A9"/>
    <w:multiLevelType w:val="multilevel"/>
    <w:tmpl w:val="E45C2688"/>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15059C7"/>
    <w:multiLevelType w:val="hybridMultilevel"/>
    <w:tmpl w:val="9992EA74"/>
    <w:lvl w:ilvl="0" w:tplc="019E49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7E30BF"/>
    <w:multiLevelType w:val="multilevel"/>
    <w:tmpl w:val="B5A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E5DD1"/>
    <w:multiLevelType w:val="multilevel"/>
    <w:tmpl w:val="E68C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12FF7"/>
    <w:multiLevelType w:val="multilevel"/>
    <w:tmpl w:val="B49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993658">
    <w:abstractNumId w:val="1"/>
  </w:num>
  <w:num w:numId="2" w16cid:durableId="594753168">
    <w:abstractNumId w:val="2"/>
  </w:num>
  <w:num w:numId="3" w16cid:durableId="526065799">
    <w:abstractNumId w:val="5"/>
  </w:num>
  <w:num w:numId="4" w16cid:durableId="586228655">
    <w:abstractNumId w:val="0"/>
  </w:num>
  <w:num w:numId="5" w16cid:durableId="425078489">
    <w:abstractNumId w:val="13"/>
  </w:num>
  <w:num w:numId="6" w16cid:durableId="100729760">
    <w:abstractNumId w:val="12"/>
  </w:num>
  <w:num w:numId="7" w16cid:durableId="768282463">
    <w:abstractNumId w:val="8"/>
  </w:num>
  <w:num w:numId="8" w16cid:durableId="188954129">
    <w:abstractNumId w:val="11"/>
  </w:num>
  <w:num w:numId="9" w16cid:durableId="1516654809">
    <w:abstractNumId w:val="6"/>
  </w:num>
  <w:num w:numId="10" w16cid:durableId="1254044891">
    <w:abstractNumId w:val="4"/>
  </w:num>
  <w:num w:numId="11" w16cid:durableId="1132360175">
    <w:abstractNumId w:val="9"/>
  </w:num>
  <w:num w:numId="12" w16cid:durableId="1028486553">
    <w:abstractNumId w:val="7"/>
  </w:num>
  <w:num w:numId="13" w16cid:durableId="1155410448">
    <w:abstractNumId w:val="3"/>
  </w:num>
  <w:num w:numId="14" w16cid:durableId="11760716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22"/>
    <w:rsid w:val="000217A4"/>
    <w:rsid w:val="00031D3E"/>
    <w:rsid w:val="00037362"/>
    <w:rsid w:val="00057FE2"/>
    <w:rsid w:val="00070ABB"/>
    <w:rsid w:val="00082127"/>
    <w:rsid w:val="000932AC"/>
    <w:rsid w:val="000C1306"/>
    <w:rsid w:val="00132ED2"/>
    <w:rsid w:val="001725FC"/>
    <w:rsid w:val="001B28A1"/>
    <w:rsid w:val="001B2ADD"/>
    <w:rsid w:val="001C7DCC"/>
    <w:rsid w:val="00224CBF"/>
    <w:rsid w:val="00243FAB"/>
    <w:rsid w:val="00272EC8"/>
    <w:rsid w:val="00273D0B"/>
    <w:rsid w:val="002C1EDB"/>
    <w:rsid w:val="002E1BB0"/>
    <w:rsid w:val="00303BA4"/>
    <w:rsid w:val="003347D7"/>
    <w:rsid w:val="00353322"/>
    <w:rsid w:val="003548F2"/>
    <w:rsid w:val="003B4369"/>
    <w:rsid w:val="003D3325"/>
    <w:rsid w:val="00437479"/>
    <w:rsid w:val="00454E9A"/>
    <w:rsid w:val="004715F2"/>
    <w:rsid w:val="004743AF"/>
    <w:rsid w:val="00490C5A"/>
    <w:rsid w:val="004A2A36"/>
    <w:rsid w:val="005004DC"/>
    <w:rsid w:val="0050282F"/>
    <w:rsid w:val="00504CAD"/>
    <w:rsid w:val="00520C0E"/>
    <w:rsid w:val="005402D9"/>
    <w:rsid w:val="005542A7"/>
    <w:rsid w:val="00614705"/>
    <w:rsid w:val="00643719"/>
    <w:rsid w:val="00677170"/>
    <w:rsid w:val="006C7B5A"/>
    <w:rsid w:val="007518F1"/>
    <w:rsid w:val="00752AFB"/>
    <w:rsid w:val="007734EF"/>
    <w:rsid w:val="007B5077"/>
    <w:rsid w:val="007C54D6"/>
    <w:rsid w:val="007E79C0"/>
    <w:rsid w:val="00824B25"/>
    <w:rsid w:val="00847E41"/>
    <w:rsid w:val="00851698"/>
    <w:rsid w:val="00854EE6"/>
    <w:rsid w:val="00873BE6"/>
    <w:rsid w:val="00936F0D"/>
    <w:rsid w:val="00940D33"/>
    <w:rsid w:val="00960CE7"/>
    <w:rsid w:val="009A1EF6"/>
    <w:rsid w:val="00A02CEF"/>
    <w:rsid w:val="00A377A4"/>
    <w:rsid w:val="00A57723"/>
    <w:rsid w:val="00A8708B"/>
    <w:rsid w:val="00AC3521"/>
    <w:rsid w:val="00AC7963"/>
    <w:rsid w:val="00B144AB"/>
    <w:rsid w:val="00B342C4"/>
    <w:rsid w:val="00B942FC"/>
    <w:rsid w:val="00BA3579"/>
    <w:rsid w:val="00BB18CC"/>
    <w:rsid w:val="00BC407E"/>
    <w:rsid w:val="00BE59F4"/>
    <w:rsid w:val="00BF570D"/>
    <w:rsid w:val="00C64391"/>
    <w:rsid w:val="00C92603"/>
    <w:rsid w:val="00CC7E05"/>
    <w:rsid w:val="00CD7039"/>
    <w:rsid w:val="00D83877"/>
    <w:rsid w:val="00DB7A2F"/>
    <w:rsid w:val="00E3045D"/>
    <w:rsid w:val="00E33B6E"/>
    <w:rsid w:val="00E37D15"/>
    <w:rsid w:val="00E43DCA"/>
    <w:rsid w:val="00E61F60"/>
    <w:rsid w:val="00E90C4B"/>
    <w:rsid w:val="00EC09A1"/>
    <w:rsid w:val="00EC3BB9"/>
    <w:rsid w:val="00EC4D22"/>
    <w:rsid w:val="00EC6044"/>
    <w:rsid w:val="00EE2BC0"/>
    <w:rsid w:val="00F116C6"/>
    <w:rsid w:val="00F41EDD"/>
    <w:rsid w:val="00F73D17"/>
    <w:rsid w:val="00FA2B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3B891"/>
  <w15:chartTrackingRefBased/>
  <w15:docId w15:val="{4BAC3FD3-39CA-E145-9B49-1ADF2AE7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479"/>
    <w:rPr>
      <w:rFonts w:ascii="Times New Roman" w:eastAsia="Times New Roman" w:hAnsi="Times New Roman" w:cs="Times New Roman"/>
    </w:rPr>
  </w:style>
  <w:style w:type="paragraph" w:styleId="Heading1">
    <w:name w:val="heading 1"/>
    <w:basedOn w:val="Normal"/>
    <w:link w:val="Heading1Char"/>
    <w:uiPriority w:val="9"/>
    <w:qFormat/>
    <w:rsid w:val="00353322"/>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35332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53322"/>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BB18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3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33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3322"/>
    <w:rPr>
      <w:rFonts w:ascii="Times New Roman" w:eastAsia="Times New Roman" w:hAnsi="Times New Roman" w:cs="Times New Roman"/>
      <w:b/>
      <w:bCs/>
      <w:sz w:val="27"/>
      <w:szCs w:val="27"/>
    </w:rPr>
  </w:style>
  <w:style w:type="character" w:styleId="Strong">
    <w:name w:val="Strong"/>
    <w:basedOn w:val="DefaultParagraphFont"/>
    <w:uiPriority w:val="22"/>
    <w:qFormat/>
    <w:rsid w:val="00353322"/>
    <w:rPr>
      <w:b/>
      <w:bCs/>
    </w:rPr>
  </w:style>
  <w:style w:type="paragraph" w:styleId="NormalWeb">
    <w:name w:val="Normal (Web)"/>
    <w:basedOn w:val="Normal"/>
    <w:uiPriority w:val="99"/>
    <w:unhideWhenUsed/>
    <w:rsid w:val="00353322"/>
    <w:pPr>
      <w:spacing w:before="100" w:beforeAutospacing="1" w:after="100" w:afterAutospacing="1"/>
    </w:pPr>
  </w:style>
  <w:style w:type="paragraph" w:styleId="ListParagraph">
    <w:name w:val="List Paragraph"/>
    <w:basedOn w:val="Normal"/>
    <w:uiPriority w:val="34"/>
    <w:qFormat/>
    <w:rsid w:val="00353322"/>
    <w:pPr>
      <w:ind w:left="720"/>
      <w:contextualSpacing/>
    </w:pPr>
  </w:style>
  <w:style w:type="table" w:styleId="TableGrid">
    <w:name w:val="Table Grid"/>
    <w:basedOn w:val="TableNormal"/>
    <w:uiPriority w:val="39"/>
    <w:rsid w:val="00B34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357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A357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169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BB18CC"/>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E37D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1928">
      <w:bodyDiv w:val="1"/>
      <w:marLeft w:val="0"/>
      <w:marRight w:val="0"/>
      <w:marTop w:val="0"/>
      <w:marBottom w:val="0"/>
      <w:divBdr>
        <w:top w:val="none" w:sz="0" w:space="0" w:color="auto"/>
        <w:left w:val="none" w:sz="0" w:space="0" w:color="auto"/>
        <w:bottom w:val="none" w:sz="0" w:space="0" w:color="auto"/>
        <w:right w:val="none" w:sz="0" w:space="0" w:color="auto"/>
      </w:divBdr>
    </w:div>
    <w:div w:id="8485298">
      <w:bodyDiv w:val="1"/>
      <w:marLeft w:val="0"/>
      <w:marRight w:val="0"/>
      <w:marTop w:val="0"/>
      <w:marBottom w:val="0"/>
      <w:divBdr>
        <w:top w:val="none" w:sz="0" w:space="0" w:color="auto"/>
        <w:left w:val="none" w:sz="0" w:space="0" w:color="auto"/>
        <w:bottom w:val="none" w:sz="0" w:space="0" w:color="auto"/>
        <w:right w:val="none" w:sz="0" w:space="0" w:color="auto"/>
      </w:divBdr>
    </w:div>
    <w:div w:id="37630057">
      <w:bodyDiv w:val="1"/>
      <w:marLeft w:val="0"/>
      <w:marRight w:val="0"/>
      <w:marTop w:val="0"/>
      <w:marBottom w:val="0"/>
      <w:divBdr>
        <w:top w:val="none" w:sz="0" w:space="0" w:color="auto"/>
        <w:left w:val="none" w:sz="0" w:space="0" w:color="auto"/>
        <w:bottom w:val="none" w:sz="0" w:space="0" w:color="auto"/>
        <w:right w:val="none" w:sz="0" w:space="0" w:color="auto"/>
      </w:divBdr>
    </w:div>
    <w:div w:id="47993158">
      <w:bodyDiv w:val="1"/>
      <w:marLeft w:val="0"/>
      <w:marRight w:val="0"/>
      <w:marTop w:val="0"/>
      <w:marBottom w:val="0"/>
      <w:divBdr>
        <w:top w:val="none" w:sz="0" w:space="0" w:color="auto"/>
        <w:left w:val="none" w:sz="0" w:space="0" w:color="auto"/>
        <w:bottom w:val="none" w:sz="0" w:space="0" w:color="auto"/>
        <w:right w:val="none" w:sz="0" w:space="0" w:color="auto"/>
      </w:divBdr>
    </w:div>
    <w:div w:id="48962069">
      <w:bodyDiv w:val="1"/>
      <w:marLeft w:val="0"/>
      <w:marRight w:val="0"/>
      <w:marTop w:val="0"/>
      <w:marBottom w:val="0"/>
      <w:divBdr>
        <w:top w:val="none" w:sz="0" w:space="0" w:color="auto"/>
        <w:left w:val="none" w:sz="0" w:space="0" w:color="auto"/>
        <w:bottom w:val="none" w:sz="0" w:space="0" w:color="auto"/>
        <w:right w:val="none" w:sz="0" w:space="0" w:color="auto"/>
      </w:divBdr>
    </w:div>
    <w:div w:id="55444501">
      <w:bodyDiv w:val="1"/>
      <w:marLeft w:val="0"/>
      <w:marRight w:val="0"/>
      <w:marTop w:val="0"/>
      <w:marBottom w:val="0"/>
      <w:divBdr>
        <w:top w:val="none" w:sz="0" w:space="0" w:color="auto"/>
        <w:left w:val="none" w:sz="0" w:space="0" w:color="auto"/>
        <w:bottom w:val="none" w:sz="0" w:space="0" w:color="auto"/>
        <w:right w:val="none" w:sz="0" w:space="0" w:color="auto"/>
      </w:divBdr>
    </w:div>
    <w:div w:id="70006239">
      <w:bodyDiv w:val="1"/>
      <w:marLeft w:val="0"/>
      <w:marRight w:val="0"/>
      <w:marTop w:val="0"/>
      <w:marBottom w:val="0"/>
      <w:divBdr>
        <w:top w:val="none" w:sz="0" w:space="0" w:color="auto"/>
        <w:left w:val="none" w:sz="0" w:space="0" w:color="auto"/>
        <w:bottom w:val="none" w:sz="0" w:space="0" w:color="auto"/>
        <w:right w:val="none" w:sz="0" w:space="0" w:color="auto"/>
      </w:divBdr>
    </w:div>
    <w:div w:id="79761378">
      <w:bodyDiv w:val="1"/>
      <w:marLeft w:val="0"/>
      <w:marRight w:val="0"/>
      <w:marTop w:val="0"/>
      <w:marBottom w:val="0"/>
      <w:divBdr>
        <w:top w:val="none" w:sz="0" w:space="0" w:color="auto"/>
        <w:left w:val="none" w:sz="0" w:space="0" w:color="auto"/>
        <w:bottom w:val="none" w:sz="0" w:space="0" w:color="auto"/>
        <w:right w:val="none" w:sz="0" w:space="0" w:color="auto"/>
      </w:divBdr>
    </w:div>
    <w:div w:id="103694657">
      <w:bodyDiv w:val="1"/>
      <w:marLeft w:val="0"/>
      <w:marRight w:val="0"/>
      <w:marTop w:val="0"/>
      <w:marBottom w:val="0"/>
      <w:divBdr>
        <w:top w:val="none" w:sz="0" w:space="0" w:color="auto"/>
        <w:left w:val="none" w:sz="0" w:space="0" w:color="auto"/>
        <w:bottom w:val="none" w:sz="0" w:space="0" w:color="auto"/>
        <w:right w:val="none" w:sz="0" w:space="0" w:color="auto"/>
      </w:divBdr>
      <w:divsChild>
        <w:div w:id="748506424">
          <w:marLeft w:val="0"/>
          <w:marRight w:val="0"/>
          <w:marTop w:val="0"/>
          <w:marBottom w:val="0"/>
          <w:divBdr>
            <w:top w:val="none" w:sz="0" w:space="0" w:color="auto"/>
            <w:left w:val="none" w:sz="0" w:space="0" w:color="auto"/>
            <w:bottom w:val="none" w:sz="0" w:space="0" w:color="auto"/>
            <w:right w:val="none" w:sz="0" w:space="0" w:color="auto"/>
          </w:divBdr>
          <w:divsChild>
            <w:div w:id="8952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252">
      <w:bodyDiv w:val="1"/>
      <w:marLeft w:val="0"/>
      <w:marRight w:val="0"/>
      <w:marTop w:val="0"/>
      <w:marBottom w:val="0"/>
      <w:divBdr>
        <w:top w:val="none" w:sz="0" w:space="0" w:color="auto"/>
        <w:left w:val="none" w:sz="0" w:space="0" w:color="auto"/>
        <w:bottom w:val="none" w:sz="0" w:space="0" w:color="auto"/>
        <w:right w:val="none" w:sz="0" w:space="0" w:color="auto"/>
      </w:divBdr>
    </w:div>
    <w:div w:id="140579420">
      <w:bodyDiv w:val="1"/>
      <w:marLeft w:val="0"/>
      <w:marRight w:val="0"/>
      <w:marTop w:val="0"/>
      <w:marBottom w:val="0"/>
      <w:divBdr>
        <w:top w:val="none" w:sz="0" w:space="0" w:color="auto"/>
        <w:left w:val="none" w:sz="0" w:space="0" w:color="auto"/>
        <w:bottom w:val="none" w:sz="0" w:space="0" w:color="auto"/>
        <w:right w:val="none" w:sz="0" w:space="0" w:color="auto"/>
      </w:divBdr>
    </w:div>
    <w:div w:id="206987841">
      <w:bodyDiv w:val="1"/>
      <w:marLeft w:val="0"/>
      <w:marRight w:val="0"/>
      <w:marTop w:val="0"/>
      <w:marBottom w:val="0"/>
      <w:divBdr>
        <w:top w:val="none" w:sz="0" w:space="0" w:color="auto"/>
        <w:left w:val="none" w:sz="0" w:space="0" w:color="auto"/>
        <w:bottom w:val="none" w:sz="0" w:space="0" w:color="auto"/>
        <w:right w:val="none" w:sz="0" w:space="0" w:color="auto"/>
      </w:divBdr>
    </w:div>
    <w:div w:id="252320747">
      <w:bodyDiv w:val="1"/>
      <w:marLeft w:val="0"/>
      <w:marRight w:val="0"/>
      <w:marTop w:val="0"/>
      <w:marBottom w:val="0"/>
      <w:divBdr>
        <w:top w:val="none" w:sz="0" w:space="0" w:color="auto"/>
        <w:left w:val="none" w:sz="0" w:space="0" w:color="auto"/>
        <w:bottom w:val="none" w:sz="0" w:space="0" w:color="auto"/>
        <w:right w:val="none" w:sz="0" w:space="0" w:color="auto"/>
      </w:divBdr>
    </w:div>
    <w:div w:id="261455376">
      <w:bodyDiv w:val="1"/>
      <w:marLeft w:val="0"/>
      <w:marRight w:val="0"/>
      <w:marTop w:val="0"/>
      <w:marBottom w:val="0"/>
      <w:divBdr>
        <w:top w:val="none" w:sz="0" w:space="0" w:color="auto"/>
        <w:left w:val="none" w:sz="0" w:space="0" w:color="auto"/>
        <w:bottom w:val="none" w:sz="0" w:space="0" w:color="auto"/>
        <w:right w:val="none" w:sz="0" w:space="0" w:color="auto"/>
      </w:divBdr>
    </w:div>
    <w:div w:id="280965196">
      <w:bodyDiv w:val="1"/>
      <w:marLeft w:val="0"/>
      <w:marRight w:val="0"/>
      <w:marTop w:val="0"/>
      <w:marBottom w:val="0"/>
      <w:divBdr>
        <w:top w:val="none" w:sz="0" w:space="0" w:color="auto"/>
        <w:left w:val="none" w:sz="0" w:space="0" w:color="auto"/>
        <w:bottom w:val="none" w:sz="0" w:space="0" w:color="auto"/>
        <w:right w:val="none" w:sz="0" w:space="0" w:color="auto"/>
      </w:divBdr>
    </w:div>
    <w:div w:id="302776523">
      <w:bodyDiv w:val="1"/>
      <w:marLeft w:val="0"/>
      <w:marRight w:val="0"/>
      <w:marTop w:val="0"/>
      <w:marBottom w:val="0"/>
      <w:divBdr>
        <w:top w:val="none" w:sz="0" w:space="0" w:color="auto"/>
        <w:left w:val="none" w:sz="0" w:space="0" w:color="auto"/>
        <w:bottom w:val="none" w:sz="0" w:space="0" w:color="auto"/>
        <w:right w:val="none" w:sz="0" w:space="0" w:color="auto"/>
      </w:divBdr>
    </w:div>
    <w:div w:id="363335972">
      <w:bodyDiv w:val="1"/>
      <w:marLeft w:val="0"/>
      <w:marRight w:val="0"/>
      <w:marTop w:val="0"/>
      <w:marBottom w:val="0"/>
      <w:divBdr>
        <w:top w:val="none" w:sz="0" w:space="0" w:color="auto"/>
        <w:left w:val="none" w:sz="0" w:space="0" w:color="auto"/>
        <w:bottom w:val="none" w:sz="0" w:space="0" w:color="auto"/>
        <w:right w:val="none" w:sz="0" w:space="0" w:color="auto"/>
      </w:divBdr>
      <w:divsChild>
        <w:div w:id="1084450460">
          <w:marLeft w:val="0"/>
          <w:marRight w:val="0"/>
          <w:marTop w:val="0"/>
          <w:marBottom w:val="0"/>
          <w:divBdr>
            <w:top w:val="none" w:sz="0" w:space="0" w:color="auto"/>
            <w:left w:val="none" w:sz="0" w:space="0" w:color="auto"/>
            <w:bottom w:val="none" w:sz="0" w:space="0" w:color="auto"/>
            <w:right w:val="none" w:sz="0" w:space="0" w:color="auto"/>
          </w:divBdr>
          <w:divsChild>
            <w:div w:id="813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2428">
      <w:bodyDiv w:val="1"/>
      <w:marLeft w:val="0"/>
      <w:marRight w:val="0"/>
      <w:marTop w:val="0"/>
      <w:marBottom w:val="0"/>
      <w:divBdr>
        <w:top w:val="none" w:sz="0" w:space="0" w:color="auto"/>
        <w:left w:val="none" w:sz="0" w:space="0" w:color="auto"/>
        <w:bottom w:val="none" w:sz="0" w:space="0" w:color="auto"/>
        <w:right w:val="none" w:sz="0" w:space="0" w:color="auto"/>
      </w:divBdr>
    </w:div>
    <w:div w:id="376512044">
      <w:bodyDiv w:val="1"/>
      <w:marLeft w:val="0"/>
      <w:marRight w:val="0"/>
      <w:marTop w:val="0"/>
      <w:marBottom w:val="0"/>
      <w:divBdr>
        <w:top w:val="none" w:sz="0" w:space="0" w:color="auto"/>
        <w:left w:val="none" w:sz="0" w:space="0" w:color="auto"/>
        <w:bottom w:val="none" w:sz="0" w:space="0" w:color="auto"/>
        <w:right w:val="none" w:sz="0" w:space="0" w:color="auto"/>
      </w:divBdr>
    </w:div>
    <w:div w:id="388502747">
      <w:bodyDiv w:val="1"/>
      <w:marLeft w:val="0"/>
      <w:marRight w:val="0"/>
      <w:marTop w:val="0"/>
      <w:marBottom w:val="0"/>
      <w:divBdr>
        <w:top w:val="none" w:sz="0" w:space="0" w:color="auto"/>
        <w:left w:val="none" w:sz="0" w:space="0" w:color="auto"/>
        <w:bottom w:val="none" w:sz="0" w:space="0" w:color="auto"/>
        <w:right w:val="none" w:sz="0" w:space="0" w:color="auto"/>
      </w:divBdr>
    </w:div>
    <w:div w:id="389352089">
      <w:bodyDiv w:val="1"/>
      <w:marLeft w:val="0"/>
      <w:marRight w:val="0"/>
      <w:marTop w:val="0"/>
      <w:marBottom w:val="0"/>
      <w:divBdr>
        <w:top w:val="none" w:sz="0" w:space="0" w:color="auto"/>
        <w:left w:val="none" w:sz="0" w:space="0" w:color="auto"/>
        <w:bottom w:val="none" w:sz="0" w:space="0" w:color="auto"/>
        <w:right w:val="none" w:sz="0" w:space="0" w:color="auto"/>
      </w:divBdr>
    </w:div>
    <w:div w:id="469052555">
      <w:bodyDiv w:val="1"/>
      <w:marLeft w:val="0"/>
      <w:marRight w:val="0"/>
      <w:marTop w:val="0"/>
      <w:marBottom w:val="0"/>
      <w:divBdr>
        <w:top w:val="none" w:sz="0" w:space="0" w:color="auto"/>
        <w:left w:val="none" w:sz="0" w:space="0" w:color="auto"/>
        <w:bottom w:val="none" w:sz="0" w:space="0" w:color="auto"/>
        <w:right w:val="none" w:sz="0" w:space="0" w:color="auto"/>
      </w:divBdr>
    </w:div>
    <w:div w:id="473720241">
      <w:bodyDiv w:val="1"/>
      <w:marLeft w:val="0"/>
      <w:marRight w:val="0"/>
      <w:marTop w:val="0"/>
      <w:marBottom w:val="0"/>
      <w:divBdr>
        <w:top w:val="none" w:sz="0" w:space="0" w:color="auto"/>
        <w:left w:val="none" w:sz="0" w:space="0" w:color="auto"/>
        <w:bottom w:val="none" w:sz="0" w:space="0" w:color="auto"/>
        <w:right w:val="none" w:sz="0" w:space="0" w:color="auto"/>
      </w:divBdr>
    </w:div>
    <w:div w:id="492599437">
      <w:bodyDiv w:val="1"/>
      <w:marLeft w:val="0"/>
      <w:marRight w:val="0"/>
      <w:marTop w:val="0"/>
      <w:marBottom w:val="0"/>
      <w:divBdr>
        <w:top w:val="none" w:sz="0" w:space="0" w:color="auto"/>
        <w:left w:val="none" w:sz="0" w:space="0" w:color="auto"/>
        <w:bottom w:val="none" w:sz="0" w:space="0" w:color="auto"/>
        <w:right w:val="none" w:sz="0" w:space="0" w:color="auto"/>
      </w:divBdr>
    </w:div>
    <w:div w:id="496071361">
      <w:bodyDiv w:val="1"/>
      <w:marLeft w:val="0"/>
      <w:marRight w:val="0"/>
      <w:marTop w:val="0"/>
      <w:marBottom w:val="0"/>
      <w:divBdr>
        <w:top w:val="none" w:sz="0" w:space="0" w:color="auto"/>
        <w:left w:val="none" w:sz="0" w:space="0" w:color="auto"/>
        <w:bottom w:val="none" w:sz="0" w:space="0" w:color="auto"/>
        <w:right w:val="none" w:sz="0" w:space="0" w:color="auto"/>
      </w:divBdr>
      <w:divsChild>
        <w:div w:id="1935740893">
          <w:marLeft w:val="0"/>
          <w:marRight w:val="0"/>
          <w:marTop w:val="0"/>
          <w:marBottom w:val="0"/>
          <w:divBdr>
            <w:top w:val="none" w:sz="0" w:space="0" w:color="auto"/>
            <w:left w:val="none" w:sz="0" w:space="0" w:color="auto"/>
            <w:bottom w:val="none" w:sz="0" w:space="0" w:color="auto"/>
            <w:right w:val="none" w:sz="0" w:space="0" w:color="auto"/>
          </w:divBdr>
          <w:divsChild>
            <w:div w:id="7516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4713">
      <w:bodyDiv w:val="1"/>
      <w:marLeft w:val="0"/>
      <w:marRight w:val="0"/>
      <w:marTop w:val="0"/>
      <w:marBottom w:val="0"/>
      <w:divBdr>
        <w:top w:val="none" w:sz="0" w:space="0" w:color="auto"/>
        <w:left w:val="none" w:sz="0" w:space="0" w:color="auto"/>
        <w:bottom w:val="none" w:sz="0" w:space="0" w:color="auto"/>
        <w:right w:val="none" w:sz="0" w:space="0" w:color="auto"/>
      </w:divBdr>
    </w:div>
    <w:div w:id="534776975">
      <w:bodyDiv w:val="1"/>
      <w:marLeft w:val="0"/>
      <w:marRight w:val="0"/>
      <w:marTop w:val="0"/>
      <w:marBottom w:val="0"/>
      <w:divBdr>
        <w:top w:val="none" w:sz="0" w:space="0" w:color="auto"/>
        <w:left w:val="none" w:sz="0" w:space="0" w:color="auto"/>
        <w:bottom w:val="none" w:sz="0" w:space="0" w:color="auto"/>
        <w:right w:val="none" w:sz="0" w:space="0" w:color="auto"/>
      </w:divBdr>
    </w:div>
    <w:div w:id="544753405">
      <w:bodyDiv w:val="1"/>
      <w:marLeft w:val="0"/>
      <w:marRight w:val="0"/>
      <w:marTop w:val="0"/>
      <w:marBottom w:val="0"/>
      <w:divBdr>
        <w:top w:val="none" w:sz="0" w:space="0" w:color="auto"/>
        <w:left w:val="none" w:sz="0" w:space="0" w:color="auto"/>
        <w:bottom w:val="none" w:sz="0" w:space="0" w:color="auto"/>
        <w:right w:val="none" w:sz="0" w:space="0" w:color="auto"/>
      </w:divBdr>
      <w:divsChild>
        <w:div w:id="1216429004">
          <w:marLeft w:val="0"/>
          <w:marRight w:val="0"/>
          <w:marTop w:val="0"/>
          <w:marBottom w:val="0"/>
          <w:divBdr>
            <w:top w:val="none" w:sz="0" w:space="0" w:color="auto"/>
            <w:left w:val="none" w:sz="0" w:space="0" w:color="auto"/>
            <w:bottom w:val="none" w:sz="0" w:space="0" w:color="auto"/>
            <w:right w:val="none" w:sz="0" w:space="0" w:color="auto"/>
          </w:divBdr>
          <w:divsChild>
            <w:div w:id="17059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473">
      <w:bodyDiv w:val="1"/>
      <w:marLeft w:val="0"/>
      <w:marRight w:val="0"/>
      <w:marTop w:val="0"/>
      <w:marBottom w:val="0"/>
      <w:divBdr>
        <w:top w:val="none" w:sz="0" w:space="0" w:color="auto"/>
        <w:left w:val="none" w:sz="0" w:space="0" w:color="auto"/>
        <w:bottom w:val="none" w:sz="0" w:space="0" w:color="auto"/>
        <w:right w:val="none" w:sz="0" w:space="0" w:color="auto"/>
      </w:divBdr>
    </w:div>
    <w:div w:id="551967228">
      <w:bodyDiv w:val="1"/>
      <w:marLeft w:val="0"/>
      <w:marRight w:val="0"/>
      <w:marTop w:val="0"/>
      <w:marBottom w:val="0"/>
      <w:divBdr>
        <w:top w:val="none" w:sz="0" w:space="0" w:color="auto"/>
        <w:left w:val="none" w:sz="0" w:space="0" w:color="auto"/>
        <w:bottom w:val="none" w:sz="0" w:space="0" w:color="auto"/>
        <w:right w:val="none" w:sz="0" w:space="0" w:color="auto"/>
      </w:divBdr>
    </w:div>
    <w:div w:id="583996041">
      <w:bodyDiv w:val="1"/>
      <w:marLeft w:val="0"/>
      <w:marRight w:val="0"/>
      <w:marTop w:val="0"/>
      <w:marBottom w:val="0"/>
      <w:divBdr>
        <w:top w:val="none" w:sz="0" w:space="0" w:color="auto"/>
        <w:left w:val="none" w:sz="0" w:space="0" w:color="auto"/>
        <w:bottom w:val="none" w:sz="0" w:space="0" w:color="auto"/>
        <w:right w:val="none" w:sz="0" w:space="0" w:color="auto"/>
      </w:divBdr>
      <w:divsChild>
        <w:div w:id="686949667">
          <w:marLeft w:val="0"/>
          <w:marRight w:val="0"/>
          <w:marTop w:val="0"/>
          <w:marBottom w:val="0"/>
          <w:divBdr>
            <w:top w:val="none" w:sz="0" w:space="0" w:color="auto"/>
            <w:left w:val="none" w:sz="0" w:space="0" w:color="auto"/>
            <w:bottom w:val="none" w:sz="0" w:space="0" w:color="auto"/>
            <w:right w:val="none" w:sz="0" w:space="0" w:color="auto"/>
          </w:divBdr>
          <w:divsChild>
            <w:div w:id="1539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3485">
      <w:bodyDiv w:val="1"/>
      <w:marLeft w:val="0"/>
      <w:marRight w:val="0"/>
      <w:marTop w:val="0"/>
      <w:marBottom w:val="0"/>
      <w:divBdr>
        <w:top w:val="none" w:sz="0" w:space="0" w:color="auto"/>
        <w:left w:val="none" w:sz="0" w:space="0" w:color="auto"/>
        <w:bottom w:val="none" w:sz="0" w:space="0" w:color="auto"/>
        <w:right w:val="none" w:sz="0" w:space="0" w:color="auto"/>
      </w:divBdr>
    </w:div>
    <w:div w:id="593318728">
      <w:bodyDiv w:val="1"/>
      <w:marLeft w:val="0"/>
      <w:marRight w:val="0"/>
      <w:marTop w:val="0"/>
      <w:marBottom w:val="0"/>
      <w:divBdr>
        <w:top w:val="none" w:sz="0" w:space="0" w:color="auto"/>
        <w:left w:val="none" w:sz="0" w:space="0" w:color="auto"/>
        <w:bottom w:val="none" w:sz="0" w:space="0" w:color="auto"/>
        <w:right w:val="none" w:sz="0" w:space="0" w:color="auto"/>
      </w:divBdr>
    </w:div>
    <w:div w:id="609630684">
      <w:bodyDiv w:val="1"/>
      <w:marLeft w:val="0"/>
      <w:marRight w:val="0"/>
      <w:marTop w:val="0"/>
      <w:marBottom w:val="0"/>
      <w:divBdr>
        <w:top w:val="none" w:sz="0" w:space="0" w:color="auto"/>
        <w:left w:val="none" w:sz="0" w:space="0" w:color="auto"/>
        <w:bottom w:val="none" w:sz="0" w:space="0" w:color="auto"/>
        <w:right w:val="none" w:sz="0" w:space="0" w:color="auto"/>
      </w:divBdr>
    </w:div>
    <w:div w:id="623584117">
      <w:bodyDiv w:val="1"/>
      <w:marLeft w:val="0"/>
      <w:marRight w:val="0"/>
      <w:marTop w:val="0"/>
      <w:marBottom w:val="0"/>
      <w:divBdr>
        <w:top w:val="none" w:sz="0" w:space="0" w:color="auto"/>
        <w:left w:val="none" w:sz="0" w:space="0" w:color="auto"/>
        <w:bottom w:val="none" w:sz="0" w:space="0" w:color="auto"/>
        <w:right w:val="none" w:sz="0" w:space="0" w:color="auto"/>
      </w:divBdr>
    </w:div>
    <w:div w:id="629747711">
      <w:bodyDiv w:val="1"/>
      <w:marLeft w:val="0"/>
      <w:marRight w:val="0"/>
      <w:marTop w:val="0"/>
      <w:marBottom w:val="0"/>
      <w:divBdr>
        <w:top w:val="none" w:sz="0" w:space="0" w:color="auto"/>
        <w:left w:val="none" w:sz="0" w:space="0" w:color="auto"/>
        <w:bottom w:val="none" w:sz="0" w:space="0" w:color="auto"/>
        <w:right w:val="none" w:sz="0" w:space="0" w:color="auto"/>
      </w:divBdr>
    </w:div>
    <w:div w:id="676157483">
      <w:bodyDiv w:val="1"/>
      <w:marLeft w:val="0"/>
      <w:marRight w:val="0"/>
      <w:marTop w:val="0"/>
      <w:marBottom w:val="0"/>
      <w:divBdr>
        <w:top w:val="none" w:sz="0" w:space="0" w:color="auto"/>
        <w:left w:val="none" w:sz="0" w:space="0" w:color="auto"/>
        <w:bottom w:val="none" w:sz="0" w:space="0" w:color="auto"/>
        <w:right w:val="none" w:sz="0" w:space="0" w:color="auto"/>
      </w:divBdr>
    </w:div>
    <w:div w:id="717819813">
      <w:bodyDiv w:val="1"/>
      <w:marLeft w:val="0"/>
      <w:marRight w:val="0"/>
      <w:marTop w:val="0"/>
      <w:marBottom w:val="0"/>
      <w:divBdr>
        <w:top w:val="none" w:sz="0" w:space="0" w:color="auto"/>
        <w:left w:val="none" w:sz="0" w:space="0" w:color="auto"/>
        <w:bottom w:val="none" w:sz="0" w:space="0" w:color="auto"/>
        <w:right w:val="none" w:sz="0" w:space="0" w:color="auto"/>
      </w:divBdr>
    </w:div>
    <w:div w:id="748700083">
      <w:bodyDiv w:val="1"/>
      <w:marLeft w:val="0"/>
      <w:marRight w:val="0"/>
      <w:marTop w:val="0"/>
      <w:marBottom w:val="0"/>
      <w:divBdr>
        <w:top w:val="none" w:sz="0" w:space="0" w:color="auto"/>
        <w:left w:val="none" w:sz="0" w:space="0" w:color="auto"/>
        <w:bottom w:val="none" w:sz="0" w:space="0" w:color="auto"/>
        <w:right w:val="none" w:sz="0" w:space="0" w:color="auto"/>
      </w:divBdr>
      <w:divsChild>
        <w:div w:id="51733992">
          <w:marLeft w:val="0"/>
          <w:marRight w:val="0"/>
          <w:marTop w:val="0"/>
          <w:marBottom w:val="0"/>
          <w:divBdr>
            <w:top w:val="none" w:sz="0" w:space="0" w:color="auto"/>
            <w:left w:val="none" w:sz="0" w:space="0" w:color="auto"/>
            <w:bottom w:val="none" w:sz="0" w:space="0" w:color="auto"/>
            <w:right w:val="none" w:sz="0" w:space="0" w:color="auto"/>
          </w:divBdr>
          <w:divsChild>
            <w:div w:id="8359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4017">
      <w:bodyDiv w:val="1"/>
      <w:marLeft w:val="0"/>
      <w:marRight w:val="0"/>
      <w:marTop w:val="0"/>
      <w:marBottom w:val="0"/>
      <w:divBdr>
        <w:top w:val="none" w:sz="0" w:space="0" w:color="auto"/>
        <w:left w:val="none" w:sz="0" w:space="0" w:color="auto"/>
        <w:bottom w:val="none" w:sz="0" w:space="0" w:color="auto"/>
        <w:right w:val="none" w:sz="0" w:space="0" w:color="auto"/>
      </w:divBdr>
    </w:div>
    <w:div w:id="846560553">
      <w:bodyDiv w:val="1"/>
      <w:marLeft w:val="0"/>
      <w:marRight w:val="0"/>
      <w:marTop w:val="0"/>
      <w:marBottom w:val="0"/>
      <w:divBdr>
        <w:top w:val="none" w:sz="0" w:space="0" w:color="auto"/>
        <w:left w:val="none" w:sz="0" w:space="0" w:color="auto"/>
        <w:bottom w:val="none" w:sz="0" w:space="0" w:color="auto"/>
        <w:right w:val="none" w:sz="0" w:space="0" w:color="auto"/>
      </w:divBdr>
    </w:div>
    <w:div w:id="861086989">
      <w:bodyDiv w:val="1"/>
      <w:marLeft w:val="0"/>
      <w:marRight w:val="0"/>
      <w:marTop w:val="0"/>
      <w:marBottom w:val="0"/>
      <w:divBdr>
        <w:top w:val="none" w:sz="0" w:space="0" w:color="auto"/>
        <w:left w:val="none" w:sz="0" w:space="0" w:color="auto"/>
        <w:bottom w:val="none" w:sz="0" w:space="0" w:color="auto"/>
        <w:right w:val="none" w:sz="0" w:space="0" w:color="auto"/>
      </w:divBdr>
      <w:divsChild>
        <w:div w:id="1346715247">
          <w:marLeft w:val="0"/>
          <w:marRight w:val="0"/>
          <w:marTop w:val="0"/>
          <w:marBottom w:val="0"/>
          <w:divBdr>
            <w:top w:val="none" w:sz="0" w:space="0" w:color="auto"/>
            <w:left w:val="none" w:sz="0" w:space="0" w:color="auto"/>
            <w:bottom w:val="none" w:sz="0" w:space="0" w:color="auto"/>
            <w:right w:val="none" w:sz="0" w:space="0" w:color="auto"/>
          </w:divBdr>
          <w:divsChild>
            <w:div w:id="9499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31368">
      <w:bodyDiv w:val="1"/>
      <w:marLeft w:val="0"/>
      <w:marRight w:val="0"/>
      <w:marTop w:val="0"/>
      <w:marBottom w:val="0"/>
      <w:divBdr>
        <w:top w:val="none" w:sz="0" w:space="0" w:color="auto"/>
        <w:left w:val="none" w:sz="0" w:space="0" w:color="auto"/>
        <w:bottom w:val="none" w:sz="0" w:space="0" w:color="auto"/>
        <w:right w:val="none" w:sz="0" w:space="0" w:color="auto"/>
      </w:divBdr>
    </w:div>
    <w:div w:id="919943647">
      <w:bodyDiv w:val="1"/>
      <w:marLeft w:val="0"/>
      <w:marRight w:val="0"/>
      <w:marTop w:val="0"/>
      <w:marBottom w:val="0"/>
      <w:divBdr>
        <w:top w:val="none" w:sz="0" w:space="0" w:color="auto"/>
        <w:left w:val="none" w:sz="0" w:space="0" w:color="auto"/>
        <w:bottom w:val="none" w:sz="0" w:space="0" w:color="auto"/>
        <w:right w:val="none" w:sz="0" w:space="0" w:color="auto"/>
      </w:divBdr>
    </w:div>
    <w:div w:id="952327597">
      <w:bodyDiv w:val="1"/>
      <w:marLeft w:val="0"/>
      <w:marRight w:val="0"/>
      <w:marTop w:val="0"/>
      <w:marBottom w:val="0"/>
      <w:divBdr>
        <w:top w:val="none" w:sz="0" w:space="0" w:color="auto"/>
        <w:left w:val="none" w:sz="0" w:space="0" w:color="auto"/>
        <w:bottom w:val="none" w:sz="0" w:space="0" w:color="auto"/>
        <w:right w:val="none" w:sz="0" w:space="0" w:color="auto"/>
      </w:divBdr>
    </w:div>
    <w:div w:id="996347658">
      <w:bodyDiv w:val="1"/>
      <w:marLeft w:val="0"/>
      <w:marRight w:val="0"/>
      <w:marTop w:val="0"/>
      <w:marBottom w:val="0"/>
      <w:divBdr>
        <w:top w:val="none" w:sz="0" w:space="0" w:color="auto"/>
        <w:left w:val="none" w:sz="0" w:space="0" w:color="auto"/>
        <w:bottom w:val="none" w:sz="0" w:space="0" w:color="auto"/>
        <w:right w:val="none" w:sz="0" w:space="0" w:color="auto"/>
      </w:divBdr>
    </w:div>
    <w:div w:id="1039166364">
      <w:bodyDiv w:val="1"/>
      <w:marLeft w:val="0"/>
      <w:marRight w:val="0"/>
      <w:marTop w:val="0"/>
      <w:marBottom w:val="0"/>
      <w:divBdr>
        <w:top w:val="none" w:sz="0" w:space="0" w:color="auto"/>
        <w:left w:val="none" w:sz="0" w:space="0" w:color="auto"/>
        <w:bottom w:val="none" w:sz="0" w:space="0" w:color="auto"/>
        <w:right w:val="none" w:sz="0" w:space="0" w:color="auto"/>
      </w:divBdr>
    </w:div>
    <w:div w:id="1052389472">
      <w:bodyDiv w:val="1"/>
      <w:marLeft w:val="0"/>
      <w:marRight w:val="0"/>
      <w:marTop w:val="0"/>
      <w:marBottom w:val="0"/>
      <w:divBdr>
        <w:top w:val="none" w:sz="0" w:space="0" w:color="auto"/>
        <w:left w:val="none" w:sz="0" w:space="0" w:color="auto"/>
        <w:bottom w:val="none" w:sz="0" w:space="0" w:color="auto"/>
        <w:right w:val="none" w:sz="0" w:space="0" w:color="auto"/>
      </w:divBdr>
    </w:div>
    <w:div w:id="1066148066">
      <w:bodyDiv w:val="1"/>
      <w:marLeft w:val="0"/>
      <w:marRight w:val="0"/>
      <w:marTop w:val="0"/>
      <w:marBottom w:val="0"/>
      <w:divBdr>
        <w:top w:val="none" w:sz="0" w:space="0" w:color="auto"/>
        <w:left w:val="none" w:sz="0" w:space="0" w:color="auto"/>
        <w:bottom w:val="none" w:sz="0" w:space="0" w:color="auto"/>
        <w:right w:val="none" w:sz="0" w:space="0" w:color="auto"/>
      </w:divBdr>
    </w:div>
    <w:div w:id="1095395863">
      <w:bodyDiv w:val="1"/>
      <w:marLeft w:val="0"/>
      <w:marRight w:val="0"/>
      <w:marTop w:val="0"/>
      <w:marBottom w:val="0"/>
      <w:divBdr>
        <w:top w:val="none" w:sz="0" w:space="0" w:color="auto"/>
        <w:left w:val="none" w:sz="0" w:space="0" w:color="auto"/>
        <w:bottom w:val="none" w:sz="0" w:space="0" w:color="auto"/>
        <w:right w:val="none" w:sz="0" w:space="0" w:color="auto"/>
      </w:divBdr>
    </w:div>
    <w:div w:id="1095442923">
      <w:bodyDiv w:val="1"/>
      <w:marLeft w:val="0"/>
      <w:marRight w:val="0"/>
      <w:marTop w:val="0"/>
      <w:marBottom w:val="0"/>
      <w:divBdr>
        <w:top w:val="none" w:sz="0" w:space="0" w:color="auto"/>
        <w:left w:val="none" w:sz="0" w:space="0" w:color="auto"/>
        <w:bottom w:val="none" w:sz="0" w:space="0" w:color="auto"/>
        <w:right w:val="none" w:sz="0" w:space="0" w:color="auto"/>
      </w:divBdr>
    </w:div>
    <w:div w:id="1124540354">
      <w:bodyDiv w:val="1"/>
      <w:marLeft w:val="0"/>
      <w:marRight w:val="0"/>
      <w:marTop w:val="0"/>
      <w:marBottom w:val="0"/>
      <w:divBdr>
        <w:top w:val="none" w:sz="0" w:space="0" w:color="auto"/>
        <w:left w:val="none" w:sz="0" w:space="0" w:color="auto"/>
        <w:bottom w:val="none" w:sz="0" w:space="0" w:color="auto"/>
        <w:right w:val="none" w:sz="0" w:space="0" w:color="auto"/>
      </w:divBdr>
    </w:div>
    <w:div w:id="1161698857">
      <w:bodyDiv w:val="1"/>
      <w:marLeft w:val="0"/>
      <w:marRight w:val="0"/>
      <w:marTop w:val="0"/>
      <w:marBottom w:val="0"/>
      <w:divBdr>
        <w:top w:val="none" w:sz="0" w:space="0" w:color="auto"/>
        <w:left w:val="none" w:sz="0" w:space="0" w:color="auto"/>
        <w:bottom w:val="none" w:sz="0" w:space="0" w:color="auto"/>
        <w:right w:val="none" w:sz="0" w:space="0" w:color="auto"/>
      </w:divBdr>
    </w:div>
    <w:div w:id="1181815943">
      <w:bodyDiv w:val="1"/>
      <w:marLeft w:val="0"/>
      <w:marRight w:val="0"/>
      <w:marTop w:val="0"/>
      <w:marBottom w:val="0"/>
      <w:divBdr>
        <w:top w:val="none" w:sz="0" w:space="0" w:color="auto"/>
        <w:left w:val="none" w:sz="0" w:space="0" w:color="auto"/>
        <w:bottom w:val="none" w:sz="0" w:space="0" w:color="auto"/>
        <w:right w:val="none" w:sz="0" w:space="0" w:color="auto"/>
      </w:divBdr>
      <w:divsChild>
        <w:div w:id="1603955641">
          <w:marLeft w:val="0"/>
          <w:marRight w:val="0"/>
          <w:marTop w:val="0"/>
          <w:marBottom w:val="0"/>
          <w:divBdr>
            <w:top w:val="none" w:sz="0" w:space="0" w:color="auto"/>
            <w:left w:val="none" w:sz="0" w:space="0" w:color="auto"/>
            <w:bottom w:val="none" w:sz="0" w:space="0" w:color="auto"/>
            <w:right w:val="none" w:sz="0" w:space="0" w:color="auto"/>
          </w:divBdr>
          <w:divsChild>
            <w:div w:id="10893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3235">
      <w:bodyDiv w:val="1"/>
      <w:marLeft w:val="0"/>
      <w:marRight w:val="0"/>
      <w:marTop w:val="0"/>
      <w:marBottom w:val="0"/>
      <w:divBdr>
        <w:top w:val="none" w:sz="0" w:space="0" w:color="auto"/>
        <w:left w:val="none" w:sz="0" w:space="0" w:color="auto"/>
        <w:bottom w:val="none" w:sz="0" w:space="0" w:color="auto"/>
        <w:right w:val="none" w:sz="0" w:space="0" w:color="auto"/>
      </w:divBdr>
      <w:divsChild>
        <w:div w:id="1673724815">
          <w:marLeft w:val="0"/>
          <w:marRight w:val="0"/>
          <w:marTop w:val="0"/>
          <w:marBottom w:val="0"/>
          <w:divBdr>
            <w:top w:val="none" w:sz="0" w:space="0" w:color="auto"/>
            <w:left w:val="none" w:sz="0" w:space="0" w:color="auto"/>
            <w:bottom w:val="none" w:sz="0" w:space="0" w:color="auto"/>
            <w:right w:val="none" w:sz="0" w:space="0" w:color="auto"/>
          </w:divBdr>
          <w:divsChild>
            <w:div w:id="287013162">
              <w:marLeft w:val="0"/>
              <w:marRight w:val="0"/>
              <w:marTop w:val="0"/>
              <w:marBottom w:val="0"/>
              <w:divBdr>
                <w:top w:val="none" w:sz="0" w:space="0" w:color="auto"/>
                <w:left w:val="none" w:sz="0" w:space="0" w:color="auto"/>
                <w:bottom w:val="none" w:sz="0" w:space="0" w:color="auto"/>
                <w:right w:val="none" w:sz="0" w:space="0" w:color="auto"/>
              </w:divBdr>
            </w:div>
          </w:divsChild>
        </w:div>
        <w:div w:id="2127692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054304">
      <w:bodyDiv w:val="1"/>
      <w:marLeft w:val="0"/>
      <w:marRight w:val="0"/>
      <w:marTop w:val="0"/>
      <w:marBottom w:val="0"/>
      <w:divBdr>
        <w:top w:val="none" w:sz="0" w:space="0" w:color="auto"/>
        <w:left w:val="none" w:sz="0" w:space="0" w:color="auto"/>
        <w:bottom w:val="none" w:sz="0" w:space="0" w:color="auto"/>
        <w:right w:val="none" w:sz="0" w:space="0" w:color="auto"/>
      </w:divBdr>
    </w:div>
    <w:div w:id="1223712339">
      <w:bodyDiv w:val="1"/>
      <w:marLeft w:val="0"/>
      <w:marRight w:val="0"/>
      <w:marTop w:val="0"/>
      <w:marBottom w:val="0"/>
      <w:divBdr>
        <w:top w:val="none" w:sz="0" w:space="0" w:color="auto"/>
        <w:left w:val="none" w:sz="0" w:space="0" w:color="auto"/>
        <w:bottom w:val="none" w:sz="0" w:space="0" w:color="auto"/>
        <w:right w:val="none" w:sz="0" w:space="0" w:color="auto"/>
      </w:divBdr>
    </w:div>
    <w:div w:id="1253397362">
      <w:bodyDiv w:val="1"/>
      <w:marLeft w:val="0"/>
      <w:marRight w:val="0"/>
      <w:marTop w:val="0"/>
      <w:marBottom w:val="0"/>
      <w:divBdr>
        <w:top w:val="none" w:sz="0" w:space="0" w:color="auto"/>
        <w:left w:val="none" w:sz="0" w:space="0" w:color="auto"/>
        <w:bottom w:val="none" w:sz="0" w:space="0" w:color="auto"/>
        <w:right w:val="none" w:sz="0" w:space="0" w:color="auto"/>
      </w:divBdr>
    </w:div>
    <w:div w:id="1284114055">
      <w:bodyDiv w:val="1"/>
      <w:marLeft w:val="0"/>
      <w:marRight w:val="0"/>
      <w:marTop w:val="0"/>
      <w:marBottom w:val="0"/>
      <w:divBdr>
        <w:top w:val="none" w:sz="0" w:space="0" w:color="auto"/>
        <w:left w:val="none" w:sz="0" w:space="0" w:color="auto"/>
        <w:bottom w:val="none" w:sz="0" w:space="0" w:color="auto"/>
        <w:right w:val="none" w:sz="0" w:space="0" w:color="auto"/>
      </w:divBdr>
    </w:div>
    <w:div w:id="1289748752">
      <w:bodyDiv w:val="1"/>
      <w:marLeft w:val="0"/>
      <w:marRight w:val="0"/>
      <w:marTop w:val="0"/>
      <w:marBottom w:val="0"/>
      <w:divBdr>
        <w:top w:val="none" w:sz="0" w:space="0" w:color="auto"/>
        <w:left w:val="none" w:sz="0" w:space="0" w:color="auto"/>
        <w:bottom w:val="none" w:sz="0" w:space="0" w:color="auto"/>
        <w:right w:val="none" w:sz="0" w:space="0" w:color="auto"/>
      </w:divBdr>
    </w:div>
    <w:div w:id="1303384230">
      <w:bodyDiv w:val="1"/>
      <w:marLeft w:val="0"/>
      <w:marRight w:val="0"/>
      <w:marTop w:val="0"/>
      <w:marBottom w:val="0"/>
      <w:divBdr>
        <w:top w:val="none" w:sz="0" w:space="0" w:color="auto"/>
        <w:left w:val="none" w:sz="0" w:space="0" w:color="auto"/>
        <w:bottom w:val="none" w:sz="0" w:space="0" w:color="auto"/>
        <w:right w:val="none" w:sz="0" w:space="0" w:color="auto"/>
      </w:divBdr>
    </w:div>
    <w:div w:id="1314066382">
      <w:bodyDiv w:val="1"/>
      <w:marLeft w:val="0"/>
      <w:marRight w:val="0"/>
      <w:marTop w:val="0"/>
      <w:marBottom w:val="0"/>
      <w:divBdr>
        <w:top w:val="none" w:sz="0" w:space="0" w:color="auto"/>
        <w:left w:val="none" w:sz="0" w:space="0" w:color="auto"/>
        <w:bottom w:val="none" w:sz="0" w:space="0" w:color="auto"/>
        <w:right w:val="none" w:sz="0" w:space="0" w:color="auto"/>
      </w:divBdr>
    </w:div>
    <w:div w:id="1352760600">
      <w:bodyDiv w:val="1"/>
      <w:marLeft w:val="0"/>
      <w:marRight w:val="0"/>
      <w:marTop w:val="0"/>
      <w:marBottom w:val="0"/>
      <w:divBdr>
        <w:top w:val="none" w:sz="0" w:space="0" w:color="auto"/>
        <w:left w:val="none" w:sz="0" w:space="0" w:color="auto"/>
        <w:bottom w:val="none" w:sz="0" w:space="0" w:color="auto"/>
        <w:right w:val="none" w:sz="0" w:space="0" w:color="auto"/>
      </w:divBdr>
    </w:div>
    <w:div w:id="1360355597">
      <w:bodyDiv w:val="1"/>
      <w:marLeft w:val="0"/>
      <w:marRight w:val="0"/>
      <w:marTop w:val="0"/>
      <w:marBottom w:val="0"/>
      <w:divBdr>
        <w:top w:val="none" w:sz="0" w:space="0" w:color="auto"/>
        <w:left w:val="none" w:sz="0" w:space="0" w:color="auto"/>
        <w:bottom w:val="none" w:sz="0" w:space="0" w:color="auto"/>
        <w:right w:val="none" w:sz="0" w:space="0" w:color="auto"/>
      </w:divBdr>
    </w:div>
    <w:div w:id="1365401807">
      <w:bodyDiv w:val="1"/>
      <w:marLeft w:val="0"/>
      <w:marRight w:val="0"/>
      <w:marTop w:val="0"/>
      <w:marBottom w:val="0"/>
      <w:divBdr>
        <w:top w:val="none" w:sz="0" w:space="0" w:color="auto"/>
        <w:left w:val="none" w:sz="0" w:space="0" w:color="auto"/>
        <w:bottom w:val="none" w:sz="0" w:space="0" w:color="auto"/>
        <w:right w:val="none" w:sz="0" w:space="0" w:color="auto"/>
      </w:divBdr>
    </w:div>
    <w:div w:id="1371876575">
      <w:bodyDiv w:val="1"/>
      <w:marLeft w:val="0"/>
      <w:marRight w:val="0"/>
      <w:marTop w:val="0"/>
      <w:marBottom w:val="0"/>
      <w:divBdr>
        <w:top w:val="none" w:sz="0" w:space="0" w:color="auto"/>
        <w:left w:val="none" w:sz="0" w:space="0" w:color="auto"/>
        <w:bottom w:val="none" w:sz="0" w:space="0" w:color="auto"/>
        <w:right w:val="none" w:sz="0" w:space="0" w:color="auto"/>
      </w:divBdr>
    </w:div>
    <w:div w:id="1386955694">
      <w:bodyDiv w:val="1"/>
      <w:marLeft w:val="0"/>
      <w:marRight w:val="0"/>
      <w:marTop w:val="0"/>
      <w:marBottom w:val="0"/>
      <w:divBdr>
        <w:top w:val="none" w:sz="0" w:space="0" w:color="auto"/>
        <w:left w:val="none" w:sz="0" w:space="0" w:color="auto"/>
        <w:bottom w:val="none" w:sz="0" w:space="0" w:color="auto"/>
        <w:right w:val="none" w:sz="0" w:space="0" w:color="auto"/>
      </w:divBdr>
    </w:div>
    <w:div w:id="1394084551">
      <w:bodyDiv w:val="1"/>
      <w:marLeft w:val="0"/>
      <w:marRight w:val="0"/>
      <w:marTop w:val="0"/>
      <w:marBottom w:val="0"/>
      <w:divBdr>
        <w:top w:val="none" w:sz="0" w:space="0" w:color="auto"/>
        <w:left w:val="none" w:sz="0" w:space="0" w:color="auto"/>
        <w:bottom w:val="none" w:sz="0" w:space="0" w:color="auto"/>
        <w:right w:val="none" w:sz="0" w:space="0" w:color="auto"/>
      </w:divBdr>
    </w:div>
    <w:div w:id="1422527223">
      <w:bodyDiv w:val="1"/>
      <w:marLeft w:val="0"/>
      <w:marRight w:val="0"/>
      <w:marTop w:val="0"/>
      <w:marBottom w:val="0"/>
      <w:divBdr>
        <w:top w:val="none" w:sz="0" w:space="0" w:color="auto"/>
        <w:left w:val="none" w:sz="0" w:space="0" w:color="auto"/>
        <w:bottom w:val="none" w:sz="0" w:space="0" w:color="auto"/>
        <w:right w:val="none" w:sz="0" w:space="0" w:color="auto"/>
      </w:divBdr>
    </w:div>
    <w:div w:id="1431006573">
      <w:bodyDiv w:val="1"/>
      <w:marLeft w:val="0"/>
      <w:marRight w:val="0"/>
      <w:marTop w:val="0"/>
      <w:marBottom w:val="0"/>
      <w:divBdr>
        <w:top w:val="none" w:sz="0" w:space="0" w:color="auto"/>
        <w:left w:val="none" w:sz="0" w:space="0" w:color="auto"/>
        <w:bottom w:val="none" w:sz="0" w:space="0" w:color="auto"/>
        <w:right w:val="none" w:sz="0" w:space="0" w:color="auto"/>
      </w:divBdr>
    </w:div>
    <w:div w:id="1458331220">
      <w:bodyDiv w:val="1"/>
      <w:marLeft w:val="0"/>
      <w:marRight w:val="0"/>
      <w:marTop w:val="0"/>
      <w:marBottom w:val="0"/>
      <w:divBdr>
        <w:top w:val="none" w:sz="0" w:space="0" w:color="auto"/>
        <w:left w:val="none" w:sz="0" w:space="0" w:color="auto"/>
        <w:bottom w:val="none" w:sz="0" w:space="0" w:color="auto"/>
        <w:right w:val="none" w:sz="0" w:space="0" w:color="auto"/>
      </w:divBdr>
      <w:divsChild>
        <w:div w:id="74323108">
          <w:marLeft w:val="0"/>
          <w:marRight w:val="0"/>
          <w:marTop w:val="0"/>
          <w:marBottom w:val="0"/>
          <w:divBdr>
            <w:top w:val="none" w:sz="0" w:space="0" w:color="auto"/>
            <w:left w:val="none" w:sz="0" w:space="0" w:color="auto"/>
            <w:bottom w:val="none" w:sz="0" w:space="0" w:color="auto"/>
            <w:right w:val="none" w:sz="0" w:space="0" w:color="auto"/>
          </w:divBdr>
          <w:divsChild>
            <w:div w:id="5060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47751">
      <w:bodyDiv w:val="1"/>
      <w:marLeft w:val="0"/>
      <w:marRight w:val="0"/>
      <w:marTop w:val="0"/>
      <w:marBottom w:val="0"/>
      <w:divBdr>
        <w:top w:val="none" w:sz="0" w:space="0" w:color="auto"/>
        <w:left w:val="none" w:sz="0" w:space="0" w:color="auto"/>
        <w:bottom w:val="none" w:sz="0" w:space="0" w:color="auto"/>
        <w:right w:val="none" w:sz="0" w:space="0" w:color="auto"/>
      </w:divBdr>
    </w:div>
    <w:div w:id="1477140796">
      <w:bodyDiv w:val="1"/>
      <w:marLeft w:val="0"/>
      <w:marRight w:val="0"/>
      <w:marTop w:val="0"/>
      <w:marBottom w:val="0"/>
      <w:divBdr>
        <w:top w:val="none" w:sz="0" w:space="0" w:color="auto"/>
        <w:left w:val="none" w:sz="0" w:space="0" w:color="auto"/>
        <w:bottom w:val="none" w:sz="0" w:space="0" w:color="auto"/>
        <w:right w:val="none" w:sz="0" w:space="0" w:color="auto"/>
      </w:divBdr>
    </w:div>
    <w:div w:id="1477794760">
      <w:bodyDiv w:val="1"/>
      <w:marLeft w:val="0"/>
      <w:marRight w:val="0"/>
      <w:marTop w:val="0"/>
      <w:marBottom w:val="0"/>
      <w:divBdr>
        <w:top w:val="none" w:sz="0" w:space="0" w:color="auto"/>
        <w:left w:val="none" w:sz="0" w:space="0" w:color="auto"/>
        <w:bottom w:val="none" w:sz="0" w:space="0" w:color="auto"/>
        <w:right w:val="none" w:sz="0" w:space="0" w:color="auto"/>
      </w:divBdr>
    </w:div>
    <w:div w:id="1497768251">
      <w:bodyDiv w:val="1"/>
      <w:marLeft w:val="0"/>
      <w:marRight w:val="0"/>
      <w:marTop w:val="0"/>
      <w:marBottom w:val="0"/>
      <w:divBdr>
        <w:top w:val="none" w:sz="0" w:space="0" w:color="auto"/>
        <w:left w:val="none" w:sz="0" w:space="0" w:color="auto"/>
        <w:bottom w:val="none" w:sz="0" w:space="0" w:color="auto"/>
        <w:right w:val="none" w:sz="0" w:space="0" w:color="auto"/>
      </w:divBdr>
    </w:div>
    <w:div w:id="1552031732">
      <w:bodyDiv w:val="1"/>
      <w:marLeft w:val="0"/>
      <w:marRight w:val="0"/>
      <w:marTop w:val="0"/>
      <w:marBottom w:val="0"/>
      <w:divBdr>
        <w:top w:val="none" w:sz="0" w:space="0" w:color="auto"/>
        <w:left w:val="none" w:sz="0" w:space="0" w:color="auto"/>
        <w:bottom w:val="none" w:sz="0" w:space="0" w:color="auto"/>
        <w:right w:val="none" w:sz="0" w:space="0" w:color="auto"/>
      </w:divBdr>
    </w:div>
    <w:div w:id="1557357501">
      <w:bodyDiv w:val="1"/>
      <w:marLeft w:val="0"/>
      <w:marRight w:val="0"/>
      <w:marTop w:val="0"/>
      <w:marBottom w:val="0"/>
      <w:divBdr>
        <w:top w:val="none" w:sz="0" w:space="0" w:color="auto"/>
        <w:left w:val="none" w:sz="0" w:space="0" w:color="auto"/>
        <w:bottom w:val="none" w:sz="0" w:space="0" w:color="auto"/>
        <w:right w:val="none" w:sz="0" w:space="0" w:color="auto"/>
      </w:divBdr>
    </w:div>
    <w:div w:id="1588998197">
      <w:bodyDiv w:val="1"/>
      <w:marLeft w:val="0"/>
      <w:marRight w:val="0"/>
      <w:marTop w:val="0"/>
      <w:marBottom w:val="0"/>
      <w:divBdr>
        <w:top w:val="none" w:sz="0" w:space="0" w:color="auto"/>
        <w:left w:val="none" w:sz="0" w:space="0" w:color="auto"/>
        <w:bottom w:val="none" w:sz="0" w:space="0" w:color="auto"/>
        <w:right w:val="none" w:sz="0" w:space="0" w:color="auto"/>
      </w:divBdr>
    </w:div>
    <w:div w:id="1617785913">
      <w:bodyDiv w:val="1"/>
      <w:marLeft w:val="0"/>
      <w:marRight w:val="0"/>
      <w:marTop w:val="0"/>
      <w:marBottom w:val="0"/>
      <w:divBdr>
        <w:top w:val="none" w:sz="0" w:space="0" w:color="auto"/>
        <w:left w:val="none" w:sz="0" w:space="0" w:color="auto"/>
        <w:bottom w:val="none" w:sz="0" w:space="0" w:color="auto"/>
        <w:right w:val="none" w:sz="0" w:space="0" w:color="auto"/>
      </w:divBdr>
    </w:div>
    <w:div w:id="1665812264">
      <w:bodyDiv w:val="1"/>
      <w:marLeft w:val="0"/>
      <w:marRight w:val="0"/>
      <w:marTop w:val="0"/>
      <w:marBottom w:val="0"/>
      <w:divBdr>
        <w:top w:val="none" w:sz="0" w:space="0" w:color="auto"/>
        <w:left w:val="none" w:sz="0" w:space="0" w:color="auto"/>
        <w:bottom w:val="none" w:sz="0" w:space="0" w:color="auto"/>
        <w:right w:val="none" w:sz="0" w:space="0" w:color="auto"/>
      </w:divBdr>
    </w:div>
    <w:div w:id="1668560201">
      <w:bodyDiv w:val="1"/>
      <w:marLeft w:val="0"/>
      <w:marRight w:val="0"/>
      <w:marTop w:val="0"/>
      <w:marBottom w:val="0"/>
      <w:divBdr>
        <w:top w:val="none" w:sz="0" w:space="0" w:color="auto"/>
        <w:left w:val="none" w:sz="0" w:space="0" w:color="auto"/>
        <w:bottom w:val="none" w:sz="0" w:space="0" w:color="auto"/>
        <w:right w:val="none" w:sz="0" w:space="0" w:color="auto"/>
      </w:divBdr>
    </w:div>
    <w:div w:id="1677996131">
      <w:bodyDiv w:val="1"/>
      <w:marLeft w:val="0"/>
      <w:marRight w:val="0"/>
      <w:marTop w:val="0"/>
      <w:marBottom w:val="0"/>
      <w:divBdr>
        <w:top w:val="none" w:sz="0" w:space="0" w:color="auto"/>
        <w:left w:val="none" w:sz="0" w:space="0" w:color="auto"/>
        <w:bottom w:val="none" w:sz="0" w:space="0" w:color="auto"/>
        <w:right w:val="none" w:sz="0" w:space="0" w:color="auto"/>
      </w:divBdr>
    </w:div>
    <w:div w:id="1678389048">
      <w:bodyDiv w:val="1"/>
      <w:marLeft w:val="0"/>
      <w:marRight w:val="0"/>
      <w:marTop w:val="0"/>
      <w:marBottom w:val="0"/>
      <w:divBdr>
        <w:top w:val="none" w:sz="0" w:space="0" w:color="auto"/>
        <w:left w:val="none" w:sz="0" w:space="0" w:color="auto"/>
        <w:bottom w:val="none" w:sz="0" w:space="0" w:color="auto"/>
        <w:right w:val="none" w:sz="0" w:space="0" w:color="auto"/>
      </w:divBdr>
    </w:div>
    <w:div w:id="1678651037">
      <w:bodyDiv w:val="1"/>
      <w:marLeft w:val="0"/>
      <w:marRight w:val="0"/>
      <w:marTop w:val="0"/>
      <w:marBottom w:val="0"/>
      <w:divBdr>
        <w:top w:val="none" w:sz="0" w:space="0" w:color="auto"/>
        <w:left w:val="none" w:sz="0" w:space="0" w:color="auto"/>
        <w:bottom w:val="none" w:sz="0" w:space="0" w:color="auto"/>
        <w:right w:val="none" w:sz="0" w:space="0" w:color="auto"/>
      </w:divBdr>
    </w:div>
    <w:div w:id="1697269173">
      <w:bodyDiv w:val="1"/>
      <w:marLeft w:val="0"/>
      <w:marRight w:val="0"/>
      <w:marTop w:val="0"/>
      <w:marBottom w:val="0"/>
      <w:divBdr>
        <w:top w:val="none" w:sz="0" w:space="0" w:color="auto"/>
        <w:left w:val="none" w:sz="0" w:space="0" w:color="auto"/>
        <w:bottom w:val="none" w:sz="0" w:space="0" w:color="auto"/>
        <w:right w:val="none" w:sz="0" w:space="0" w:color="auto"/>
      </w:divBdr>
    </w:div>
    <w:div w:id="1698577059">
      <w:bodyDiv w:val="1"/>
      <w:marLeft w:val="0"/>
      <w:marRight w:val="0"/>
      <w:marTop w:val="0"/>
      <w:marBottom w:val="0"/>
      <w:divBdr>
        <w:top w:val="none" w:sz="0" w:space="0" w:color="auto"/>
        <w:left w:val="none" w:sz="0" w:space="0" w:color="auto"/>
        <w:bottom w:val="none" w:sz="0" w:space="0" w:color="auto"/>
        <w:right w:val="none" w:sz="0" w:space="0" w:color="auto"/>
      </w:divBdr>
    </w:div>
    <w:div w:id="1718044974">
      <w:bodyDiv w:val="1"/>
      <w:marLeft w:val="0"/>
      <w:marRight w:val="0"/>
      <w:marTop w:val="0"/>
      <w:marBottom w:val="0"/>
      <w:divBdr>
        <w:top w:val="none" w:sz="0" w:space="0" w:color="auto"/>
        <w:left w:val="none" w:sz="0" w:space="0" w:color="auto"/>
        <w:bottom w:val="none" w:sz="0" w:space="0" w:color="auto"/>
        <w:right w:val="none" w:sz="0" w:space="0" w:color="auto"/>
      </w:divBdr>
    </w:div>
    <w:div w:id="1737314704">
      <w:bodyDiv w:val="1"/>
      <w:marLeft w:val="0"/>
      <w:marRight w:val="0"/>
      <w:marTop w:val="0"/>
      <w:marBottom w:val="0"/>
      <w:divBdr>
        <w:top w:val="none" w:sz="0" w:space="0" w:color="auto"/>
        <w:left w:val="none" w:sz="0" w:space="0" w:color="auto"/>
        <w:bottom w:val="none" w:sz="0" w:space="0" w:color="auto"/>
        <w:right w:val="none" w:sz="0" w:space="0" w:color="auto"/>
      </w:divBdr>
      <w:divsChild>
        <w:div w:id="97793743">
          <w:marLeft w:val="0"/>
          <w:marRight w:val="0"/>
          <w:marTop w:val="0"/>
          <w:marBottom w:val="0"/>
          <w:divBdr>
            <w:top w:val="none" w:sz="0" w:space="0" w:color="auto"/>
            <w:left w:val="none" w:sz="0" w:space="0" w:color="auto"/>
            <w:bottom w:val="none" w:sz="0" w:space="0" w:color="auto"/>
            <w:right w:val="none" w:sz="0" w:space="0" w:color="auto"/>
          </w:divBdr>
          <w:divsChild>
            <w:div w:id="1149633463">
              <w:marLeft w:val="0"/>
              <w:marRight w:val="0"/>
              <w:marTop w:val="0"/>
              <w:marBottom w:val="0"/>
              <w:divBdr>
                <w:top w:val="none" w:sz="0" w:space="0" w:color="auto"/>
                <w:left w:val="none" w:sz="0" w:space="0" w:color="auto"/>
                <w:bottom w:val="none" w:sz="0" w:space="0" w:color="auto"/>
                <w:right w:val="none" w:sz="0" w:space="0" w:color="auto"/>
              </w:divBdr>
            </w:div>
          </w:divsChild>
        </w:div>
        <w:div w:id="754088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627602">
      <w:bodyDiv w:val="1"/>
      <w:marLeft w:val="0"/>
      <w:marRight w:val="0"/>
      <w:marTop w:val="0"/>
      <w:marBottom w:val="0"/>
      <w:divBdr>
        <w:top w:val="none" w:sz="0" w:space="0" w:color="auto"/>
        <w:left w:val="none" w:sz="0" w:space="0" w:color="auto"/>
        <w:bottom w:val="none" w:sz="0" w:space="0" w:color="auto"/>
        <w:right w:val="none" w:sz="0" w:space="0" w:color="auto"/>
      </w:divBdr>
    </w:div>
    <w:div w:id="1793866232">
      <w:bodyDiv w:val="1"/>
      <w:marLeft w:val="0"/>
      <w:marRight w:val="0"/>
      <w:marTop w:val="0"/>
      <w:marBottom w:val="0"/>
      <w:divBdr>
        <w:top w:val="none" w:sz="0" w:space="0" w:color="auto"/>
        <w:left w:val="none" w:sz="0" w:space="0" w:color="auto"/>
        <w:bottom w:val="none" w:sz="0" w:space="0" w:color="auto"/>
        <w:right w:val="none" w:sz="0" w:space="0" w:color="auto"/>
      </w:divBdr>
    </w:div>
    <w:div w:id="1810855773">
      <w:bodyDiv w:val="1"/>
      <w:marLeft w:val="0"/>
      <w:marRight w:val="0"/>
      <w:marTop w:val="0"/>
      <w:marBottom w:val="0"/>
      <w:divBdr>
        <w:top w:val="none" w:sz="0" w:space="0" w:color="auto"/>
        <w:left w:val="none" w:sz="0" w:space="0" w:color="auto"/>
        <w:bottom w:val="none" w:sz="0" w:space="0" w:color="auto"/>
        <w:right w:val="none" w:sz="0" w:space="0" w:color="auto"/>
      </w:divBdr>
    </w:div>
    <w:div w:id="1839612741">
      <w:bodyDiv w:val="1"/>
      <w:marLeft w:val="0"/>
      <w:marRight w:val="0"/>
      <w:marTop w:val="0"/>
      <w:marBottom w:val="0"/>
      <w:divBdr>
        <w:top w:val="none" w:sz="0" w:space="0" w:color="auto"/>
        <w:left w:val="none" w:sz="0" w:space="0" w:color="auto"/>
        <w:bottom w:val="none" w:sz="0" w:space="0" w:color="auto"/>
        <w:right w:val="none" w:sz="0" w:space="0" w:color="auto"/>
      </w:divBdr>
    </w:div>
    <w:div w:id="1840851647">
      <w:bodyDiv w:val="1"/>
      <w:marLeft w:val="0"/>
      <w:marRight w:val="0"/>
      <w:marTop w:val="0"/>
      <w:marBottom w:val="0"/>
      <w:divBdr>
        <w:top w:val="none" w:sz="0" w:space="0" w:color="auto"/>
        <w:left w:val="none" w:sz="0" w:space="0" w:color="auto"/>
        <w:bottom w:val="none" w:sz="0" w:space="0" w:color="auto"/>
        <w:right w:val="none" w:sz="0" w:space="0" w:color="auto"/>
      </w:divBdr>
      <w:divsChild>
        <w:div w:id="1190800780">
          <w:marLeft w:val="0"/>
          <w:marRight w:val="0"/>
          <w:marTop w:val="0"/>
          <w:marBottom w:val="0"/>
          <w:divBdr>
            <w:top w:val="none" w:sz="0" w:space="0" w:color="auto"/>
            <w:left w:val="none" w:sz="0" w:space="0" w:color="auto"/>
            <w:bottom w:val="none" w:sz="0" w:space="0" w:color="auto"/>
            <w:right w:val="none" w:sz="0" w:space="0" w:color="auto"/>
          </w:divBdr>
          <w:divsChild>
            <w:div w:id="12555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5862">
      <w:bodyDiv w:val="1"/>
      <w:marLeft w:val="0"/>
      <w:marRight w:val="0"/>
      <w:marTop w:val="0"/>
      <w:marBottom w:val="0"/>
      <w:divBdr>
        <w:top w:val="none" w:sz="0" w:space="0" w:color="auto"/>
        <w:left w:val="none" w:sz="0" w:space="0" w:color="auto"/>
        <w:bottom w:val="none" w:sz="0" w:space="0" w:color="auto"/>
        <w:right w:val="none" w:sz="0" w:space="0" w:color="auto"/>
      </w:divBdr>
    </w:div>
    <w:div w:id="1892186490">
      <w:bodyDiv w:val="1"/>
      <w:marLeft w:val="0"/>
      <w:marRight w:val="0"/>
      <w:marTop w:val="0"/>
      <w:marBottom w:val="0"/>
      <w:divBdr>
        <w:top w:val="none" w:sz="0" w:space="0" w:color="auto"/>
        <w:left w:val="none" w:sz="0" w:space="0" w:color="auto"/>
        <w:bottom w:val="none" w:sz="0" w:space="0" w:color="auto"/>
        <w:right w:val="none" w:sz="0" w:space="0" w:color="auto"/>
      </w:divBdr>
      <w:divsChild>
        <w:div w:id="1197809275">
          <w:marLeft w:val="0"/>
          <w:marRight w:val="0"/>
          <w:marTop w:val="0"/>
          <w:marBottom w:val="0"/>
          <w:divBdr>
            <w:top w:val="none" w:sz="0" w:space="0" w:color="auto"/>
            <w:left w:val="none" w:sz="0" w:space="0" w:color="auto"/>
            <w:bottom w:val="none" w:sz="0" w:space="0" w:color="auto"/>
            <w:right w:val="none" w:sz="0" w:space="0" w:color="auto"/>
          </w:divBdr>
          <w:divsChild>
            <w:div w:id="17353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7434">
      <w:bodyDiv w:val="1"/>
      <w:marLeft w:val="0"/>
      <w:marRight w:val="0"/>
      <w:marTop w:val="0"/>
      <w:marBottom w:val="0"/>
      <w:divBdr>
        <w:top w:val="none" w:sz="0" w:space="0" w:color="auto"/>
        <w:left w:val="none" w:sz="0" w:space="0" w:color="auto"/>
        <w:bottom w:val="none" w:sz="0" w:space="0" w:color="auto"/>
        <w:right w:val="none" w:sz="0" w:space="0" w:color="auto"/>
      </w:divBdr>
    </w:div>
    <w:div w:id="1916938856">
      <w:bodyDiv w:val="1"/>
      <w:marLeft w:val="0"/>
      <w:marRight w:val="0"/>
      <w:marTop w:val="0"/>
      <w:marBottom w:val="0"/>
      <w:divBdr>
        <w:top w:val="none" w:sz="0" w:space="0" w:color="auto"/>
        <w:left w:val="none" w:sz="0" w:space="0" w:color="auto"/>
        <w:bottom w:val="none" w:sz="0" w:space="0" w:color="auto"/>
        <w:right w:val="none" w:sz="0" w:space="0" w:color="auto"/>
      </w:divBdr>
    </w:div>
    <w:div w:id="1918662228">
      <w:bodyDiv w:val="1"/>
      <w:marLeft w:val="0"/>
      <w:marRight w:val="0"/>
      <w:marTop w:val="0"/>
      <w:marBottom w:val="0"/>
      <w:divBdr>
        <w:top w:val="none" w:sz="0" w:space="0" w:color="auto"/>
        <w:left w:val="none" w:sz="0" w:space="0" w:color="auto"/>
        <w:bottom w:val="none" w:sz="0" w:space="0" w:color="auto"/>
        <w:right w:val="none" w:sz="0" w:space="0" w:color="auto"/>
      </w:divBdr>
    </w:div>
    <w:div w:id="1936013587">
      <w:bodyDiv w:val="1"/>
      <w:marLeft w:val="0"/>
      <w:marRight w:val="0"/>
      <w:marTop w:val="0"/>
      <w:marBottom w:val="0"/>
      <w:divBdr>
        <w:top w:val="none" w:sz="0" w:space="0" w:color="auto"/>
        <w:left w:val="none" w:sz="0" w:space="0" w:color="auto"/>
        <w:bottom w:val="none" w:sz="0" w:space="0" w:color="auto"/>
        <w:right w:val="none" w:sz="0" w:space="0" w:color="auto"/>
      </w:divBdr>
    </w:div>
    <w:div w:id="2079479974">
      <w:bodyDiv w:val="1"/>
      <w:marLeft w:val="0"/>
      <w:marRight w:val="0"/>
      <w:marTop w:val="0"/>
      <w:marBottom w:val="0"/>
      <w:divBdr>
        <w:top w:val="none" w:sz="0" w:space="0" w:color="auto"/>
        <w:left w:val="none" w:sz="0" w:space="0" w:color="auto"/>
        <w:bottom w:val="none" w:sz="0" w:space="0" w:color="auto"/>
        <w:right w:val="none" w:sz="0" w:space="0" w:color="auto"/>
      </w:divBdr>
    </w:div>
    <w:div w:id="2085759183">
      <w:bodyDiv w:val="1"/>
      <w:marLeft w:val="0"/>
      <w:marRight w:val="0"/>
      <w:marTop w:val="0"/>
      <w:marBottom w:val="0"/>
      <w:divBdr>
        <w:top w:val="none" w:sz="0" w:space="0" w:color="auto"/>
        <w:left w:val="none" w:sz="0" w:space="0" w:color="auto"/>
        <w:bottom w:val="none" w:sz="0" w:space="0" w:color="auto"/>
        <w:right w:val="none" w:sz="0" w:space="0" w:color="auto"/>
      </w:divBdr>
    </w:div>
    <w:div w:id="2085949989">
      <w:bodyDiv w:val="1"/>
      <w:marLeft w:val="0"/>
      <w:marRight w:val="0"/>
      <w:marTop w:val="0"/>
      <w:marBottom w:val="0"/>
      <w:divBdr>
        <w:top w:val="none" w:sz="0" w:space="0" w:color="auto"/>
        <w:left w:val="none" w:sz="0" w:space="0" w:color="auto"/>
        <w:bottom w:val="none" w:sz="0" w:space="0" w:color="auto"/>
        <w:right w:val="none" w:sz="0" w:space="0" w:color="auto"/>
      </w:divBdr>
    </w:div>
    <w:div w:id="212307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neral"/>
          <w:gallery w:val="placeholder"/>
        </w:category>
        <w:types>
          <w:type w:val="bbPlcHdr"/>
        </w:types>
        <w:behaviors>
          <w:behavior w:val="content"/>
        </w:behaviors>
        <w:guid w:val="{C830A07F-36E2-0E49-AB89-9D779CB3A64C}"/>
      </w:docPartPr>
      <w:docPartBody>
        <w:p w:rsidR="00105705" w:rsidRDefault="001E291D">
          <w:r w:rsidRPr="00964953">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1D"/>
    <w:rsid w:val="00105705"/>
    <w:rsid w:val="001E291D"/>
    <w:rsid w:val="002535B9"/>
    <w:rsid w:val="005C38F8"/>
    <w:rsid w:val="006145F5"/>
    <w:rsid w:val="0064612F"/>
    <w:rsid w:val="00735BFF"/>
    <w:rsid w:val="007C1CAB"/>
    <w:rsid w:val="00985DE0"/>
    <w:rsid w:val="00B94F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7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18</Pages>
  <Words>6034</Words>
  <Characters>34400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 M. KHALED</dc:creator>
  <cp:keywords/>
  <dc:description/>
  <cp:lastModifiedBy>ISSA M. KHALED</cp:lastModifiedBy>
  <cp:revision>6</cp:revision>
  <dcterms:created xsi:type="dcterms:W3CDTF">2025-12-08T11:33:00Z</dcterms:created>
  <dcterms:modified xsi:type="dcterms:W3CDTF">2025-12-09T00:01:00Z</dcterms:modified>
</cp:coreProperties>
</file>