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
        <w:jc w:val="left"/>
      </w:pPr>
      <w:r>
        <w:rPr>
          <w:rFonts w:ascii="Times New Roman" w:cs="Times New Roman" w:eastAsia="Times New Roman" w:hAnsi="Times New Roman"/>
          <w:b/>
          <w:bCs/>
          <w:sz w:val="24"/>
          <w:szCs w:val="24"/>
        </w:rPr>
        <w:t xml:space="preserve">基于轮廓检测的颗粒识别与颗粒间距测量</w:t>
      </w:r>
    </w:p>
    <w:p>
      <w:pPr>
        <w:spacing w:after="100" w:line="340"/>
        <w:jc w:val="both"/>
      </w:pPr>
      <w:r>
        <w:rPr>
          <w:rFonts w:ascii="Times New Roman" w:cs="Times New Roman" w:eastAsia="Times New Roman" w:hAnsi="Times New Roman"/>
          <w:sz w:val="24"/>
          <w:szCs w:val="24"/>
        </w:rPr>
        <w:t xml:space="preserve">本研究基于经典计算机视觉方法，构建了一套用于显微视频中球形微颗粒检测及颗粒间距时序分析的图像处理流水线。该流水线集成颜色空间滤波、自适应阈值分割、层次轮廓提取（Suzuki &amp; Abe, 1985）与轮廓间最短距离估计四项核心技术。从输入帧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到二值颗粒掩码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的整体变换可抽象表示为：</w:t>
      </w:r>
    </w:p>
    <w:p>
      <w:pPr>
        <w:spacing w:after="80" w:before="80"/>
        <w:jc w:val="center"/>
      </w:pP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hier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Ψ</w:t>
      </w:r>
      <w:r>
        <w:rPr>
          <w:rFonts w:ascii="Times New Roman" w:cs="Times New Roman" w:eastAsia="Times New Roman" w:hAnsi="Times New Roman"/>
          <w:sz w:val="24"/>
          <w:szCs w:val="24"/>
        </w:rPr>
        <w:t xml:space="preserve">thr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w:t>
      </w:r>
    </w:p>
    <w:p>
      <w:pPr>
        <w:spacing w:after="100" w:line="340"/>
        <w:jc w:val="both"/>
      </w:pPr>
      <w:r>
        <w:rPr>
          <w:rFonts w:ascii="Times New Roman" w:cs="Times New Roman" w:eastAsia="Times New Roman" w:hAnsi="Times New Roman"/>
          <w:sz w:val="24"/>
          <w:szCs w:val="24"/>
        </w:rPr>
        <w:t xml:space="preserve">其中，</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表示 HSV 空间下的红色阴影衰减算子；</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表示带有可选 CLAHE 增强的灰度投影算子（Zuiderveld, 1994）；</w:t>
      </w:r>
      <w:r>
        <w:rPr>
          <w:rFonts w:ascii="Times New Roman" w:cs="Times New Roman" w:eastAsia="Times New Roman" w:hAnsi="Times New Roman"/>
          <w:i/>
          <w:iCs/>
          <w:sz w:val="24"/>
          <w:szCs w:val="24"/>
        </w:rPr>
        <w:t xml:space="preserve">Ψ</w:t>
      </w:r>
      <w:r>
        <w:rPr>
          <w:rFonts w:ascii="Times New Roman" w:cs="Times New Roman" w:eastAsia="Times New Roman" w:hAnsi="Times New Roman"/>
          <w:sz w:val="24"/>
          <w:szCs w:val="24"/>
        </w:rPr>
        <w:t xml:space="preserve">thr</w:t>
      </w:r>
      <w:r>
        <w:rPr>
          <w:rFonts w:ascii="Times New Roman" w:cs="Times New Roman" w:eastAsia="Times New Roman" w:hAnsi="Times New Roman"/>
          <w:sz w:val="24"/>
          <w:szCs w:val="24"/>
        </w:rPr>
        <w:t xml:space="preserve">(·) 表示自适应高斯阈值算子（Bradley &amp; Roth, 2007）；</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hier</w:t>
      </w:r>
      <w:r>
        <w:rPr>
          <w:rFonts w:ascii="Times New Roman" w:cs="Times New Roman" w:eastAsia="Times New Roman" w:hAnsi="Times New Roman"/>
          <w:sz w:val="24"/>
          <w:szCs w:val="24"/>
        </w:rPr>
        <w:t xml:space="preserve">(·) 表示受面积区间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 约束的层次轮廓过滤算子。</w:t>
      </w:r>
    </w:p>
    <w:p>
      <w:pPr>
        <w:spacing w:after="80" w:before="140"/>
        <w:jc w:val="left"/>
      </w:pPr>
      <w:r>
        <w:rPr>
          <w:rFonts w:ascii="Times New Roman" w:cs="Times New Roman" w:eastAsia="Times New Roman" w:hAnsi="Times New Roman"/>
          <w:b/>
          <w:bCs/>
          <w:sz w:val="24"/>
          <w:szCs w:val="24"/>
        </w:rPr>
        <w:t xml:space="preserve">所提出流水线的架构</w:t>
      </w:r>
    </w:p>
    <w:p>
      <w:pPr>
        <w:spacing w:after="100" w:line="340"/>
        <w:jc w:val="both"/>
      </w:pPr>
      <w:r>
        <w:rPr>
          <w:rFonts w:ascii="Times New Roman" w:cs="Times New Roman" w:eastAsia="Times New Roman" w:hAnsi="Times New Roman"/>
          <w:sz w:val="24"/>
          <w:szCs w:val="24"/>
        </w:rPr>
        <w:t xml:space="preserve">该流水线由四个顺序级联的模块构成。</w:t>
      </w:r>
      <w:r>
        <w:rPr>
          <w:rFonts w:ascii="Times New Roman" w:cs="Times New Roman" w:eastAsia="Times New Roman" w:hAnsi="Times New Roman"/>
          <w:b/>
          <w:bCs/>
          <w:sz w:val="24"/>
          <w:szCs w:val="24"/>
        </w:rPr>
        <w:t xml:space="preserve">红色阴影衰减模块</w:t>
      </w:r>
      <w:r>
        <w:rPr>
          <w:rFonts w:ascii="Times New Roman" w:cs="Times New Roman" w:eastAsia="Times New Roman" w:hAnsi="Times New Roman"/>
          <w:sz w:val="24"/>
          <w:szCs w:val="24"/>
        </w:rPr>
        <w:t xml:space="preserve">将每帧从 BGR 转换至 HSV 颜色空间，通过按位或运算融合 [0°, 15°] 与 [160°, 180°] 两个色调区间构造红色掩码，并采用 5×5 结构元依次执行形态学闭运算与开运算进行去噪和填洞，最后将掩码区域内的饱和度通道衰减为原值的三分之一。</w:t>
      </w:r>
      <w:r>
        <w:rPr>
          <w:rFonts w:ascii="Times New Roman" w:cs="Times New Roman" w:eastAsia="Times New Roman" w:hAnsi="Times New Roman"/>
          <w:b/>
          <w:bCs/>
          <w:sz w:val="24"/>
          <w:szCs w:val="24"/>
        </w:rPr>
        <w:t xml:space="preserve">二值化模块</w:t>
      </w:r>
      <w:r>
        <w:rPr>
          <w:rFonts w:ascii="Times New Roman" w:cs="Times New Roman" w:eastAsia="Times New Roman" w:hAnsi="Times New Roman"/>
          <w:sz w:val="24"/>
          <w:szCs w:val="24"/>
        </w:rPr>
        <w:t xml:space="preserve">将去饱和后的帧转为灰度图，可选地通过 CLAHE 进行局部对比度增强（限幅阈值 5.0，网格 8×8），随后施加块大小为 51、常数偏移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25 的自适应高斯阈值；所得二值图像经取反，再通过 3×3 核的"膨胀–腐蚀"循环连接断裂边界并抑制噪声。</w:t>
      </w:r>
    </w:p>
    <w:p>
      <w:pPr>
        <w:spacing w:after="100" w:line="340"/>
        <w:jc w:val="both"/>
      </w:pPr>
      <w:r>
        <w:rPr>
          <w:rFonts w:ascii="Times New Roman" w:cs="Times New Roman" w:eastAsia="Times New Roman" w:hAnsi="Times New Roman"/>
          <w:b/>
          <w:bCs/>
          <w:sz w:val="24"/>
          <w:szCs w:val="24"/>
        </w:rPr>
        <w:t xml:space="preserve">轮廓提取模块</w:t>
      </w:r>
      <w:r>
        <w:rPr>
          <w:rFonts w:ascii="Times New Roman" w:cs="Times New Roman" w:eastAsia="Times New Roman" w:hAnsi="Times New Roman"/>
          <w:sz w:val="24"/>
          <w:szCs w:val="24"/>
        </w:rPr>
        <w:t xml:space="preserve">调用 cv2.findContours 函数并采用 RETR_TREE 检索模式，保留同时满足 (i)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min</w:t>
      </w:r>
      <w:r>
        <w:rPr>
          <w:rFonts w:ascii="Times New Roman" w:cs="Times New Roman" w:eastAsia="Times New Roman" w:hAnsi="Times New Roman"/>
          <w:sz w:val="24"/>
          <w:szCs w:val="24"/>
        </w:rPr>
        <w:t xml:space="preserve"> &lt; area &lt;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max</w:t>
      </w:r>
      <w:r>
        <w:rPr>
          <w:rFonts w:ascii="Times New Roman" w:cs="Times New Roman" w:eastAsia="Times New Roman" w:hAnsi="Times New Roman"/>
          <w:sz w:val="24"/>
          <w:szCs w:val="24"/>
        </w:rPr>
        <w:t xml:space="preserve">（默认 20 px² 与 1000 px²）及 (ii) 父节点索引非负两项准则的轮廓，从而精确分离对应颗粒截面的内部孔洞。</w:t>
      </w:r>
      <w:r>
        <w:rPr>
          <w:rFonts w:ascii="Times New Roman" w:cs="Times New Roman" w:eastAsia="Times New Roman" w:hAnsi="Times New Roman"/>
          <w:b/>
          <w:bCs/>
          <w:sz w:val="24"/>
          <w:szCs w:val="24"/>
        </w:rPr>
        <w:t xml:space="preserve">距离估计模块</w:t>
      </w:r>
      <w:r>
        <w:rPr>
          <w:rFonts w:ascii="Times New Roman" w:cs="Times New Roman" w:eastAsia="Times New Roman" w:hAnsi="Times New Roman"/>
          <w:sz w:val="24"/>
          <w:szCs w:val="24"/>
        </w:rPr>
        <w:t xml:space="preserve">对任意无序轮廓对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)，通过自适应子采样（采样点数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s</w:t>
      </w:r>
      <w:r>
        <w:rPr>
          <w:rFonts w:ascii="Times New Roman" w:cs="Times New Roman" w:eastAsia="Times New Roman" w:hAnsi="Times New Roman"/>
          <w:sz w:val="24"/>
          <w:szCs w:val="24"/>
        </w:rPr>
        <w:t xml:space="preserve"> = max(10, min(50,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|/10))）计算最短欧氏边界距离：</w:t>
      </w:r>
    </w:p>
    <w:p>
      <w:pPr>
        <w:spacing w:after="80" w:before="80"/>
        <w:jc w:val="center"/>
      </w:pP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 = min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‖₂,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j</w:t>
      </w:r>
      <w:r>
        <w:rPr>
          <w:rFonts w:ascii="Times New Roman" w:cs="Times New Roman" w:eastAsia="Times New Roman" w:hAnsi="Times New Roman"/>
          <w:sz w:val="24"/>
          <w:szCs w:val="24"/>
        </w:rPr>
        <w:t xml:space="preserve">)</w:t>
      </w:r>
    </w:p>
    <w:p>
      <w:pPr>
        <w:spacing w:after="100" w:line="340"/>
        <w:jc w:val="both"/>
      </w:pPr>
      <w:r>
        <w:rPr>
          <w:rFonts w:ascii="Times New Roman" w:cs="Times New Roman" w:eastAsia="Times New Roman" w:hAnsi="Times New Roman"/>
          <w:sz w:val="24"/>
          <w:szCs w:val="24"/>
        </w:rPr>
        <w:t xml:space="preserve">像素距离通过标定换算系数 6.2 px/μm 转换为微米单位。算法逐帧输出五项统计指标，共同刻画颗粒群的空间分布特征与聚集趋势：颗粒对间距的最小值、最大值、均值、中位数，以及定义为距离小于 3 μm 的颗粒对相对于满足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median</w:t>
      </w:r>
      <w:r>
        <w:rPr>
          <w:rFonts w:ascii="Times New Roman" w:cs="Times New Roman" w:eastAsia="Times New Roman" w:hAnsi="Times New Roman"/>
          <w:sz w:val="24"/>
          <w:szCs w:val="24"/>
        </w:rPr>
        <w:t xml:space="preserve"> 子集的比例的近距离对比例。将分母限定于该近邻子集可消除由远距离颗粒对引入的稀释效应——后者不携带聚集行为的信息——从而获得对局部聚集更为敏感的统计量。</w:t>
      </w:r>
    </w:p>
    <w:p>
      <w:pPr>
        <w:spacing w:after="80" w:before="140"/>
        <w:jc w:val="left"/>
      </w:pPr>
      <w:r>
        <w:rPr>
          <w:rFonts w:ascii="Times New Roman" w:cs="Times New Roman" w:eastAsia="Times New Roman" w:hAnsi="Times New Roman"/>
          <w:b/>
          <w:bCs/>
          <w:sz w:val="24"/>
          <w:szCs w:val="24"/>
        </w:rPr>
        <w:t xml:space="preserve">实验方法</w:t>
      </w:r>
    </w:p>
    <w:p>
      <w:pPr>
        <w:spacing w:after="100" w:line="340"/>
        <w:jc w:val="both"/>
      </w:pPr>
      <w:r>
        <w:rPr>
          <w:rFonts w:ascii="Times New Roman" w:cs="Times New Roman" w:eastAsia="Times New Roman" w:hAnsi="Times New Roman"/>
          <w:sz w:val="24"/>
          <w:szCs w:val="24"/>
        </w:rPr>
        <w:t xml:space="preserve">显微视频通过 OpenCV 的 VideoCapture 接口（Bradski, 2000）逐帧解码并独立处理。流水线超参数——包括块大小、常数偏移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、面积筛选区间及 CLAHE 限幅阈值——通过代表性帧上的交互式网格搜索调优，选取假阳性率最低的配置。每段视频生成三个 CSV 文件，并通过 Matplotlib（Hunter, 2007）绘制各统计指标关于帧序号的散点图。上述组合策略显著提升了非均匀光照条件下的检测鲁棒性。</w:t>
      </w:r>
    </w:p>
    <w:p>
      <w:pPr>
        <w:spacing w:after="80" w:before="140"/>
        <w:jc w:val="left"/>
      </w:pPr>
      <w:r>
        <w:rPr>
          <w:rFonts w:ascii="Times New Roman" w:cs="Times New Roman" w:eastAsia="Times New Roman" w:hAnsi="Times New Roman"/>
          <w:b/>
          <w:bCs/>
          <w:sz w:val="24"/>
          <w:szCs w:val="24"/>
        </w:rPr>
        <w:t xml:space="preserve">参考文献</w:t>
      </w:r>
    </w:p>
    <w:p>
      <w:pPr>
        <w:spacing w:after="100" w:line="280"/>
        <w:ind w:left="360" w:hanging="360"/>
        <w:jc w:val="left"/>
      </w:pPr>
      <w:r>
        <w:rPr>
          <w:rFonts w:ascii="Times New Roman" w:cs="Times New Roman" w:eastAsia="Times New Roman" w:hAnsi="Times New Roman"/>
          <w:sz w:val="24"/>
          <w:szCs w:val="24"/>
        </w:rPr>
        <w:t xml:space="preserve">Bradley, D., &amp; Roth, G. (2007). Adaptive thresholding using the integral image. </w:t>
      </w:r>
      <w:r>
        <w:rPr>
          <w:rFonts w:ascii="Times New Roman" w:cs="Times New Roman" w:eastAsia="Times New Roman" w:hAnsi="Times New Roman"/>
          <w:i/>
          <w:iCs/>
          <w:sz w:val="24"/>
          <w:szCs w:val="24"/>
        </w:rPr>
        <w:t xml:space="preserve">Journal of Graphics Tools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12</w:t>
      </w:r>
      <w:r>
        <w:rPr>
          <w:rFonts w:ascii="Times New Roman" w:cs="Times New Roman" w:eastAsia="Times New Roman" w:hAnsi="Times New Roman"/>
          <w:sz w:val="24"/>
          <w:szCs w:val="24"/>
        </w:rPr>
        <w:t xml:space="preserve">(2), 13–21.</w:t>
      </w:r>
    </w:p>
    <w:p>
      <w:pPr>
        <w:spacing w:after="100" w:line="280"/>
        <w:ind w:left="360" w:hanging="360"/>
        <w:jc w:val="left"/>
      </w:pPr>
      <w:r>
        <w:rPr>
          <w:rFonts w:ascii="Times New Roman" w:cs="Times New Roman" w:eastAsia="Times New Roman" w:hAnsi="Times New Roman"/>
          <w:sz w:val="24"/>
          <w:szCs w:val="24"/>
        </w:rPr>
        <w:t xml:space="preserve">Bradski, G. (2000). The OpenCV library. </w:t>
      </w:r>
      <w:r>
        <w:rPr>
          <w:rFonts w:ascii="Times New Roman" w:cs="Times New Roman" w:eastAsia="Times New Roman" w:hAnsi="Times New Roman"/>
          <w:i/>
          <w:iCs/>
          <w:sz w:val="24"/>
          <w:szCs w:val="24"/>
        </w:rPr>
        <w:t xml:space="preserve">Dr. Dobb’s Journal of Software Tools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25</w:t>
      </w:r>
      <w:r>
        <w:rPr>
          <w:rFonts w:ascii="Times New Roman" w:cs="Times New Roman" w:eastAsia="Times New Roman" w:hAnsi="Times New Roman"/>
          <w:sz w:val="24"/>
          <w:szCs w:val="24"/>
        </w:rPr>
        <w:t xml:space="preserve">(11), 120–125.</w:t>
      </w:r>
    </w:p>
    <w:p>
      <w:pPr>
        <w:spacing w:after="100" w:line="280"/>
        <w:ind w:left="360" w:hanging="360"/>
        <w:jc w:val="left"/>
      </w:pPr>
      <w:r>
        <w:rPr>
          <w:rFonts w:ascii="Times New Roman" w:cs="Times New Roman" w:eastAsia="Times New Roman" w:hAnsi="Times New Roman"/>
          <w:sz w:val="24"/>
          <w:szCs w:val="24"/>
        </w:rPr>
        <w:t xml:space="preserve">Hunter, J. D. (2007). Matplotlib: A 2D graphics environment. </w:t>
      </w:r>
      <w:r>
        <w:rPr>
          <w:rFonts w:ascii="Times New Roman" w:cs="Times New Roman" w:eastAsia="Times New Roman" w:hAnsi="Times New Roman"/>
          <w:i/>
          <w:iCs/>
          <w:sz w:val="24"/>
          <w:szCs w:val="24"/>
        </w:rPr>
        <w:t xml:space="preserve">Computing in Science &amp; 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9</w:t>
      </w:r>
      <w:r>
        <w:rPr>
          <w:rFonts w:ascii="Times New Roman" w:cs="Times New Roman" w:eastAsia="Times New Roman" w:hAnsi="Times New Roman"/>
          <w:sz w:val="24"/>
          <w:szCs w:val="24"/>
        </w:rPr>
        <w:t xml:space="preserve">(3), 90–95.</w:t>
      </w:r>
    </w:p>
    <w:p>
      <w:pPr>
        <w:spacing w:after="100" w:line="280"/>
        <w:ind w:left="360" w:hanging="360"/>
        <w:jc w:val="left"/>
      </w:pPr>
      <w:r>
        <w:rPr>
          <w:rFonts w:ascii="Times New Roman" w:cs="Times New Roman" w:eastAsia="Times New Roman" w:hAnsi="Times New Roman"/>
          <w:sz w:val="24"/>
          <w:szCs w:val="24"/>
        </w:rPr>
        <w:t xml:space="preserve">Suzuki, S., &amp; Abe, K. (1985). Topological structural analysis of digitized binary images by border following. </w:t>
      </w:r>
      <w:r>
        <w:rPr>
          <w:rFonts w:ascii="Times New Roman" w:cs="Times New Roman" w:eastAsia="Times New Roman" w:hAnsi="Times New Roman"/>
          <w:i/>
          <w:iCs/>
          <w:sz w:val="24"/>
          <w:szCs w:val="24"/>
        </w:rPr>
        <w:t xml:space="preserve">Computer Vision, Graphics, and Image Processing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30</w:t>
      </w:r>
      <w:r>
        <w:rPr>
          <w:rFonts w:ascii="Times New Roman" w:cs="Times New Roman" w:eastAsia="Times New Roman" w:hAnsi="Times New Roman"/>
          <w:sz w:val="24"/>
          <w:szCs w:val="24"/>
        </w:rPr>
        <w:t xml:space="preserve">(1), 32–46.</w:t>
      </w:r>
    </w:p>
    <w:p>
      <w:pPr>
        <w:spacing w:after="100" w:line="280"/>
        <w:ind w:left="360" w:hanging="360"/>
        <w:jc w:val="left"/>
      </w:pPr>
      <w:r>
        <w:rPr>
          <w:rFonts w:ascii="Times New Roman" w:cs="Times New Roman" w:eastAsia="Times New Roman" w:hAnsi="Times New Roman"/>
          <w:sz w:val="24"/>
          <w:szCs w:val="24"/>
        </w:rPr>
        <w:t xml:space="preserve">Zuiderveld, K. (1994). Contrast limited adaptive histogram equalization. In </w:t>
      </w:r>
      <w:r>
        <w:rPr>
          <w:rFonts w:ascii="Times New Roman" w:cs="Times New Roman" w:eastAsia="Times New Roman" w:hAnsi="Times New Roman"/>
          <w:i/>
          <w:iCs/>
          <w:sz w:val="24"/>
          <w:szCs w:val="24"/>
        </w:rPr>
        <w:t xml:space="preserve">Graphics Gems IV</w:t>
      </w:r>
      <w:r>
        <w:rPr>
          <w:rFonts w:ascii="Times New Roman" w:cs="Times New Roman" w:eastAsia="Times New Roman" w:hAnsi="Times New Roman"/>
          <w:sz w:val="24"/>
          <w:szCs w:val="24"/>
        </w:rPr>
        <w:t xml:space="preserve"> (pp. 474–485). Academic Press.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2026-05-19T06:03:34.105Z</dcterms:created>
  <dcterms:modified xsi:type="dcterms:W3CDTF">2026-05-19T06:03:34.105Z</dcterms:modified>
</cp:coreProperties>
</file>

<file path=docProps/custom.xml><?xml version="1.0" encoding="utf-8"?>
<Properties xmlns="http://schemas.openxmlformats.org/officeDocument/2006/custom-properties" xmlns:vt="http://schemas.openxmlformats.org/officeDocument/2006/docPropsVTypes"/>
</file>