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
        <w:jc w:val="left"/>
      </w:pPr>
      <w:r>
        <w:rPr>
          <w:rFonts w:ascii="Times New Roman" w:cs="Times New Roman" w:eastAsia="Times New Roman" w:hAnsi="Times New Roman"/>
          <w:b/>
          <w:bCs/>
          <w:sz w:val="24"/>
          <w:szCs w:val="24"/>
        </w:rPr>
        <w:t xml:space="preserve">Contour-based Particle Detection and Inter-particle Distance Measurement</w:t>
      </w:r>
    </w:p>
    <w:p>
      <w:pPr>
        <w:spacing w:after="100" w:line="340"/>
        <w:jc w:val="both"/>
      </w:pPr>
      <w:r>
        <w:rPr>
          <w:rFonts w:ascii="Times New Roman" w:cs="Times New Roman" w:eastAsia="Times New Roman" w:hAnsi="Times New Roman"/>
          <w:sz w:val="24"/>
          <w:szCs w:val="24"/>
        </w:rPr>
        <w:t xml:space="preserve">In this study, a classical computer vision pipeline was developed to detect spherical micro-particles in microscopy videos and quantify inter-particle distances over time. The pipeline integrates colour-space filtering, adaptive thresholding, hierarchical contour extraction (Suzuki &amp; Abe, 1985), and pairwise shortest-distance estimation. The transformation from input frame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to particle mask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is expressed as:</w:t>
      </w:r>
    </w:p>
    <w:p>
      <w:pPr>
        <w:spacing w:after="80" w:before="80"/>
        <w:jc w:val="center"/>
      </w:pP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hier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Ψ</w:t>
      </w:r>
      <w:r>
        <w:rPr>
          <w:rFonts w:ascii="Times New Roman" w:cs="Times New Roman" w:eastAsia="Times New Roman" w:hAnsi="Times New Roman"/>
          <w:sz w:val="24"/>
          <w:szCs w:val="24"/>
        </w:rPr>
        <w:t xml:space="preserve">thr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max</w:t>
      </w:r>
      <w:r>
        <w:rPr>
          <w:rFonts w:ascii="Times New Roman" w:cs="Times New Roman" w:eastAsia="Times New Roman" w:hAnsi="Times New Roman"/>
          <w:sz w:val="24"/>
          <w:szCs w:val="24"/>
        </w:rPr>
        <w:t xml:space="preserve">)</w:t>
      </w:r>
    </w:p>
    <w:p>
      <w:pPr>
        <w:spacing w:after="100" w:line="34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is the HSV red-shadow attenuation operator,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the grayscale projection with optional CLAHE (Zuiderveld, 1994), </w:t>
      </w:r>
      <w:r>
        <w:rPr>
          <w:rFonts w:ascii="Times New Roman" w:cs="Times New Roman" w:eastAsia="Times New Roman" w:hAnsi="Times New Roman"/>
          <w:i/>
          <w:iCs/>
          <w:sz w:val="24"/>
          <w:szCs w:val="24"/>
        </w:rPr>
        <w:t xml:space="preserve">Ψ</w:t>
      </w:r>
      <w:r>
        <w:rPr>
          <w:rFonts w:ascii="Times New Roman" w:cs="Times New Roman" w:eastAsia="Times New Roman" w:hAnsi="Times New Roman"/>
          <w:sz w:val="24"/>
          <w:szCs w:val="24"/>
        </w:rPr>
        <w:t xml:space="preserve">thr</w:t>
      </w:r>
      <w:r>
        <w:rPr>
          <w:rFonts w:ascii="Times New Roman" w:cs="Times New Roman" w:eastAsia="Times New Roman" w:hAnsi="Times New Roman"/>
          <w:sz w:val="24"/>
          <w:szCs w:val="24"/>
        </w:rPr>
        <w:t xml:space="preserve">(·) the adaptive Gaussian thresholding operator (Bradley &amp; Roth, 2007), and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hier</w:t>
      </w:r>
      <w:r>
        <w:rPr>
          <w:rFonts w:ascii="Times New Roman" w:cs="Times New Roman" w:eastAsia="Times New Roman" w:hAnsi="Times New Roman"/>
          <w:sz w:val="24"/>
          <w:szCs w:val="24"/>
        </w:rPr>
        <w:t xml:space="preserve">(·) the hierarchical contour filter constrained by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max</w:t>
      </w:r>
      <w:r>
        <w:rPr>
          <w:rFonts w:ascii="Times New Roman" w:cs="Times New Roman" w:eastAsia="Times New Roman" w:hAnsi="Times New Roman"/>
          <w:sz w:val="24"/>
          <w:szCs w:val="24"/>
        </w:rPr>
        <w:t xml:space="preserve">].</w:t>
      </w:r>
    </w:p>
    <w:p>
      <w:pPr>
        <w:spacing w:after="80" w:before="140"/>
        <w:jc w:val="left"/>
      </w:pPr>
      <w:r>
        <w:rPr>
          <w:rFonts w:ascii="Times New Roman" w:cs="Times New Roman" w:eastAsia="Times New Roman" w:hAnsi="Times New Roman"/>
          <w:b/>
          <w:bCs/>
          <w:sz w:val="24"/>
          <w:szCs w:val="24"/>
        </w:rPr>
        <w:t xml:space="preserve">Architecture of the Proposed Pipeline</w:t>
      </w:r>
    </w:p>
    <w:p>
      <w:pPr>
        <w:spacing w:after="100" w:line="340"/>
        <w:jc w:val="both"/>
      </w:pPr>
      <w:r>
        <w:rPr>
          <w:rFonts w:ascii="Times New Roman" w:cs="Times New Roman" w:eastAsia="Times New Roman" w:hAnsi="Times New Roman"/>
          <w:sz w:val="24"/>
          <w:szCs w:val="24"/>
        </w:rPr>
        <w:t xml:space="preserve">The pipeline comprises four sequential modules. The </w:t>
      </w:r>
      <w:r>
        <w:rPr>
          <w:rFonts w:ascii="Times New Roman" w:cs="Times New Roman" w:eastAsia="Times New Roman" w:hAnsi="Times New Roman"/>
          <w:b/>
          <w:bCs/>
          <w:sz w:val="24"/>
          <w:szCs w:val="24"/>
        </w:rPr>
        <w:t xml:space="preserve">red-shadow attenuation module</w:t>
      </w:r>
      <w:r>
        <w:rPr>
          <w:rFonts w:ascii="Times New Roman" w:cs="Times New Roman" w:eastAsia="Times New Roman" w:hAnsi="Times New Roman"/>
          <w:sz w:val="24"/>
          <w:szCs w:val="24"/>
        </w:rPr>
        <w:t xml:space="preserve"> converts each frame from BGR to HSV, builds a red-region mask by combining the hue intervals [0°, 15°] and [160°, 180°] via bitwise OR, refines it through morphological closing and opening with a 5×5 kernel, and attenuates the saturation channel within the mask by a factor of three. The </w:t>
      </w:r>
      <w:r>
        <w:rPr>
          <w:rFonts w:ascii="Times New Roman" w:cs="Times New Roman" w:eastAsia="Times New Roman" w:hAnsi="Times New Roman"/>
          <w:b/>
          <w:bCs/>
          <w:sz w:val="24"/>
          <w:szCs w:val="24"/>
        </w:rPr>
        <w:t xml:space="preserve">binarisation module</w:t>
      </w:r>
      <w:r>
        <w:rPr>
          <w:rFonts w:ascii="Times New Roman" w:cs="Times New Roman" w:eastAsia="Times New Roman" w:hAnsi="Times New Roman"/>
          <w:sz w:val="24"/>
          <w:szCs w:val="24"/>
        </w:rPr>
        <w:t xml:space="preserve"> converts the desaturated frame to grayscale, optionally enhances local contrast via CLAHE (clip limit 5.0, 8×8 grid), and applies adaptive Gaussian thresholding with block size 51 and constant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25. The binary image is inverted and refined through a dilation–erosion cycle with a 3×3 kernel.</w:t>
      </w:r>
    </w:p>
    <w:p>
      <w:pPr>
        <w:spacing w:after="100" w:line="34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contour extraction module</w:t>
      </w:r>
      <w:r>
        <w:rPr>
          <w:rFonts w:ascii="Times New Roman" w:cs="Times New Roman" w:eastAsia="Times New Roman" w:hAnsi="Times New Roman"/>
          <w:sz w:val="24"/>
          <w:szCs w:val="24"/>
        </w:rPr>
        <w:t xml:space="preserve"> invokes cv2.findContours with the RETR_TREE retrieval mode and retains contours satisfying (i)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min</w:t>
      </w:r>
      <w:r>
        <w:rPr>
          <w:rFonts w:ascii="Times New Roman" w:cs="Times New Roman" w:eastAsia="Times New Roman" w:hAnsi="Times New Roman"/>
          <w:sz w:val="24"/>
          <w:szCs w:val="24"/>
        </w:rPr>
        <w:t xml:space="preserve"> &lt; area &lt;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max</w:t>
      </w:r>
      <w:r>
        <w:rPr>
          <w:rFonts w:ascii="Times New Roman" w:cs="Times New Roman" w:eastAsia="Times New Roman" w:hAnsi="Times New Roman"/>
          <w:sz w:val="24"/>
          <w:szCs w:val="24"/>
        </w:rPr>
        <w:t xml:space="preserve"> (defaults 20 px² and 1000 px²) and (ii) a non-negative parent index, isolating enclosed inner holes corresponding to particle cross-sections. The </w:t>
      </w:r>
      <w:r>
        <w:rPr>
          <w:rFonts w:ascii="Times New Roman" w:cs="Times New Roman" w:eastAsia="Times New Roman" w:hAnsi="Times New Roman"/>
          <w:b/>
          <w:bCs/>
          <w:sz w:val="24"/>
          <w:szCs w:val="24"/>
        </w:rPr>
        <w:t xml:space="preserve">distance estimation module</w:t>
      </w:r>
      <w:r>
        <w:rPr>
          <w:rFonts w:ascii="Times New Roman" w:cs="Times New Roman" w:eastAsia="Times New Roman" w:hAnsi="Times New Roman"/>
          <w:sz w:val="24"/>
          <w:szCs w:val="24"/>
        </w:rPr>
        <w:t xml:space="preserve"> computes, for every unordered pair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j</w:t>
      </w:r>
      <w:r>
        <w:rPr>
          <w:rFonts w:ascii="Times New Roman" w:cs="Times New Roman" w:eastAsia="Times New Roman" w:hAnsi="Times New Roman"/>
          <w:sz w:val="24"/>
          <w:szCs w:val="24"/>
        </w:rPr>
        <w:t xml:space="preserve">), the shortest Euclidean boundary distance via adaptive sub-sampling with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 = max(10, min(50,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|/10)):</w:t>
      </w:r>
    </w:p>
    <w:p>
      <w:pPr>
        <w:spacing w:after="80" w:before="80"/>
        <w:jc w:val="center"/>
      </w:pP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j</w:t>
      </w:r>
      <w:r>
        <w:rPr>
          <w:rFonts w:ascii="Times New Roman" w:cs="Times New Roman" w:eastAsia="Times New Roman" w:hAnsi="Times New Roman"/>
          <w:sz w:val="24"/>
          <w:szCs w:val="24"/>
        </w:rPr>
        <w:t xml:space="preserve">) = min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‖₂,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j</w:t>
      </w:r>
      <w:r>
        <w:rPr>
          <w:rFonts w:ascii="Times New Roman" w:cs="Times New Roman" w:eastAsia="Times New Roman" w:hAnsi="Times New Roman"/>
          <w:sz w:val="24"/>
          <w:szCs w:val="24"/>
        </w:rPr>
        <w:t xml:space="preserve">)</w:t>
      </w:r>
    </w:p>
    <w:p>
      <w:pPr>
        <w:spacing w:after="100" w:line="340"/>
        <w:jc w:val="both"/>
      </w:pPr>
      <w:r>
        <w:rPr>
          <w:rFonts w:ascii="Times New Roman" w:cs="Times New Roman" w:eastAsia="Times New Roman" w:hAnsi="Times New Roman"/>
          <w:sz w:val="24"/>
          <w:szCs w:val="24"/>
        </w:rPr>
        <w:t xml:space="preserve">Pixel distances are converted to micrometres through a calibrated factor of 6.2 px/μm. Five per-frame statistics jointly characterise the spatial distribution and aggregation tendency of the particle ensemble: the minimum, maximum, mean, and median pairwise distance, together with a close-pair ratio defined as the proportion of pairs satisfying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&lt; 3 μm relative to the sub-population of pairs with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median</w:t>
      </w:r>
      <w:r>
        <w:rPr>
          <w:rFonts w:ascii="Times New Roman" w:cs="Times New Roman" w:eastAsia="Times New Roman" w:hAnsi="Times New Roman"/>
          <w:sz w:val="24"/>
          <w:szCs w:val="24"/>
        </w:rPr>
        <w:t xml:space="preserve">. Restricting the denominator to this near-neighbour sub-population removes the dilution caused by long-range pairs that carry no aggregation information, yielding a statistic more sensitive to local clustering behaviour.</w:t>
      </w:r>
    </w:p>
    <w:p>
      <w:pPr>
        <w:spacing w:after="80" w:before="140"/>
        <w:jc w:val="left"/>
      </w:pPr>
      <w:r>
        <w:rPr>
          <w:rFonts w:ascii="Times New Roman" w:cs="Times New Roman" w:eastAsia="Times New Roman" w:hAnsi="Times New Roman"/>
          <w:b/>
          <w:bCs/>
          <w:sz w:val="24"/>
          <w:szCs w:val="24"/>
        </w:rPr>
        <w:t xml:space="preserve">Methods</w:t>
      </w:r>
    </w:p>
    <w:p>
      <w:pPr>
        <w:spacing w:after="100" w:line="340"/>
        <w:jc w:val="both"/>
      </w:pPr>
      <w:r>
        <w:rPr>
          <w:rFonts w:ascii="Times New Roman" w:cs="Times New Roman" w:eastAsia="Times New Roman" w:hAnsi="Times New Roman"/>
          <w:sz w:val="24"/>
          <w:szCs w:val="24"/>
        </w:rPr>
        <w:t xml:space="preserve">Microscopy videos were decoded frame-by-frame via the OpenCV VideoCapture interface (Bradski, 2000) and processed independently. Hyper-parameters—block size, constant offset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area interval, and CLAHE clip limit—were tuned by an interactive grid search on representative frames, selecting the configuration with the lowest false-positive rate. Three CSV records were generated per video, and scatter plots of each statistic against the frame index were rendered via Matplotlib (Hunter, 2007). The combined strategy substantially improved detection robustness under heterogeneous illumination.</w:t>
      </w:r>
    </w:p>
    <w:p>
      <w:pPr>
        <w:spacing w:after="80" w:before="140"/>
        <w:jc w:val="left"/>
      </w:pPr>
      <w:r>
        <w:rPr>
          <w:rFonts w:ascii="Times New Roman" w:cs="Times New Roman" w:eastAsia="Times New Roman" w:hAnsi="Times New Roman"/>
          <w:b/>
          <w:bCs/>
          <w:sz w:val="24"/>
          <w:szCs w:val="24"/>
        </w:rPr>
        <w:t xml:space="preserve">References</w:t>
      </w:r>
    </w:p>
    <w:p>
      <w:pPr>
        <w:spacing w:after="100" w:line="280"/>
        <w:ind w:left="360" w:hanging="360"/>
        <w:jc w:val="left"/>
      </w:pPr>
      <w:r>
        <w:rPr>
          <w:rFonts w:ascii="Times New Roman" w:cs="Times New Roman" w:eastAsia="Times New Roman" w:hAnsi="Times New Roman"/>
          <w:sz w:val="24"/>
          <w:szCs w:val="24"/>
        </w:rPr>
        <w:t xml:space="preserve">Bradley, D., &amp; Roth, G. (2007). Adaptive thresholding using the integral image. </w:t>
      </w:r>
      <w:r>
        <w:rPr>
          <w:rFonts w:ascii="Times New Roman" w:cs="Times New Roman" w:eastAsia="Times New Roman" w:hAnsi="Times New Roman"/>
          <w:i/>
          <w:iCs/>
          <w:sz w:val="24"/>
          <w:szCs w:val="24"/>
        </w:rPr>
        <w:t xml:space="preserve">Journal of Graphics Tools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12</w:t>
      </w:r>
      <w:r>
        <w:rPr>
          <w:rFonts w:ascii="Times New Roman" w:cs="Times New Roman" w:eastAsia="Times New Roman" w:hAnsi="Times New Roman"/>
          <w:sz w:val="24"/>
          <w:szCs w:val="24"/>
        </w:rPr>
        <w:t xml:space="preserve">(2), 13–21.</w:t>
      </w:r>
    </w:p>
    <w:p>
      <w:pPr>
        <w:spacing w:after="100" w:line="280"/>
        <w:ind w:left="360" w:hanging="360"/>
        <w:jc w:val="left"/>
      </w:pPr>
      <w:r>
        <w:rPr>
          <w:rFonts w:ascii="Times New Roman" w:cs="Times New Roman" w:eastAsia="Times New Roman" w:hAnsi="Times New Roman"/>
          <w:sz w:val="24"/>
          <w:szCs w:val="24"/>
        </w:rPr>
        <w:t xml:space="preserve">Bradski, G. (2000). The OpenCV library. </w:t>
      </w:r>
      <w:r>
        <w:rPr>
          <w:rFonts w:ascii="Times New Roman" w:cs="Times New Roman" w:eastAsia="Times New Roman" w:hAnsi="Times New Roman"/>
          <w:i/>
          <w:iCs/>
          <w:sz w:val="24"/>
          <w:szCs w:val="24"/>
        </w:rPr>
        <w:t xml:space="preserve">Dr. Dobb’s Journal of Software Tools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25</w:t>
      </w:r>
      <w:r>
        <w:rPr>
          <w:rFonts w:ascii="Times New Roman" w:cs="Times New Roman" w:eastAsia="Times New Roman" w:hAnsi="Times New Roman"/>
          <w:sz w:val="24"/>
          <w:szCs w:val="24"/>
        </w:rPr>
        <w:t xml:space="preserve">(11), 120–125.</w:t>
      </w:r>
    </w:p>
    <w:p>
      <w:pPr>
        <w:spacing w:after="100" w:line="280"/>
        <w:ind w:left="360" w:hanging="360"/>
        <w:jc w:val="left"/>
      </w:pPr>
      <w:r>
        <w:rPr>
          <w:rFonts w:ascii="Times New Roman" w:cs="Times New Roman" w:eastAsia="Times New Roman" w:hAnsi="Times New Roman"/>
          <w:sz w:val="24"/>
          <w:szCs w:val="24"/>
        </w:rPr>
        <w:t xml:space="preserve">Hunter, J. D. (2007). Matplotlib: A 2D graphics environment. </w:t>
      </w:r>
      <w:r>
        <w:rPr>
          <w:rFonts w:ascii="Times New Roman" w:cs="Times New Roman" w:eastAsia="Times New Roman" w:hAnsi="Times New Roman"/>
          <w:i/>
          <w:iCs/>
          <w:sz w:val="24"/>
          <w:szCs w:val="24"/>
        </w:rPr>
        <w:t xml:space="preserve">Computing in Science &amp; Engineering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9</w:t>
      </w:r>
      <w:r>
        <w:rPr>
          <w:rFonts w:ascii="Times New Roman" w:cs="Times New Roman" w:eastAsia="Times New Roman" w:hAnsi="Times New Roman"/>
          <w:sz w:val="24"/>
          <w:szCs w:val="24"/>
        </w:rPr>
        <w:t xml:space="preserve">(3), 90–95.</w:t>
      </w:r>
    </w:p>
    <w:p>
      <w:pPr>
        <w:spacing w:after="100" w:line="280"/>
        <w:ind w:left="360" w:hanging="360"/>
        <w:jc w:val="left"/>
      </w:pPr>
      <w:r>
        <w:rPr>
          <w:rFonts w:ascii="Times New Roman" w:cs="Times New Roman" w:eastAsia="Times New Roman" w:hAnsi="Times New Roman"/>
          <w:sz w:val="24"/>
          <w:szCs w:val="24"/>
        </w:rPr>
        <w:t xml:space="preserve">Suzuki, S., &amp; Abe, K. (1985). Topological structural analysis of digitized binary images by border following. </w:t>
      </w:r>
      <w:r>
        <w:rPr>
          <w:rFonts w:ascii="Times New Roman" w:cs="Times New Roman" w:eastAsia="Times New Roman" w:hAnsi="Times New Roman"/>
          <w:i/>
          <w:iCs/>
          <w:sz w:val="24"/>
          <w:szCs w:val="24"/>
        </w:rPr>
        <w:t xml:space="preserve">Computer Vision, Graphics, and Image Processing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30</w:t>
      </w:r>
      <w:r>
        <w:rPr>
          <w:rFonts w:ascii="Times New Roman" w:cs="Times New Roman" w:eastAsia="Times New Roman" w:hAnsi="Times New Roman"/>
          <w:sz w:val="24"/>
          <w:szCs w:val="24"/>
        </w:rPr>
        <w:t xml:space="preserve">(1), 32–46.</w:t>
      </w:r>
    </w:p>
    <w:p>
      <w:pPr>
        <w:spacing w:after="100" w:line="280"/>
        <w:ind w:left="360" w:hanging="360"/>
        <w:jc w:val="left"/>
      </w:pPr>
      <w:r>
        <w:rPr>
          <w:rFonts w:ascii="Times New Roman" w:cs="Times New Roman" w:eastAsia="Times New Roman" w:hAnsi="Times New Roman"/>
          <w:sz w:val="24"/>
          <w:szCs w:val="24"/>
        </w:rPr>
        <w:t xml:space="preserve">Zuiderveld, K. (1994). Contrast limited adaptive histogram equalization. In </w:t>
      </w:r>
      <w:r>
        <w:rPr>
          <w:rFonts w:ascii="Times New Roman" w:cs="Times New Roman" w:eastAsia="Times New Roman" w:hAnsi="Times New Roman"/>
          <w:i/>
          <w:iCs/>
          <w:sz w:val="24"/>
          <w:szCs w:val="24"/>
        </w:rPr>
        <w:t xml:space="preserve">Graphics Gems IV</w:t>
      </w:r>
      <w:r>
        <w:rPr>
          <w:rFonts w:ascii="Times New Roman" w:cs="Times New Roman" w:eastAsia="Times New Roman" w:hAnsi="Times New Roman"/>
          <w:sz w:val="24"/>
          <w:szCs w:val="24"/>
        </w:rPr>
        <w:t xml:space="preserve"> (pp. 474–485). Academic Press.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2026-05-19T06:03:33.897Z</dcterms:created>
  <dcterms:modified xsi:type="dcterms:W3CDTF">2026-05-19T06:03:33.897Z</dcterms:modified>
</cp:coreProperties>
</file>

<file path=docProps/custom.xml><?xml version="1.0" encoding="utf-8"?>
<Properties xmlns="http://schemas.openxmlformats.org/officeDocument/2006/custom-properties" xmlns:vt="http://schemas.openxmlformats.org/officeDocument/2006/docPropsVTypes"/>
</file>