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80ED1" w14:textId="2EAF909D" w:rsidR="00D108F2" w:rsidRPr="00D764E9" w:rsidRDefault="00B44794" w:rsidP="00417BDA">
      <w:pPr>
        <w:spacing w:afterLines="50" w:after="156"/>
        <w:ind w:firstLineChars="0" w:firstLine="0"/>
        <w:jc w:val="center"/>
        <w:rPr>
          <w:b/>
          <w:sz w:val="28"/>
          <w:szCs w:val="28"/>
        </w:rPr>
      </w:pPr>
      <w:r w:rsidRPr="00D764E9">
        <w:rPr>
          <w:b/>
          <w:bCs/>
          <w:sz w:val="28"/>
          <w:szCs w:val="28"/>
        </w:rPr>
        <w:t xml:space="preserve">Improved </w:t>
      </w:r>
      <w:r w:rsidR="00D764E9">
        <w:rPr>
          <w:b/>
          <w:bCs/>
          <w:sz w:val="28"/>
          <w:szCs w:val="28"/>
        </w:rPr>
        <w:t>i</w:t>
      </w:r>
      <w:r w:rsidRPr="00D764E9">
        <w:rPr>
          <w:b/>
          <w:bCs/>
          <w:sz w:val="28"/>
          <w:szCs w:val="28"/>
        </w:rPr>
        <w:t>mportance</w:t>
      </w:r>
      <w:r w:rsidR="00D764E9">
        <w:rPr>
          <w:rFonts w:cs="Times New Roman"/>
          <w:b/>
          <w:bCs/>
          <w:sz w:val="28"/>
          <w:szCs w:val="28"/>
        </w:rPr>
        <w:t>–</w:t>
      </w:r>
      <w:r w:rsidRPr="00D764E9">
        <w:rPr>
          <w:b/>
          <w:bCs/>
          <w:sz w:val="28"/>
          <w:szCs w:val="28"/>
        </w:rPr>
        <w:t xml:space="preserve">performance analysis: </w:t>
      </w:r>
      <w:r w:rsidR="00790F67">
        <w:rPr>
          <w:b/>
          <w:bCs/>
          <w:sz w:val="28"/>
          <w:szCs w:val="28"/>
        </w:rPr>
        <w:t>N</w:t>
      </w:r>
      <w:r w:rsidRPr="00D764E9">
        <w:rPr>
          <w:b/>
          <w:bCs/>
          <w:sz w:val="28"/>
          <w:szCs w:val="28"/>
        </w:rPr>
        <w:t>ew ranking identification method for passenger satisfaction of urban rail transit</w:t>
      </w:r>
    </w:p>
    <w:p w14:paraId="318D152F" w14:textId="204B9B13" w:rsidR="00F61BF9" w:rsidRPr="00D764E9" w:rsidRDefault="00A96F4B" w:rsidP="00DA2867">
      <w:pPr>
        <w:spacing w:afterLines="50" w:after="156"/>
        <w:ind w:firstLineChars="0" w:firstLine="0"/>
        <w:jc w:val="center"/>
        <w:rPr>
          <w:b/>
          <w:sz w:val="21"/>
          <w:szCs w:val="21"/>
        </w:rPr>
      </w:pPr>
      <w:commentRangeStart w:id="0"/>
      <w:r w:rsidRPr="00D764E9">
        <w:rPr>
          <w:b/>
          <w:bCs/>
          <w:sz w:val="21"/>
          <w:szCs w:val="21"/>
        </w:rPr>
        <w:t>Zhu Shunying, Yu Cai (corresponding author)</w:t>
      </w:r>
      <w:r w:rsidR="00D764E9">
        <w:rPr>
          <w:b/>
          <w:bCs/>
          <w:sz w:val="21"/>
          <w:szCs w:val="21"/>
        </w:rPr>
        <w:t>,</w:t>
      </w:r>
      <w:r w:rsidRPr="00D764E9">
        <w:rPr>
          <w:b/>
          <w:bCs/>
          <w:sz w:val="21"/>
          <w:szCs w:val="21"/>
        </w:rPr>
        <w:t xml:space="preserve"> Wang Hong</w:t>
      </w:r>
      <w:r w:rsidR="00D04AB1">
        <w:rPr>
          <w:b/>
          <w:bCs/>
          <w:sz w:val="21"/>
          <w:szCs w:val="21"/>
        </w:rPr>
        <w:t>,</w:t>
      </w:r>
      <w:r w:rsidRPr="00D764E9">
        <w:rPr>
          <w:b/>
          <w:bCs/>
          <w:sz w:val="21"/>
          <w:szCs w:val="21"/>
        </w:rPr>
        <w:t xml:space="preserve"> Xu Wangtu</w:t>
      </w:r>
      <w:commentRangeEnd w:id="0"/>
      <w:r w:rsidR="00D04AB1">
        <w:rPr>
          <w:rStyle w:val="CommentReference"/>
        </w:rPr>
        <w:commentReference w:id="0"/>
      </w:r>
    </w:p>
    <w:p w14:paraId="0C727AD4" w14:textId="77777777" w:rsidR="00537CB5" w:rsidRPr="00D764E9" w:rsidRDefault="00537CB5" w:rsidP="00417BDA">
      <w:pPr>
        <w:spacing w:afterLines="50" w:after="156"/>
        <w:ind w:firstLineChars="0" w:firstLine="0"/>
      </w:pPr>
      <w:r w:rsidRPr="00D764E9">
        <w:rPr>
          <w:b/>
          <w:bCs/>
        </w:rPr>
        <w:t>Abstract</w:t>
      </w:r>
    </w:p>
    <w:p w14:paraId="1EDEC6D2" w14:textId="25A187FB" w:rsidR="002804E2" w:rsidRPr="00D764E9" w:rsidRDefault="004300BF" w:rsidP="00417BDA">
      <w:pPr>
        <w:spacing w:afterLines="50" w:after="156"/>
        <w:ind w:firstLineChars="0" w:firstLine="0"/>
      </w:pPr>
      <w:r>
        <w:t>Improvements in s</w:t>
      </w:r>
      <w:r w:rsidR="00945343" w:rsidRPr="00D764E9">
        <w:t xml:space="preserve">ervice quality and passenger satisfaction are important </w:t>
      </w:r>
      <w:r>
        <w:t>in</w:t>
      </w:r>
      <w:r w:rsidR="00945343" w:rsidRPr="00D764E9">
        <w:t xml:space="preserve"> </w:t>
      </w:r>
      <w:r>
        <w:t>enhancing</w:t>
      </w:r>
      <w:r w:rsidR="00945343" w:rsidRPr="00D764E9">
        <w:t xml:space="preserve"> the attractiveness of city rail transit</w:t>
      </w:r>
      <w:r>
        <w:t xml:space="preserve"> and loyalty</w:t>
      </w:r>
      <w:r w:rsidR="006F20BB">
        <w:t xml:space="preserve"> of passengers</w:t>
      </w:r>
      <w:r w:rsidR="00945343" w:rsidRPr="00D764E9">
        <w:t>. Satisfaction improvement decisions and methods include the traditional importance</w:t>
      </w:r>
      <w:commentRangeStart w:id="1"/>
      <w:r w:rsidR="00CB152A">
        <w:rPr>
          <w:rFonts w:cs="Times New Roman"/>
        </w:rPr>
        <w:t>–</w:t>
      </w:r>
      <w:commentRangeEnd w:id="1"/>
      <w:r w:rsidR="00CB152A">
        <w:rPr>
          <w:rStyle w:val="CommentReference"/>
        </w:rPr>
        <w:commentReference w:id="1"/>
      </w:r>
      <w:r w:rsidR="00945343" w:rsidRPr="00D764E9">
        <w:t xml:space="preserve">performance analysis (IPA) and </w:t>
      </w:r>
      <w:r w:rsidR="006F20BB">
        <w:t xml:space="preserve">the </w:t>
      </w:r>
      <w:r w:rsidR="00945343" w:rsidRPr="00D764E9">
        <w:t>newly added three-factor method. However, the</w:t>
      </w:r>
      <w:r w:rsidR="006F20BB">
        <w:t>se</w:t>
      </w:r>
      <w:r w:rsidR="00945343" w:rsidRPr="00D764E9">
        <w:t xml:space="preserve"> </w:t>
      </w:r>
      <w:r w:rsidR="006F20BB">
        <w:t>techniques</w:t>
      </w:r>
      <w:r w:rsidR="00945343" w:rsidRPr="00D764E9">
        <w:t xml:space="preserve"> can only determine the category precedence </w:t>
      </w:r>
      <w:r w:rsidR="006F20BB">
        <w:t xml:space="preserve">and do not </w:t>
      </w:r>
      <w:r w:rsidR="00945343" w:rsidRPr="00D764E9">
        <w:t>rank all the elements in the category. Th</w:t>
      </w:r>
      <w:r w:rsidR="006F20BB">
        <w:t>e th</w:t>
      </w:r>
      <w:r w:rsidR="00945343" w:rsidRPr="00D764E9">
        <w:t xml:space="preserve">reshold value of the category division also remains </w:t>
      </w:r>
      <w:r w:rsidR="00CB152A">
        <w:t>debated</w:t>
      </w:r>
      <w:r w:rsidR="00945343" w:rsidRPr="00D764E9">
        <w:t>. We keep the advantages of IPA method as consideration of index importance, short</w:t>
      </w:r>
      <w:r w:rsidR="007D513B">
        <w:t>-</w:t>
      </w:r>
      <w:r w:rsidR="00945343" w:rsidRPr="00D764E9">
        <w:t>plate theory</w:t>
      </w:r>
      <w:commentRangeStart w:id="2"/>
      <w:r w:rsidR="00CB152A">
        <w:t>,</w:t>
      </w:r>
      <w:commentRangeEnd w:id="2"/>
      <w:r w:rsidR="00CB152A">
        <w:rPr>
          <w:rStyle w:val="CommentReference"/>
        </w:rPr>
        <w:commentReference w:id="2"/>
      </w:r>
      <w:r w:rsidR="00945343" w:rsidRPr="00D764E9">
        <w:t xml:space="preserve"> and classified sequence</w:t>
      </w:r>
      <w:r w:rsidR="006F20BB">
        <w:t>. We then introduce</w:t>
      </w:r>
      <w:r w:rsidR="00945343" w:rsidRPr="00D764E9">
        <w:t xml:space="preserve"> the </w:t>
      </w:r>
      <w:r w:rsidR="00CB152A">
        <w:t>“</w:t>
      </w:r>
      <w:r w:rsidR="00945343" w:rsidRPr="00D764E9">
        <w:t>potential performance</w:t>
      </w:r>
      <w:r w:rsidR="00CB152A">
        <w:t>”</w:t>
      </w:r>
      <w:r w:rsidR="00945343" w:rsidRPr="00D764E9">
        <w:t xml:space="preserve"> </w:t>
      </w:r>
      <w:r w:rsidR="000E2630">
        <w:t xml:space="preserve">(PP) </w:t>
      </w:r>
      <w:r w:rsidR="00945343" w:rsidRPr="00D764E9">
        <w:t>concept and models</w:t>
      </w:r>
      <w:r w:rsidR="007B4883">
        <w:t>,</w:t>
      </w:r>
      <w:r w:rsidR="006F20BB">
        <w:t xml:space="preserve"> and a </w:t>
      </w:r>
      <w:r w:rsidR="00945343" w:rsidRPr="00D764E9">
        <w:t xml:space="preserve">ranking method </w:t>
      </w:r>
      <w:r w:rsidR="006F20BB">
        <w:t xml:space="preserve">that is </w:t>
      </w:r>
      <w:r w:rsidR="00945343" w:rsidRPr="00D764E9">
        <w:t xml:space="preserve">based on </w:t>
      </w:r>
      <w:r w:rsidR="000E2630">
        <w:t>PP</w:t>
      </w:r>
      <w:r w:rsidR="00945343" w:rsidRPr="00D764E9">
        <w:t xml:space="preserve">. Index ranking and classification can be implemented </w:t>
      </w:r>
      <w:r w:rsidR="007B4883">
        <w:t xml:space="preserve">on the basis of the </w:t>
      </w:r>
      <w:r w:rsidR="00945343" w:rsidRPr="00D764E9">
        <w:t xml:space="preserve">performance value and curve according to </w:t>
      </w:r>
      <w:r w:rsidR="007D513B">
        <w:t>th</w:t>
      </w:r>
      <w:r w:rsidR="007B4883">
        <w:t>is</w:t>
      </w:r>
      <w:r w:rsidR="007D513B" w:rsidRPr="00D764E9">
        <w:t xml:space="preserve"> </w:t>
      </w:r>
      <w:r w:rsidR="00945343" w:rsidRPr="00D764E9">
        <w:t xml:space="preserve">method. </w:t>
      </w:r>
      <w:r w:rsidR="007B4883">
        <w:t xml:space="preserve">The </w:t>
      </w:r>
      <w:r w:rsidR="000E2630">
        <w:t>PP</w:t>
      </w:r>
      <w:r w:rsidR="00945343" w:rsidRPr="00D764E9">
        <w:t xml:space="preserve"> ranking method </w:t>
      </w:r>
      <w:r w:rsidR="007B4883">
        <w:t>considers</w:t>
      </w:r>
      <w:r w:rsidR="007B4883" w:rsidRPr="00D764E9">
        <w:t xml:space="preserve"> </w:t>
      </w:r>
      <w:r w:rsidR="00945343" w:rsidRPr="00D764E9">
        <w:t>the potential, difficulty</w:t>
      </w:r>
      <w:r w:rsidR="00CB152A">
        <w:t>,</w:t>
      </w:r>
      <w:r w:rsidR="00945343" w:rsidRPr="00D764E9">
        <w:t xml:space="preserve"> and uncertainty of index improvement and simplifies the </w:t>
      </w:r>
      <w:r w:rsidR="007B4883">
        <w:t xml:space="preserve">required </w:t>
      </w:r>
      <w:r w:rsidR="00945343" w:rsidRPr="00D764E9">
        <w:t xml:space="preserve">multidimensional ranking into one-dimensional sequencing. Finally, </w:t>
      </w:r>
      <w:r w:rsidR="007B4883">
        <w:t xml:space="preserve">the improvement strategies of Wuhan City for </w:t>
      </w:r>
      <w:r w:rsidR="00945343" w:rsidRPr="00D764E9">
        <w:t>rail transit satisfaction in 2017</w:t>
      </w:r>
      <w:r w:rsidR="00CB152A">
        <w:rPr>
          <w:rFonts w:hint="eastAsia"/>
        </w:rPr>
        <w:t xml:space="preserve"> </w:t>
      </w:r>
      <w:r w:rsidR="007B4883">
        <w:t xml:space="preserve">are regarded </w:t>
      </w:r>
      <w:r w:rsidR="00945343" w:rsidRPr="00D764E9">
        <w:t xml:space="preserve">as an example. </w:t>
      </w:r>
      <w:r w:rsidR="007B4883">
        <w:t>The i</w:t>
      </w:r>
      <w:r w:rsidR="00945343" w:rsidRPr="00D764E9">
        <w:t xml:space="preserve">mprovement precedence of the satisfaction index is divided into </w:t>
      </w:r>
      <w:r w:rsidR="00CB152A">
        <w:t xml:space="preserve">three </w:t>
      </w:r>
      <w:r w:rsidR="00945343" w:rsidRPr="00D764E9">
        <w:t xml:space="preserve">bands through </w:t>
      </w:r>
      <w:r w:rsidR="000E2630">
        <w:t>PP</w:t>
      </w:r>
      <w:r w:rsidR="00945343" w:rsidRPr="00D764E9">
        <w:t xml:space="preserve">: </w:t>
      </w:r>
      <w:r w:rsidR="007D513B">
        <w:t>i</w:t>
      </w:r>
      <w:r w:rsidR="00945343" w:rsidRPr="00D764E9">
        <w:t>mprovement items in dire need, secondary need</w:t>
      </w:r>
      <w:r w:rsidR="00CB152A">
        <w:t>,</w:t>
      </w:r>
      <w:r w:rsidR="00945343" w:rsidRPr="00D764E9">
        <w:t xml:space="preserve"> and with no need, all of which should be compared and analyzed with IPA results. Discovery of new methods can sequence</w:t>
      </w:r>
      <w:r w:rsidR="00CB152A">
        <w:t xml:space="preserve"> and</w:t>
      </w:r>
      <w:r w:rsidR="00945343" w:rsidRPr="00D764E9">
        <w:t xml:space="preserve"> classify the indexes and </w:t>
      </w:r>
      <w:r w:rsidR="000E2630">
        <w:t>PP</w:t>
      </w:r>
      <w:r w:rsidR="00945343" w:rsidRPr="00D764E9">
        <w:t xml:space="preserve"> value </w:t>
      </w:r>
      <w:r w:rsidR="007D513B">
        <w:t>and</w:t>
      </w:r>
      <w:r w:rsidR="00945343" w:rsidRPr="00D764E9">
        <w:t xml:space="preserve"> indicate </w:t>
      </w:r>
      <w:r w:rsidR="007B4883">
        <w:t xml:space="preserve">several </w:t>
      </w:r>
      <w:r w:rsidR="00945343" w:rsidRPr="00D764E9">
        <w:t>differences with IPA results</w:t>
      </w:r>
      <w:r w:rsidR="005F0E33">
        <w:t>. Such disparitiesresult from the</w:t>
      </w:r>
      <w:r w:rsidR="00945343" w:rsidRPr="00D764E9">
        <w:t xml:space="preserve"> </w:t>
      </w:r>
      <w:r w:rsidR="005F0E33">
        <w:t xml:space="preserve">substantial </w:t>
      </w:r>
      <w:r w:rsidR="00945343" w:rsidRPr="00D764E9">
        <w:t>consideration of ranking influential factors</w:t>
      </w:r>
      <w:r w:rsidR="005F0E33">
        <w:t>, which yields credible, explanatory</w:t>
      </w:r>
      <w:r w:rsidR="00945343" w:rsidRPr="00D764E9">
        <w:t xml:space="preserve"> classification and ranking results. </w:t>
      </w:r>
    </w:p>
    <w:p w14:paraId="637E3BC8" w14:textId="77777777" w:rsidR="00F4264F" w:rsidRPr="00D764E9" w:rsidRDefault="00F4264F" w:rsidP="00417BDA">
      <w:pPr>
        <w:spacing w:afterLines="50" w:after="156"/>
        <w:ind w:firstLineChars="0" w:firstLine="0"/>
      </w:pPr>
    </w:p>
    <w:p w14:paraId="7CC84B28" w14:textId="7B02F649" w:rsidR="00013574" w:rsidRPr="00D764E9" w:rsidRDefault="00013574" w:rsidP="00417BDA">
      <w:pPr>
        <w:spacing w:afterLines="50" w:after="156"/>
        <w:ind w:firstLineChars="0" w:firstLine="0"/>
      </w:pPr>
      <w:commentRangeStart w:id="3"/>
      <w:r w:rsidRPr="00D764E9">
        <w:rPr>
          <w:b/>
          <w:bCs/>
        </w:rPr>
        <w:t>Key Words</w:t>
      </w:r>
      <w:r w:rsidRPr="00D764E9">
        <w:t xml:space="preserve">: Rail transit; service quality; passenger satisfaction; improvement </w:t>
      </w:r>
      <w:commentRangeStart w:id="4"/>
      <w:r w:rsidRPr="00D764E9">
        <w:t>strateg</w:t>
      </w:r>
      <w:r w:rsidR="005F0E33">
        <w:t>y</w:t>
      </w:r>
      <w:commentRangeEnd w:id="4"/>
      <w:r w:rsidR="005F0E33">
        <w:rPr>
          <w:rStyle w:val="CommentReference"/>
        </w:rPr>
        <w:commentReference w:id="4"/>
      </w:r>
      <w:r w:rsidRPr="00D764E9">
        <w:t xml:space="preserve"> sequencing; potential performance; </w:t>
      </w:r>
      <w:r w:rsidR="00CB152A">
        <w:t>s</w:t>
      </w:r>
      <w:r w:rsidRPr="00D764E9">
        <w:t xml:space="preserve">tructural </w:t>
      </w:r>
      <w:r w:rsidR="00CB152A">
        <w:t>e</w:t>
      </w:r>
      <w:r w:rsidRPr="00D764E9">
        <w:t xml:space="preserve">quation </w:t>
      </w:r>
      <w:r w:rsidR="00CB152A">
        <w:t>m</w:t>
      </w:r>
      <w:r w:rsidRPr="00D764E9">
        <w:t xml:space="preserve">odeling (SEM); </w:t>
      </w:r>
      <w:r w:rsidR="00CB152A">
        <w:t>i</w:t>
      </w:r>
      <w:r w:rsidRPr="00D764E9">
        <w:t>mportance</w:t>
      </w:r>
      <w:r w:rsidR="00CB152A">
        <w:rPr>
          <w:rFonts w:cs="Times New Roman"/>
        </w:rPr>
        <w:t>–</w:t>
      </w:r>
      <w:r w:rsidRPr="00D764E9">
        <w:t xml:space="preserve">performance analysis (IPA); </w:t>
      </w:r>
      <w:r w:rsidR="00CB152A">
        <w:t>t</w:t>
      </w:r>
      <w:r w:rsidRPr="00D764E9">
        <w:t>hree-factor theory</w:t>
      </w:r>
      <w:commentRangeEnd w:id="3"/>
      <w:r w:rsidR="00CB152A">
        <w:rPr>
          <w:rStyle w:val="CommentReference"/>
        </w:rPr>
        <w:commentReference w:id="3"/>
      </w:r>
    </w:p>
    <w:p w14:paraId="2AF84621" w14:textId="20CF9CD6" w:rsidR="00013574" w:rsidRPr="00D764E9" w:rsidRDefault="00300288" w:rsidP="00417BDA">
      <w:pPr>
        <w:pStyle w:val="Heading1"/>
        <w:spacing w:before="0" w:beforeAutospacing="0" w:afterLines="50" w:after="156" w:afterAutospacing="0"/>
      </w:pPr>
      <w:r w:rsidRPr="00D764E9">
        <w:t>1.</w:t>
      </w:r>
      <w:r w:rsidR="006E7C56">
        <w:t xml:space="preserve"> </w:t>
      </w:r>
      <w:r w:rsidRPr="00D764E9">
        <w:t>Introduction</w:t>
      </w:r>
    </w:p>
    <w:p w14:paraId="11A71890" w14:textId="511D93FF" w:rsidR="000B0255" w:rsidRPr="00D764E9" w:rsidRDefault="00DC3328" w:rsidP="00417BDA">
      <w:pPr>
        <w:spacing w:afterLines="50" w:after="156"/>
        <w:ind w:firstLine="480"/>
      </w:pPr>
      <w:r w:rsidRPr="00D764E9">
        <w:t xml:space="preserve">Public transportation plays a significant role in alleviating traffic congestion and reducing carbon emissions. </w:t>
      </w:r>
      <w:r w:rsidR="00383113">
        <w:t xml:space="preserve">To </w:t>
      </w:r>
      <w:r w:rsidRPr="00D764E9">
        <w:t>improve the attractiveness of public transportation and maintain passenger capacity, transportation department</w:t>
      </w:r>
      <w:r w:rsidR="000816AD">
        <w:t>s</w:t>
      </w:r>
      <w:r w:rsidRPr="00D764E9">
        <w:t xml:space="preserve"> should </w:t>
      </w:r>
      <w:r w:rsidR="005F0E33">
        <w:t>study</w:t>
      </w:r>
      <w:r w:rsidRPr="00D764E9">
        <w:t xml:space="preserve"> passenger satisfaction and improve public transportation service</w:t>
      </w:r>
      <w:r w:rsidR="000816AD">
        <w:t>s</w:t>
      </w:r>
      <w:r w:rsidRPr="00D764E9">
        <w:t xml:space="preserve">. Research on passenger feedback </w:t>
      </w:r>
      <w:r w:rsidR="005F0E33">
        <w:t xml:space="preserve">regarding </w:t>
      </w:r>
      <w:r w:rsidRPr="00D764E9">
        <w:t xml:space="preserve">the </w:t>
      </w:r>
      <w:r w:rsidR="005F0E33">
        <w:t xml:space="preserve">entire </w:t>
      </w:r>
      <w:r w:rsidRPr="00D764E9">
        <w:t>service experience is increasingly important in assessing, measuring</w:t>
      </w:r>
      <w:r w:rsidR="00383113">
        <w:t>,</w:t>
      </w:r>
      <w:r w:rsidRPr="00D764E9">
        <w:t xml:space="preserve"> and improving the service quality of public transportation</w:t>
      </w:r>
      <w:r w:rsidR="005F0E33">
        <w:t xml:space="preserve"> and is</w:t>
      </w:r>
      <w:r w:rsidRPr="00D764E9">
        <w:t xml:space="preserve"> emphasized by the public transportation service industry. Academic </w:t>
      </w:r>
      <w:r w:rsidR="005F0E33">
        <w:t>literature</w:t>
      </w:r>
      <w:r w:rsidRPr="00D764E9">
        <w:t xml:space="preserve"> on passenger satisfaction mainly focuses on the following aspects: (1) </w:t>
      </w:r>
      <w:r w:rsidR="005F0E33">
        <w:t>p</w:t>
      </w:r>
      <w:r w:rsidRPr="00D764E9">
        <w:t>osition</w:t>
      </w:r>
      <w:r w:rsidR="005F0E33">
        <w:t>ing of</w:t>
      </w:r>
      <w:r w:rsidRPr="00D764E9">
        <w:t xml:space="preserve"> passenger demands and expectations </w:t>
      </w:r>
      <w:r w:rsidR="005F0E33">
        <w:t>through</w:t>
      </w:r>
      <w:r w:rsidRPr="00D764E9">
        <w:t xml:space="preserve"> passenger satisfaction </w:t>
      </w:r>
      <w:r w:rsidR="00D90236" w:rsidRPr="00D764E9">
        <w:fldChar w:fldCharType="begin"/>
      </w:r>
      <w:r w:rsidRPr="00D764E9">
        <w:instrText xml:space="preserve"> ADDIN NE.Ref.{7C7D2D91-1D6D-4FA2-8492-557D03B5D86F}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 xml:space="preserve">(Shaaban and </w:t>
      </w:r>
      <w:r w:rsidRPr="00D764E9">
        <w:rPr>
          <w:color w:val="0080FF"/>
          <w:kern w:val="0"/>
          <w:szCs w:val="24"/>
        </w:rPr>
        <w:lastRenderedPageBreak/>
        <w:t>Kim 2016)</w:t>
      </w:r>
      <w:r w:rsidR="00D90236" w:rsidRPr="00D764E9">
        <w:fldChar w:fldCharType="end"/>
      </w:r>
      <w:r w:rsidR="009252C8">
        <w:t>,</w:t>
      </w:r>
      <w:r w:rsidRPr="00D764E9">
        <w:t xml:space="preserve"> (2) </w:t>
      </w:r>
      <w:r w:rsidR="00383113">
        <w:t>c</w:t>
      </w:r>
      <w:r w:rsidRPr="00D764E9">
        <w:t>ompil</w:t>
      </w:r>
      <w:r w:rsidR="005F0E33">
        <w:t>ation of</w:t>
      </w:r>
      <w:r w:rsidRPr="00D764E9">
        <w:t xml:space="preserve"> service benchmark satisfied by passengers </w:t>
      </w:r>
      <w:r w:rsidR="00D90236" w:rsidRPr="00D764E9">
        <w:fldChar w:fldCharType="begin"/>
      </w:r>
      <w:r w:rsidRPr="00D764E9">
        <w:instrText xml:space="preserve"> ADDIN NE.Ref.{AA51C344-B2A7-414D-8A36-E6B249D24D2D}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(Freitas 2013)</w:t>
      </w:r>
      <w:r w:rsidR="00D90236" w:rsidRPr="00D764E9">
        <w:fldChar w:fldCharType="end"/>
      </w:r>
      <w:r w:rsidR="009252C8">
        <w:t>,</w:t>
      </w:r>
      <w:r w:rsidRPr="00D764E9">
        <w:t xml:space="preserve"> (3) </w:t>
      </w:r>
      <w:r w:rsidR="00383113">
        <w:t>t</w:t>
      </w:r>
      <w:r w:rsidRPr="00D764E9">
        <w:t>rac</w:t>
      </w:r>
      <w:r w:rsidR="000317D2">
        <w:t>ing of</w:t>
      </w:r>
      <w:r w:rsidRPr="00D764E9">
        <w:t xml:space="preserve"> changes </w:t>
      </w:r>
      <w:r w:rsidR="000317D2">
        <w:t xml:space="preserve">in </w:t>
      </w:r>
      <w:r w:rsidRPr="00D764E9">
        <w:t xml:space="preserve">passenger demands </w:t>
      </w:r>
      <w:r w:rsidR="00D90236" w:rsidRPr="00D764E9">
        <w:fldChar w:fldCharType="begin"/>
      </w:r>
      <w:r w:rsidRPr="00D764E9">
        <w:instrText xml:space="preserve"> ADDIN NE.Ref.{3FDA917C-8DEA-4229-A3F5-6C04A11813E1}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(De Vos and Witlox 2017)</w:t>
      </w:r>
      <w:r w:rsidR="00D90236" w:rsidRPr="00D764E9">
        <w:fldChar w:fldCharType="end"/>
      </w:r>
      <w:r w:rsidR="009252C8">
        <w:t>,</w:t>
      </w:r>
      <w:r w:rsidRPr="00D764E9">
        <w:t xml:space="preserve"> (4) </w:t>
      </w:r>
      <w:r w:rsidR="000317D2">
        <w:t>identification of</w:t>
      </w:r>
      <w:r w:rsidRPr="00D764E9">
        <w:t xml:space="preserve"> key indicators </w:t>
      </w:r>
      <w:r w:rsidR="000317D2">
        <w:t>affecting</w:t>
      </w:r>
      <w:r w:rsidRPr="00D764E9">
        <w:t xml:space="preserve"> passenger satisfaction </w:t>
      </w:r>
      <w:r w:rsidR="00D90236" w:rsidRPr="00D764E9">
        <w:fldChar w:fldCharType="begin"/>
      </w:r>
      <w:r w:rsidRPr="00D764E9">
        <w:instrText xml:space="preserve"> ADDIN NE.Ref.{0D8E75B7-50A0-45C0-8C28-BFCB1723F21C}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(Mouwen 2015; Susilo and Cats 2014)</w:t>
      </w:r>
      <w:r w:rsidR="00D90236" w:rsidRPr="00D764E9">
        <w:fldChar w:fldCharType="end"/>
      </w:r>
      <w:r w:rsidR="009252C8">
        <w:t>,</w:t>
      </w:r>
      <w:r w:rsidRPr="00D764E9">
        <w:t xml:space="preserve"> (5) </w:t>
      </w:r>
      <w:r w:rsidR="00383113">
        <w:t>u</w:t>
      </w:r>
      <w:r w:rsidRPr="00D764E9">
        <w:t>pdate</w:t>
      </w:r>
      <w:r w:rsidR="000317D2">
        <w:t xml:space="preserve"> of</w:t>
      </w:r>
      <w:r w:rsidRPr="00D764E9">
        <w:t xml:space="preserve"> passenger satisfaction measurement method</w:t>
      </w:r>
      <w:r w:rsidR="000317D2">
        <w:t>s</w:t>
      </w:r>
      <w:r w:rsidRPr="00D764E9">
        <w:t xml:space="preserve"> </w:t>
      </w:r>
      <w:r w:rsidR="00D90236" w:rsidRPr="00D764E9">
        <w:fldChar w:fldCharType="begin"/>
      </w:r>
      <w:r w:rsidRPr="00D764E9">
        <w:instrText xml:space="preserve"> ADDIN NE.Ref.{1437A886-707D-4A18-AD53-6E0EFD7103B4}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(Nassereddine and Eskandari 2017; Rahman et al. 2016; Stradling et al. 2007)</w:t>
      </w:r>
      <w:r w:rsidR="00D90236" w:rsidRPr="00D764E9">
        <w:fldChar w:fldCharType="end"/>
      </w:r>
      <w:r w:rsidR="009252C8">
        <w:t>,</w:t>
      </w:r>
      <w:r w:rsidR="00383113">
        <w:t xml:space="preserve"> and</w:t>
      </w:r>
      <w:r w:rsidRPr="00D764E9">
        <w:t xml:space="preserve"> (6) </w:t>
      </w:r>
      <w:r w:rsidR="000317D2">
        <w:t>determination of</w:t>
      </w:r>
      <w:r w:rsidRPr="00D764E9">
        <w:t xml:space="preserve"> indicator performances of satisfaction factors and research on improvement strategies </w:t>
      </w:r>
      <w:r w:rsidR="00D90236" w:rsidRPr="00D764E9">
        <w:fldChar w:fldCharType="begin"/>
      </w:r>
      <w:r w:rsidRPr="00D764E9">
        <w:instrText xml:space="preserve"> ADDIN NE.Ref.{BE527047-4068-45EA-A42E-6B0730FEE3D8}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(Wu et al. 2018)</w:t>
      </w:r>
      <w:r w:rsidR="00D90236" w:rsidRPr="00D764E9">
        <w:fldChar w:fldCharType="end"/>
      </w:r>
      <w:r w:rsidRPr="00D764E9">
        <w:t>.</w:t>
      </w:r>
    </w:p>
    <w:p w14:paraId="5266051B" w14:textId="10D8E87F" w:rsidR="00C562BF" w:rsidRPr="00D764E9" w:rsidRDefault="007E229C" w:rsidP="00417BDA">
      <w:pPr>
        <w:spacing w:afterLines="50" w:after="156"/>
        <w:ind w:firstLine="480"/>
      </w:pPr>
      <w:r w:rsidRPr="00D764E9">
        <w:t>Importance</w:t>
      </w:r>
      <w:r w:rsidR="00383113">
        <w:rPr>
          <w:rFonts w:cs="Times New Roman"/>
        </w:rPr>
        <w:t>–</w:t>
      </w:r>
      <w:r w:rsidRPr="00D764E9">
        <w:t xml:space="preserve">performance analysis (IPA) </w:t>
      </w:r>
      <w:r w:rsidR="000317D2">
        <w:t>is</w:t>
      </w:r>
      <w:r w:rsidRPr="00D764E9">
        <w:t xml:space="preserve"> </w:t>
      </w:r>
      <w:r w:rsidR="009252C8">
        <w:t>a</w:t>
      </w:r>
      <w:r w:rsidR="009252C8" w:rsidRPr="00D764E9">
        <w:t xml:space="preserve"> </w:t>
      </w:r>
      <w:r w:rsidRPr="00D764E9">
        <w:t xml:space="preserve">dominant method </w:t>
      </w:r>
      <w:r w:rsidR="009252C8">
        <w:t xml:space="preserve">in </w:t>
      </w:r>
      <w:r w:rsidRPr="00D764E9">
        <w:t>determin</w:t>
      </w:r>
      <w:r w:rsidR="009252C8">
        <w:t>ing</w:t>
      </w:r>
      <w:r w:rsidRPr="00D764E9">
        <w:t xml:space="preserve"> the precedence of service improvements in customer satisfaction research due to its conciseness and </w:t>
      </w:r>
      <w:r w:rsidR="000317D2">
        <w:t>availability</w:t>
      </w:r>
      <w:r w:rsidRPr="00D764E9">
        <w:t xml:space="preserve">. Many scholars </w:t>
      </w:r>
      <w:r w:rsidR="00383113">
        <w:t xml:space="preserve">have </w:t>
      </w:r>
      <w:r w:rsidRPr="00D764E9">
        <w:t>use</w:t>
      </w:r>
      <w:r w:rsidR="00383113">
        <w:t>d</w:t>
      </w:r>
      <w:r w:rsidR="009252C8">
        <w:t xml:space="preserve"> the</w:t>
      </w:r>
      <w:r w:rsidRPr="00D764E9">
        <w:t xml:space="preserve"> IPA method to analyze survey results of passenger satisfaction </w:t>
      </w:r>
      <w:r w:rsidR="00383113">
        <w:t xml:space="preserve">and </w:t>
      </w:r>
      <w:r w:rsidRPr="00D764E9">
        <w:t>determine improvement directions. However,</w:t>
      </w:r>
      <w:r w:rsidR="009252C8">
        <w:t xml:space="preserve"> the</w:t>
      </w:r>
      <w:r w:rsidRPr="00D764E9">
        <w:t xml:space="preserve"> IPA </w:t>
      </w:r>
      <w:r w:rsidR="009252C8">
        <w:t xml:space="preserve">method </w:t>
      </w:r>
      <w:r w:rsidRPr="00D764E9">
        <w:t>also has limitations. One outstanding problem is that it is based on the assumption that the relationship between the behavior of individual propert</w:t>
      </w:r>
      <w:r w:rsidR="00830A42">
        <w:t>ies</w:t>
      </w:r>
      <w:r w:rsidRPr="00D764E9">
        <w:t xml:space="preserve"> and overall satisfaction is linear and symmetrical. </w:t>
      </w:r>
      <w:r w:rsidR="006E7C56">
        <w:t>These</w:t>
      </w:r>
      <w:r w:rsidR="006E7C56" w:rsidRPr="00D764E9">
        <w:t xml:space="preserve"> </w:t>
      </w:r>
      <w:r w:rsidRPr="00D764E9">
        <w:t>limitations can be solved by three-factor theory</w:t>
      </w:r>
      <w:r w:rsidR="000317D2">
        <w:t>, which classifies the p</w:t>
      </w:r>
      <w:r w:rsidRPr="00D764E9">
        <w:t>erception and transmission property of service quality into basic, performance, and exciting factors. Three-factory theory can improve the shortcomings of</w:t>
      </w:r>
      <w:r w:rsidR="00830A42">
        <w:t xml:space="preserve"> the</w:t>
      </w:r>
      <w:r w:rsidRPr="00D764E9">
        <w:t xml:space="preserve"> IPA method in classification to a certain degree. However, few factors are considered in the classification</w:t>
      </w:r>
      <w:r w:rsidR="00830A42">
        <w:t xml:space="preserve"> process</w:t>
      </w:r>
      <w:r w:rsidRPr="00D764E9">
        <w:t xml:space="preserve"> by </w:t>
      </w:r>
      <w:r w:rsidR="00383113">
        <w:t xml:space="preserve">the </w:t>
      </w:r>
      <w:r w:rsidRPr="00D764E9">
        <w:t>IPA and three-factor method</w:t>
      </w:r>
      <w:r w:rsidR="00383113">
        <w:t>s</w:t>
      </w:r>
      <w:r w:rsidRPr="00D764E9">
        <w:t xml:space="preserve">. </w:t>
      </w:r>
      <w:r w:rsidR="000317D2">
        <w:t>The c</w:t>
      </w:r>
      <w:r w:rsidRPr="00D764E9">
        <w:t xml:space="preserve">lassification threshold value is </w:t>
      </w:r>
      <w:r w:rsidR="00383113">
        <w:t xml:space="preserve">still </w:t>
      </w:r>
      <w:r w:rsidR="00386FC8">
        <w:t>debated</w:t>
      </w:r>
      <w:r w:rsidR="00383113">
        <w:t>,</w:t>
      </w:r>
      <w:r w:rsidRPr="00D764E9">
        <w:t xml:space="preserve"> and class elements </w:t>
      </w:r>
      <w:r w:rsidR="00976C7F">
        <w:t xml:space="preserve">still </w:t>
      </w:r>
      <w:r w:rsidRPr="00D764E9">
        <w:t>cannot determine the precedence.</w:t>
      </w:r>
    </w:p>
    <w:p w14:paraId="2EDED0E0" w14:textId="56F0D7CB" w:rsidR="00C562BF" w:rsidRPr="00D764E9" w:rsidRDefault="00D71C0F" w:rsidP="00417BDA">
      <w:pPr>
        <w:spacing w:afterLines="50" w:after="156"/>
        <w:ind w:firstLine="480"/>
      </w:pPr>
      <w:r w:rsidRPr="00D764E9">
        <w:t xml:space="preserve">This passage creates </w:t>
      </w:r>
      <w:r w:rsidR="00CA6DC4">
        <w:t>a</w:t>
      </w:r>
      <w:r w:rsidR="00CA6DC4" w:rsidRPr="00D764E9">
        <w:t xml:space="preserve"> </w:t>
      </w:r>
      <w:r w:rsidRPr="00D764E9">
        <w:t xml:space="preserve">ranking method </w:t>
      </w:r>
      <w:r w:rsidR="00976C7F">
        <w:t xml:space="preserve">that is </w:t>
      </w:r>
      <w:r w:rsidRPr="00D764E9">
        <w:t xml:space="preserve">based on the </w:t>
      </w:r>
      <w:r w:rsidR="00383113">
        <w:t>“</w:t>
      </w:r>
      <w:r w:rsidRPr="00D764E9">
        <w:t>potential performance</w:t>
      </w:r>
      <w:r w:rsidR="00383113">
        <w:t>”</w:t>
      </w:r>
      <w:r w:rsidR="000E2630">
        <w:t xml:space="preserve"> (PP)</w:t>
      </w:r>
      <w:r w:rsidRPr="00D764E9">
        <w:t xml:space="preserve"> to determine the precedence of the service improvement indicators in passenger satisfaction and overcome the limitations of </w:t>
      </w:r>
      <w:r w:rsidR="00383113">
        <w:t xml:space="preserve">the </w:t>
      </w:r>
      <w:r w:rsidRPr="00D764E9">
        <w:t>IPA and three-factor method</w:t>
      </w:r>
      <w:r w:rsidR="00383113">
        <w:t>s</w:t>
      </w:r>
      <w:r w:rsidRPr="00D764E9">
        <w:t xml:space="preserve">. </w:t>
      </w:r>
      <w:r w:rsidR="000E2630">
        <w:t>PP</w:t>
      </w:r>
      <w:r w:rsidRPr="00D764E9">
        <w:t xml:space="preserve"> consider</w:t>
      </w:r>
      <w:r w:rsidR="00CA6DC4">
        <w:t>s</w:t>
      </w:r>
      <w:r w:rsidRPr="00D764E9">
        <w:t xml:space="preserve"> the main decision factors, especially uncertainty</w:t>
      </w:r>
      <w:r w:rsidR="00976C7F">
        <w:t>,</w:t>
      </w:r>
      <w:r w:rsidRPr="00D764E9">
        <w:t xml:space="preserve"> to improve performance (represented by the variation coefficient of </w:t>
      </w:r>
      <w:r w:rsidR="00CA6DC4">
        <w:t>an</w:t>
      </w:r>
      <w:r w:rsidR="00CA6DC4" w:rsidRPr="00D764E9">
        <w:t xml:space="preserve"> </w:t>
      </w:r>
      <w:r w:rsidRPr="00D764E9">
        <w:t>indicator) through the general consideration of passenger review and structur</w:t>
      </w:r>
      <w:r w:rsidR="00CA6DC4">
        <w:t>al</w:t>
      </w:r>
      <w:r w:rsidRPr="00D764E9">
        <w:t xml:space="preserve"> equation model</w:t>
      </w:r>
      <w:r w:rsidR="00CA6DC4">
        <w:t>ing</w:t>
      </w:r>
      <w:r w:rsidRPr="00D764E9">
        <w:t xml:space="preserve"> (SEM), and the model initiated in this research can reveal the </w:t>
      </w:r>
      <w:r w:rsidR="000E2630">
        <w:t>PP</w:t>
      </w:r>
      <w:r w:rsidRPr="00D764E9">
        <w:t xml:space="preserve"> value of each indicator. Precedence ranking by </w:t>
      </w:r>
      <w:r w:rsidR="000E2630">
        <w:t>PP</w:t>
      </w:r>
      <w:r w:rsidRPr="00D764E9">
        <w:t xml:space="preserve"> value, </w:t>
      </w:r>
      <w:r w:rsidR="00976C7F">
        <w:t>a</w:t>
      </w:r>
      <w:r w:rsidRPr="00D764E9">
        <w:t xml:space="preserve"> one-dimension</w:t>
      </w:r>
      <w:r w:rsidR="00383113">
        <w:t>al</w:t>
      </w:r>
      <w:r w:rsidRPr="00D764E9">
        <w:t xml:space="preserve"> variable, </w:t>
      </w:r>
      <w:r w:rsidR="00976C7F">
        <w:t>renders</w:t>
      </w:r>
      <w:r w:rsidR="00976C7F" w:rsidRPr="00D764E9">
        <w:t xml:space="preserve"> </w:t>
      </w:r>
      <w:r w:rsidR="004506F5">
        <w:t>the</w:t>
      </w:r>
      <w:r w:rsidR="004506F5" w:rsidRPr="00D764E9">
        <w:t xml:space="preserve"> </w:t>
      </w:r>
      <w:r w:rsidRPr="00D764E9">
        <w:t xml:space="preserve">method simple and </w:t>
      </w:r>
      <w:r w:rsidR="00976C7F">
        <w:t>easily</w:t>
      </w:r>
      <w:r w:rsidR="00976C7F" w:rsidRPr="00D764E9">
        <w:t xml:space="preserve"> </w:t>
      </w:r>
      <w:r w:rsidRPr="00D764E9">
        <w:t xml:space="preserve">operatable. </w:t>
      </w:r>
    </w:p>
    <w:p w14:paraId="34FFE2B7" w14:textId="39A77FC2" w:rsidR="006F365C" w:rsidRPr="00D764E9" w:rsidRDefault="006F365C" w:rsidP="00417BDA">
      <w:pPr>
        <w:spacing w:afterLines="50" w:after="156"/>
        <w:ind w:firstLine="480"/>
      </w:pPr>
      <w:r w:rsidRPr="00D764E9">
        <w:t>Th</w:t>
      </w:r>
      <w:r w:rsidR="00976C7F">
        <w:t>e rest of th</w:t>
      </w:r>
      <w:r w:rsidRPr="00D764E9">
        <w:t>is paper is structured as follows</w:t>
      </w:r>
      <w:r w:rsidR="00976C7F">
        <w:t>.</w:t>
      </w:r>
      <w:r w:rsidRPr="00D764E9">
        <w:t xml:space="preserve"> Chapter 2 reviews the analysis method of </w:t>
      </w:r>
      <w:r w:rsidR="00A32FEC">
        <w:t>the</w:t>
      </w:r>
      <w:r w:rsidR="00A32FEC" w:rsidRPr="00D764E9">
        <w:t xml:space="preserve"> indicator performance </w:t>
      </w:r>
      <w:r w:rsidR="00A32FEC">
        <w:t xml:space="preserve">of </w:t>
      </w:r>
      <w:r w:rsidRPr="00D764E9">
        <w:t>passenger satisfaction factors</w:t>
      </w:r>
      <w:r w:rsidR="004506F5">
        <w:t>.</w:t>
      </w:r>
      <w:r w:rsidRPr="00D764E9">
        <w:t xml:space="preserve"> Chapter 3 introduces the data sources and analysis method</w:t>
      </w:r>
      <w:r w:rsidR="004506F5">
        <w:t>.</w:t>
      </w:r>
      <w:r w:rsidRPr="00D764E9">
        <w:t xml:space="preserve"> Chapter 4 analyzes and discusses the research results</w:t>
      </w:r>
      <w:r w:rsidR="004506F5">
        <w:t>.</w:t>
      </w:r>
      <w:r w:rsidRPr="00D764E9">
        <w:t xml:space="preserve"> Chapter 5 </w:t>
      </w:r>
      <w:r w:rsidR="00976C7F">
        <w:t>presents</w:t>
      </w:r>
      <w:r w:rsidR="00976C7F" w:rsidRPr="00D764E9">
        <w:t xml:space="preserve"> </w:t>
      </w:r>
      <w:r w:rsidRPr="00D764E9">
        <w:t xml:space="preserve">the key research conclusion and </w:t>
      </w:r>
      <w:r w:rsidR="00976C7F">
        <w:t>directions for</w:t>
      </w:r>
      <w:r w:rsidRPr="00D764E9">
        <w:t xml:space="preserve"> future research.</w:t>
      </w:r>
    </w:p>
    <w:p w14:paraId="57A948F1" w14:textId="77777777" w:rsidR="00C562BF" w:rsidRPr="00D764E9" w:rsidRDefault="00C562BF" w:rsidP="00417BDA">
      <w:pPr>
        <w:pStyle w:val="Heading1"/>
        <w:spacing w:before="0" w:beforeAutospacing="0" w:afterLines="50" w:after="156" w:afterAutospacing="0"/>
      </w:pPr>
      <w:r w:rsidRPr="00D764E9">
        <w:t>2. Literature review</w:t>
      </w:r>
    </w:p>
    <w:p w14:paraId="146023D0" w14:textId="55A1F887" w:rsidR="002F711A" w:rsidRPr="00D764E9" w:rsidRDefault="007E229C" w:rsidP="00417BDA">
      <w:pPr>
        <w:spacing w:afterLines="50" w:after="156"/>
        <w:ind w:firstLine="480"/>
      </w:pPr>
      <w:r w:rsidRPr="00D764E9">
        <w:t xml:space="preserve">In the research </w:t>
      </w:r>
      <w:r w:rsidR="00377981">
        <w:t>related to</w:t>
      </w:r>
      <w:r w:rsidRPr="00D764E9">
        <w:t xml:space="preserve"> passenger satisfaction, improvement strategies </w:t>
      </w:r>
      <w:r w:rsidR="00377981">
        <w:t>of</w:t>
      </w:r>
      <w:r w:rsidRPr="00D764E9">
        <w:t xml:space="preserve"> passenger satisfaction </w:t>
      </w:r>
      <w:r w:rsidR="004506F5">
        <w:t>are</w:t>
      </w:r>
      <w:r w:rsidRPr="00D764E9">
        <w:t xml:space="preserve"> </w:t>
      </w:r>
      <w:r w:rsidR="005F71F7">
        <w:t xml:space="preserve">a </w:t>
      </w:r>
      <w:r w:rsidRPr="00D764E9">
        <w:t>crucial objective, and ranking the improvement precedence of each factor indicator/strateg</w:t>
      </w:r>
      <w:r w:rsidR="005F71F7">
        <w:t>y</w:t>
      </w:r>
      <w:r w:rsidRPr="00D764E9">
        <w:t xml:space="preserve"> is always the focus of </w:t>
      </w:r>
      <w:r w:rsidR="00377981">
        <w:t>studies</w:t>
      </w:r>
      <w:r w:rsidR="005F71F7" w:rsidRPr="00D764E9">
        <w:t xml:space="preserve"> </w:t>
      </w:r>
      <w:r w:rsidR="005F71F7">
        <w:t xml:space="preserve">on </w:t>
      </w:r>
      <w:r w:rsidR="00377981">
        <w:t>such</w:t>
      </w:r>
      <w:r w:rsidR="00377981" w:rsidRPr="00D764E9">
        <w:t xml:space="preserve"> </w:t>
      </w:r>
      <w:r w:rsidRPr="00D764E9">
        <w:t xml:space="preserve">strategies. </w:t>
      </w:r>
      <w:r w:rsidR="005F71F7">
        <w:t>An e</w:t>
      </w:r>
      <w:r w:rsidRPr="00D764E9">
        <w:t>arly ranking method is</w:t>
      </w:r>
      <w:r w:rsidR="00377981">
        <w:t xml:space="preserve"> the</w:t>
      </w:r>
      <w:r w:rsidRPr="00D764E9">
        <w:t xml:space="preserve"> linear weighting method. </w:t>
      </w:r>
      <w:r w:rsidR="00377981">
        <w:t>This technique</w:t>
      </w:r>
      <w:r w:rsidRPr="00D764E9">
        <w:t xml:space="preserve"> can indicate indicator importance by</w:t>
      </w:r>
      <w:r w:rsidR="00377981">
        <w:t xml:space="preserve"> the</w:t>
      </w:r>
      <w:r w:rsidRPr="00D764E9">
        <w:t xml:space="preserve"> analytic hierarchy process (AHP) </w:t>
      </w:r>
      <w:r w:rsidR="00D90236" w:rsidRPr="00D764E9">
        <w:fldChar w:fldCharType="begin"/>
      </w:r>
      <w:r w:rsidRPr="00D764E9">
        <w:instrText xml:space="preserve"> ADDIN NE.Ref.{521DD8B4-D103-48D8-95D8-9CFA4A74B162}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(Golden et al. 1989)</w:t>
      </w:r>
      <w:r w:rsidR="00D90236" w:rsidRPr="00D764E9">
        <w:fldChar w:fldCharType="end"/>
      </w:r>
      <w:r w:rsidRPr="00D764E9">
        <w:t>, through which each indicator</w:t>
      </w:r>
      <w:r w:rsidR="005F71F7">
        <w:t>’</w:t>
      </w:r>
      <w:r w:rsidRPr="00D764E9">
        <w:t xml:space="preserve">s weight can be </w:t>
      </w:r>
      <w:r w:rsidR="00377981">
        <w:t>acquired</w:t>
      </w:r>
      <w:r w:rsidRPr="00D764E9">
        <w:t xml:space="preserve">. </w:t>
      </w:r>
      <w:r w:rsidR="00377981">
        <w:t>I</w:t>
      </w:r>
      <w:r w:rsidRPr="00D764E9">
        <w:t xml:space="preserve">ndicator importance </w:t>
      </w:r>
      <w:r w:rsidR="00377981">
        <w:t xml:space="preserve">can be quantitatively calculated </w:t>
      </w:r>
      <w:r w:rsidRPr="00D764E9">
        <w:t xml:space="preserve">through the hierarchy and quantification </w:t>
      </w:r>
      <w:r w:rsidRPr="00D764E9">
        <w:lastRenderedPageBreak/>
        <w:t xml:space="preserve">of each indicator according to mindset and psychological rules. AHP is mainly divided into five steps: (1) </w:t>
      </w:r>
      <w:r w:rsidR="00377981">
        <w:t>e</w:t>
      </w:r>
      <w:r w:rsidRPr="00D764E9">
        <w:t>stablish</w:t>
      </w:r>
      <w:r w:rsidR="00377981">
        <w:t>ment</w:t>
      </w:r>
      <w:r w:rsidRPr="00D764E9">
        <w:t xml:space="preserve"> </w:t>
      </w:r>
      <w:r w:rsidR="00377981">
        <w:t xml:space="preserve">of </w:t>
      </w:r>
      <w:r w:rsidR="004506F5">
        <w:t xml:space="preserve">a </w:t>
      </w:r>
      <w:commentRangeStart w:id="5"/>
      <w:r w:rsidRPr="00D764E9">
        <w:t>hierarch</w:t>
      </w:r>
      <w:r w:rsidR="004506F5">
        <w:t>ical</w:t>
      </w:r>
      <w:r w:rsidRPr="00D764E9">
        <w:t xml:space="preserve"> structur</w:t>
      </w:r>
      <w:r w:rsidR="004506F5">
        <w:t>al</w:t>
      </w:r>
      <w:r w:rsidRPr="00D764E9">
        <w:t xml:space="preserve"> model</w:t>
      </w:r>
      <w:commentRangeEnd w:id="5"/>
      <w:r w:rsidR="004506F5">
        <w:rPr>
          <w:rStyle w:val="CommentReference"/>
        </w:rPr>
        <w:commentReference w:id="5"/>
      </w:r>
      <w:r w:rsidRPr="00D764E9">
        <w:t xml:space="preserve">; (2) </w:t>
      </w:r>
      <w:r w:rsidR="005F71F7">
        <w:t>c</w:t>
      </w:r>
      <w:r w:rsidRPr="00D764E9">
        <w:t>onstruct</w:t>
      </w:r>
      <w:r w:rsidR="00377981">
        <w:t>ion</w:t>
      </w:r>
      <w:r w:rsidRPr="00D764E9">
        <w:t xml:space="preserve"> </w:t>
      </w:r>
      <w:r w:rsidR="00377981">
        <w:t xml:space="preserve">of </w:t>
      </w:r>
      <w:r w:rsidRPr="00D764E9">
        <w:t xml:space="preserve">a judgment matrix; (3) </w:t>
      </w:r>
      <w:r w:rsidR="005F71F7">
        <w:t>s</w:t>
      </w:r>
      <w:r w:rsidRPr="00D764E9">
        <w:t xml:space="preserve">ingle hierarchical arrangement; (4) </w:t>
      </w:r>
      <w:r w:rsidR="005F71F7">
        <w:t>c</w:t>
      </w:r>
      <w:r w:rsidRPr="00D764E9">
        <w:t xml:space="preserve">onsistency inspection; </w:t>
      </w:r>
      <w:r w:rsidR="005F71F7">
        <w:t xml:space="preserve">and </w:t>
      </w:r>
      <w:r w:rsidRPr="00D764E9">
        <w:t xml:space="preserve">(5) </w:t>
      </w:r>
      <w:r w:rsidR="005F71F7">
        <w:t>t</w:t>
      </w:r>
      <w:r w:rsidRPr="00D764E9">
        <w:t xml:space="preserve">otal hierarchical arrangement. </w:t>
      </w:r>
      <w:r w:rsidR="005F71F7">
        <w:t>T</w:t>
      </w:r>
      <w:r w:rsidRPr="00D764E9">
        <w:t xml:space="preserve">he three </w:t>
      </w:r>
      <w:r w:rsidR="00377981">
        <w:t xml:space="preserve">final </w:t>
      </w:r>
      <w:r w:rsidRPr="00D764E9">
        <w:t xml:space="preserve">steps should be implemented in </w:t>
      </w:r>
      <w:r w:rsidR="004506F5" w:rsidRPr="00D764E9">
        <w:t>order</w:t>
      </w:r>
      <w:r w:rsidRPr="00D764E9">
        <w:t xml:space="preserve"> in the whole process. </w:t>
      </w:r>
    </w:p>
    <w:p w14:paraId="474AA95F" w14:textId="05F08079" w:rsidR="002F711A" w:rsidRPr="00D764E9" w:rsidRDefault="004506F5" w:rsidP="00417BDA">
      <w:pPr>
        <w:spacing w:afterLines="50" w:after="156"/>
        <w:ind w:firstLine="480"/>
      </w:pPr>
      <w:r>
        <w:t>T</w:t>
      </w:r>
      <w:r w:rsidR="002F711A" w:rsidRPr="00D764E9">
        <w:t>he relative importance of each indicator is determined by the expert score in AHP</w:t>
      </w:r>
      <w:r>
        <w:t>; hence</w:t>
      </w:r>
      <w:r w:rsidR="002F711A" w:rsidRPr="00D764E9">
        <w:t xml:space="preserve">, experts </w:t>
      </w:r>
      <w:r w:rsidR="005F71F7">
        <w:t xml:space="preserve">should </w:t>
      </w:r>
      <w:r w:rsidR="002F711A" w:rsidRPr="00D764E9">
        <w:t xml:space="preserve">judge the importance of the indicators according to their personal experiences. When the indicators are </w:t>
      </w:r>
      <w:r w:rsidR="00377981">
        <w:t>numerous</w:t>
      </w:r>
      <w:r w:rsidR="002F711A" w:rsidRPr="00D764E9">
        <w:t xml:space="preserve"> and </w:t>
      </w:r>
      <w:r w:rsidR="00377981">
        <w:t xml:space="preserve">determining </w:t>
      </w:r>
      <w:r w:rsidR="002F711A" w:rsidRPr="00D764E9">
        <w:t xml:space="preserve">the relative importance is </w:t>
      </w:r>
      <w:r w:rsidR="00377981">
        <w:t>consequenctly difficult</w:t>
      </w:r>
      <w:r w:rsidR="002F711A" w:rsidRPr="00D764E9">
        <w:t>,</w:t>
      </w:r>
      <w:r w:rsidR="00377981">
        <w:t xml:space="preserve"> guaranteeing</w:t>
      </w:r>
      <w:r w:rsidR="002F711A" w:rsidRPr="00D764E9">
        <w:t xml:space="preserve"> the consistency of each hierarchy</w:t>
      </w:r>
      <w:r w:rsidR="005F71F7">
        <w:t>’</w:t>
      </w:r>
      <w:r w:rsidR="002F711A" w:rsidRPr="00D764E9">
        <w:t xml:space="preserve">s ranking and </w:t>
      </w:r>
      <w:r w:rsidR="005F71F7">
        <w:t xml:space="preserve">the </w:t>
      </w:r>
      <w:r w:rsidR="002F711A" w:rsidRPr="00D764E9">
        <w:t xml:space="preserve">total ranking </w:t>
      </w:r>
      <w:r w:rsidR="00377981">
        <w:t>is challenging</w:t>
      </w:r>
      <w:r w:rsidR="002F711A" w:rsidRPr="00D764E9">
        <w:t xml:space="preserve">. </w:t>
      </w:r>
      <w:r w:rsidR="00CD2A08">
        <w:t>The w</w:t>
      </w:r>
      <w:r w:rsidR="002F711A" w:rsidRPr="00D764E9">
        <w:t xml:space="preserve">eight </w:t>
      </w:r>
      <w:r w:rsidR="00377981">
        <w:t xml:space="preserve">yielded </w:t>
      </w:r>
      <w:r w:rsidR="002F711A" w:rsidRPr="00D764E9">
        <w:t>by the AHP method is the experts</w:t>
      </w:r>
      <w:r w:rsidR="009E5028">
        <w:t>’</w:t>
      </w:r>
      <w:r w:rsidR="002F711A" w:rsidRPr="00D764E9">
        <w:t xml:space="preserve"> </w:t>
      </w:r>
      <w:r w:rsidR="006E7C56" w:rsidRPr="00D764E9">
        <w:t>judgment</w:t>
      </w:r>
      <w:r w:rsidR="002F711A" w:rsidRPr="00D764E9">
        <w:t xml:space="preserve"> o</w:t>
      </w:r>
      <w:r w:rsidR="00377981">
        <w:t>f</w:t>
      </w:r>
      <w:r w:rsidR="002F711A" w:rsidRPr="00D764E9">
        <w:t xml:space="preserve"> each indicator</w:t>
      </w:r>
      <w:r w:rsidR="005F71F7">
        <w:t>’</w:t>
      </w:r>
      <w:r w:rsidR="002F711A" w:rsidRPr="00D764E9">
        <w:t xml:space="preserve">s importance. Although </w:t>
      </w:r>
      <w:r w:rsidR="005F71F7">
        <w:t xml:space="preserve">the method </w:t>
      </w:r>
      <w:r w:rsidR="002F711A" w:rsidRPr="00D764E9">
        <w:t>is systematic, experts</w:t>
      </w:r>
      <w:r w:rsidR="005F71F7">
        <w:t>’</w:t>
      </w:r>
      <w:r w:rsidR="002F711A" w:rsidRPr="00D764E9">
        <w:t xml:space="preserve"> </w:t>
      </w:r>
      <w:r w:rsidR="006E7C56" w:rsidRPr="00D764E9">
        <w:t>judgment</w:t>
      </w:r>
      <w:r w:rsidR="002F711A" w:rsidRPr="00D764E9">
        <w:t xml:space="preserve"> cannot represent the </w:t>
      </w:r>
      <w:r w:rsidR="005F71F7">
        <w:t>“</w:t>
      </w:r>
      <w:r w:rsidR="002F711A" w:rsidRPr="00D764E9">
        <w:t>passenger-oriented</w:t>
      </w:r>
      <w:r w:rsidR="005F71F7">
        <w:t>”</w:t>
      </w:r>
      <w:r w:rsidR="002F711A" w:rsidRPr="00D764E9">
        <w:t xml:space="preserve"> service concept due to </w:t>
      </w:r>
      <w:r w:rsidR="009E5028">
        <w:t xml:space="preserve">the limited </w:t>
      </w:r>
      <w:r w:rsidR="002F711A" w:rsidRPr="00D764E9">
        <w:t>number of experts.</w:t>
      </w:r>
    </w:p>
    <w:p w14:paraId="16506DF1" w14:textId="2D89AB0B" w:rsidR="00D945F1" w:rsidRPr="00D764E9" w:rsidRDefault="00634D5A" w:rsidP="00417BDA">
      <w:pPr>
        <w:spacing w:afterLines="50" w:after="156"/>
        <w:ind w:firstLine="480"/>
      </w:pPr>
      <w:r>
        <w:t xml:space="preserve">The </w:t>
      </w:r>
      <w:r w:rsidR="00E633F7" w:rsidRPr="00D764E9">
        <w:t>IPA</w:t>
      </w:r>
      <w:r w:rsidR="00E633F7" w:rsidRPr="00D764E9" w:rsidDel="00E633F7">
        <w:t xml:space="preserve"> </w:t>
      </w:r>
      <w:r w:rsidR="002F711A" w:rsidRPr="00D764E9">
        <w:t xml:space="preserve">method </w:t>
      </w:r>
      <w:r w:rsidR="00377981">
        <w:t xml:space="preserve">has been </w:t>
      </w:r>
      <w:r w:rsidR="002F711A" w:rsidRPr="00D764E9">
        <w:t xml:space="preserve">widely </w:t>
      </w:r>
      <w:r w:rsidR="00377981">
        <w:t xml:space="preserve">adopted </w:t>
      </w:r>
      <w:r w:rsidR="002F711A" w:rsidRPr="00D764E9">
        <w:t xml:space="preserve">in all service sectors due to its </w:t>
      </w:r>
      <w:r w:rsidR="00377981">
        <w:t>intuitiveness</w:t>
      </w:r>
      <w:r w:rsidR="00377981" w:rsidRPr="00D764E9">
        <w:t xml:space="preserve"> </w:t>
      </w:r>
      <w:r w:rsidR="002F711A" w:rsidRPr="00D764E9">
        <w:t>and operability since it was initiated in 1977 by Martilla</w:t>
      </w:r>
      <w:r w:rsidR="00E633F7">
        <w:t xml:space="preserve"> </w:t>
      </w:r>
      <w:commentRangeStart w:id="6"/>
      <w:r w:rsidR="00E633F7">
        <w:t xml:space="preserve">and </w:t>
      </w:r>
      <w:commentRangeEnd w:id="6"/>
      <w:r w:rsidR="00E633F7">
        <w:rPr>
          <w:rStyle w:val="CommentReference"/>
        </w:rPr>
        <w:commentReference w:id="6"/>
      </w:r>
      <w:r w:rsidR="002F711A" w:rsidRPr="00D764E9">
        <w:t>James</w:t>
      </w:r>
      <w:r w:rsidR="00E633F7">
        <w:t xml:space="preserve"> </w:t>
      </w:r>
      <w:r w:rsidR="00D90236" w:rsidRPr="00D764E9">
        <w:fldChar w:fldCharType="begin"/>
      </w:r>
      <w:r w:rsidR="002F711A" w:rsidRPr="00D764E9">
        <w:instrText xml:space="preserve"> ADDIN NE.Ref.{0EB5EA9F-693B-43F9-93F0-F615EC1F94BA}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(Martilla and James 1977)</w:t>
      </w:r>
      <w:r w:rsidR="00D90236" w:rsidRPr="00D764E9">
        <w:fldChar w:fldCharType="end"/>
      </w:r>
      <w:r w:rsidR="002F711A" w:rsidRPr="00D764E9">
        <w:t>. It covers the service sector</w:t>
      </w:r>
      <w:r w:rsidR="00E633F7">
        <w:t>’</w:t>
      </w:r>
      <w:r w:rsidR="002F711A" w:rsidRPr="00D764E9">
        <w:t xml:space="preserve">s satisfaction, product performance, </w:t>
      </w:r>
      <w:r>
        <w:t>macro</w:t>
      </w:r>
      <w:r w:rsidR="002F711A" w:rsidRPr="00D764E9">
        <w:t>-tourism policy formulation</w:t>
      </w:r>
      <w:r w:rsidR="00E633F7">
        <w:t>,</w:t>
      </w:r>
      <w:r w:rsidR="002F711A" w:rsidRPr="00D764E9">
        <w:t xml:space="preserve"> and education industry, </w:t>
      </w:r>
      <w:r w:rsidR="00E633F7">
        <w:t>among others</w:t>
      </w:r>
      <w:r w:rsidR="002F711A" w:rsidRPr="00D764E9">
        <w:t>. Ennew</w:t>
      </w:r>
      <w:r w:rsidR="00940C5E">
        <w:t xml:space="preserve"> et al.</w:t>
      </w:r>
      <w:r w:rsidR="00E633F7">
        <w:t xml:space="preserve"> </w:t>
      </w:r>
      <w:r w:rsidR="00D90236" w:rsidRPr="00D764E9">
        <w:fldChar w:fldCharType="begin"/>
      </w:r>
      <w:r w:rsidR="002F711A" w:rsidRPr="00D764E9">
        <w:instrText xml:space="preserve"> ADDIN NE.Ref.{CEAEF11D-089A-4C24-A285-F736B45350FF}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(Ennew et al. 1993)</w:t>
      </w:r>
      <w:r w:rsidR="00D90236" w:rsidRPr="00D764E9">
        <w:fldChar w:fldCharType="end"/>
      </w:r>
      <w:r w:rsidR="002F711A" w:rsidRPr="00D764E9">
        <w:t xml:space="preserve"> </w:t>
      </w:r>
      <w:r w:rsidR="00377981">
        <w:t>created an</w:t>
      </w:r>
      <w:r w:rsidR="002F711A" w:rsidRPr="00D764E9">
        <w:t xml:space="preserve"> improvement strategy of service quality for </w:t>
      </w:r>
      <w:commentRangeStart w:id="7"/>
      <w:r w:rsidR="002F711A" w:rsidRPr="00D764E9">
        <w:t xml:space="preserve">small companies of English banks </w:t>
      </w:r>
      <w:commentRangeEnd w:id="7"/>
      <w:r w:rsidR="00377981">
        <w:rPr>
          <w:rStyle w:val="CommentReference"/>
        </w:rPr>
        <w:commentReference w:id="7"/>
      </w:r>
      <w:r w:rsidR="002F711A" w:rsidRPr="00D764E9">
        <w:t xml:space="preserve">with the aid of </w:t>
      </w:r>
      <w:r w:rsidR="00E633F7">
        <w:t xml:space="preserve">the </w:t>
      </w:r>
      <w:r w:rsidR="002F711A" w:rsidRPr="00D764E9">
        <w:t>IPA method. Hsu</w:t>
      </w:r>
      <w:r w:rsidR="00940C5E">
        <w:t xml:space="preserve"> et al.</w:t>
      </w:r>
      <w:r w:rsidR="00E633F7">
        <w:t xml:space="preserve"> </w:t>
      </w:r>
      <w:r w:rsidR="00D90236" w:rsidRPr="00D764E9">
        <w:fldChar w:fldCharType="begin"/>
      </w:r>
      <w:r w:rsidR="002F711A" w:rsidRPr="00D764E9">
        <w:instrText xml:space="preserve"> ADDIN NE.Ref.{B1E54739-9A7D-4412-B877-37180A9614C0}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(Hsu et al. 1998)</w:t>
      </w:r>
      <w:r w:rsidR="00D90236" w:rsidRPr="00D764E9">
        <w:fldChar w:fldCharType="end"/>
      </w:r>
      <w:r w:rsidR="002F711A" w:rsidRPr="00D764E9">
        <w:t xml:space="preserve"> </w:t>
      </w:r>
      <w:r w:rsidR="00377981">
        <w:t>developed a</w:t>
      </w:r>
      <w:r w:rsidR="00AF0DEC">
        <w:t>n</w:t>
      </w:r>
      <w:r w:rsidR="002F711A" w:rsidRPr="00D764E9">
        <w:t xml:space="preserve"> improvement strategy </w:t>
      </w:r>
      <w:r w:rsidR="00377981">
        <w:t xml:space="preserve">for </w:t>
      </w:r>
      <w:r w:rsidR="002F711A" w:rsidRPr="00D764E9">
        <w:t>Korean university students</w:t>
      </w:r>
      <w:r w:rsidR="00AF0DEC">
        <w:t>’ satisfaction</w:t>
      </w:r>
      <w:r w:rsidR="002F711A" w:rsidRPr="00D764E9">
        <w:t xml:space="preserve"> </w:t>
      </w:r>
      <w:r w:rsidR="00AF0DEC">
        <w:t>with</w:t>
      </w:r>
      <w:r w:rsidR="00AF0DEC" w:rsidRPr="00D764E9">
        <w:t xml:space="preserve"> </w:t>
      </w:r>
      <w:r w:rsidR="002F711A" w:rsidRPr="00D764E9">
        <w:t>fast food service</w:t>
      </w:r>
      <w:r w:rsidR="00E633F7">
        <w:t>s</w:t>
      </w:r>
      <w:r w:rsidR="002F711A" w:rsidRPr="00D764E9">
        <w:t>, family restaurants</w:t>
      </w:r>
      <w:r w:rsidR="00E633F7">
        <w:t>,</w:t>
      </w:r>
      <w:r w:rsidR="002F711A" w:rsidRPr="00D764E9">
        <w:t xml:space="preserve"> and fancy restaurants. Evans</w:t>
      </w:r>
      <w:r w:rsidR="00940C5E">
        <w:t xml:space="preserve"> and Chon</w:t>
      </w:r>
      <w:r w:rsidR="00E633F7">
        <w:t xml:space="preserve"> </w:t>
      </w:r>
      <w:r w:rsidR="00D90236" w:rsidRPr="00D764E9">
        <w:fldChar w:fldCharType="begin"/>
      </w:r>
      <w:r w:rsidR="002F711A" w:rsidRPr="00D764E9">
        <w:instrText xml:space="preserve"> ADDIN NE.Ref.{8B50BCA7-FC04-44C3-AAEF-B27BD1500DC0}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(Evans and Chon 1989)</w:t>
      </w:r>
      <w:r w:rsidR="00D90236" w:rsidRPr="00D764E9">
        <w:fldChar w:fldCharType="end"/>
      </w:r>
      <w:r w:rsidR="002F711A" w:rsidRPr="00D764E9">
        <w:t xml:space="preserve"> discusse</w:t>
      </w:r>
      <w:r w:rsidR="00AF0DEC">
        <w:t>d</w:t>
      </w:r>
      <w:r w:rsidR="002F711A" w:rsidRPr="00D764E9">
        <w:t xml:space="preserve"> the key elements of IPA technology in tourism policy formulation and assessment and explore</w:t>
      </w:r>
      <w:r w:rsidR="004919F6">
        <w:t>d</w:t>
      </w:r>
      <w:r w:rsidR="002F711A" w:rsidRPr="00D764E9">
        <w:t xml:space="preserve"> the method</w:t>
      </w:r>
      <w:r w:rsidR="004919F6">
        <w:t>’s</w:t>
      </w:r>
      <w:r w:rsidR="002F711A" w:rsidRPr="00D764E9">
        <w:t xml:space="preserve"> applicability through two cases of adults and teenagers</w:t>
      </w:r>
      <w:commentRangeStart w:id="8"/>
      <w:r w:rsidR="002F711A" w:rsidRPr="00D764E9">
        <w:t>.</w:t>
      </w:r>
      <w:commentRangeEnd w:id="8"/>
      <w:r w:rsidR="00E633F7">
        <w:rPr>
          <w:rStyle w:val="CommentReference"/>
        </w:rPr>
        <w:commentReference w:id="8"/>
      </w:r>
      <w:r w:rsidR="002F711A" w:rsidRPr="00D764E9">
        <w:t xml:space="preserve"> O Neill</w:t>
      </w:r>
      <w:r w:rsidR="00940C5E">
        <w:t xml:space="preserve"> and Palmer</w:t>
      </w:r>
      <w:r w:rsidR="00E633F7">
        <w:t xml:space="preserve"> </w:t>
      </w:r>
      <w:r w:rsidR="00D90236" w:rsidRPr="00D764E9">
        <w:fldChar w:fldCharType="begin"/>
      </w:r>
      <w:r w:rsidR="002F711A" w:rsidRPr="00D764E9">
        <w:instrText xml:space="preserve"> ADDIN NE.Ref.{ECACC242-1583-40BD-90F8-3209E7E06E9E}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(O Neill and Palmer 2004)</w:t>
      </w:r>
      <w:r w:rsidR="00D90236" w:rsidRPr="00D764E9">
        <w:fldChar w:fldCharType="end"/>
      </w:r>
      <w:r w:rsidR="002F711A" w:rsidRPr="00D764E9">
        <w:t xml:space="preserve"> </w:t>
      </w:r>
      <w:r w:rsidR="004919F6">
        <w:t>stated</w:t>
      </w:r>
      <w:r w:rsidR="004919F6" w:rsidRPr="00D764E9">
        <w:t xml:space="preserve"> </w:t>
      </w:r>
      <w:r w:rsidR="002F711A" w:rsidRPr="00D764E9">
        <w:t xml:space="preserve">the service quality assessment problems of higher education departments and </w:t>
      </w:r>
      <w:r w:rsidR="004919F6">
        <w:t xml:space="preserve">explained </w:t>
      </w:r>
      <w:r w:rsidR="002F711A" w:rsidRPr="00D764E9">
        <w:t>that IPA technology can determine specific defects and evaluate its importance to the quality improvement plan.</w:t>
      </w:r>
    </w:p>
    <w:p w14:paraId="26967485" w14:textId="2325E0C6" w:rsidR="00536514" w:rsidRPr="00D764E9" w:rsidRDefault="00565AA0" w:rsidP="00417BDA">
      <w:pPr>
        <w:spacing w:afterLines="50" w:after="156"/>
        <w:ind w:firstLine="480"/>
      </w:pPr>
      <w:r w:rsidRPr="00D764E9">
        <w:t xml:space="preserve">IPA constructs </w:t>
      </w:r>
      <w:r w:rsidR="00E633F7">
        <w:t xml:space="preserve">four </w:t>
      </w:r>
      <w:r w:rsidRPr="00D764E9">
        <w:t xml:space="preserve">quadrants on </w:t>
      </w:r>
      <w:r w:rsidR="00E633F7">
        <w:t xml:space="preserve">the </w:t>
      </w:r>
      <w:r w:rsidR="004919F6">
        <w:t xml:space="preserve">basis of the </w:t>
      </w:r>
      <w:r w:rsidRPr="00D764E9">
        <w:t>importance and passenger rating</w:t>
      </w:r>
      <w:r w:rsidR="00E633F7" w:rsidRPr="00E633F7">
        <w:t xml:space="preserve"> </w:t>
      </w:r>
      <w:r w:rsidR="00E633F7">
        <w:t xml:space="preserve">of </w:t>
      </w:r>
      <w:r w:rsidR="00E633F7" w:rsidRPr="00D764E9">
        <w:t>each factor indicat</w:t>
      </w:r>
      <w:r w:rsidR="00E633F7">
        <w:t>or</w:t>
      </w:r>
      <w:r w:rsidRPr="00D764E9">
        <w:t xml:space="preserve">. All the indicators are distributed </w:t>
      </w:r>
      <w:r w:rsidR="004919F6">
        <w:t>among</w:t>
      </w:r>
      <w:r w:rsidRPr="00D764E9">
        <w:t xml:space="preserve"> the </w:t>
      </w:r>
      <w:r w:rsidR="00E633F7">
        <w:t xml:space="preserve">four </w:t>
      </w:r>
      <w:r w:rsidRPr="00D764E9">
        <w:t xml:space="preserve">quadrants with different improvement precedence. </w:t>
      </w:r>
      <w:r w:rsidR="00E633F7">
        <w:t>The f</w:t>
      </w:r>
      <w:r w:rsidRPr="00D764E9">
        <w:t xml:space="preserve">irst quadrant is the </w:t>
      </w:r>
      <w:r w:rsidR="00E633F7">
        <w:t>“</w:t>
      </w:r>
      <w:r w:rsidRPr="00D764E9">
        <w:t>advantage</w:t>
      </w:r>
      <w:r w:rsidR="00634D5A">
        <w:t>-</w:t>
      </w:r>
      <w:r w:rsidRPr="00D764E9">
        <w:t>impacted</w:t>
      </w:r>
      <w:r w:rsidR="00E633F7">
        <w:t>”</w:t>
      </w:r>
      <w:r w:rsidRPr="00D764E9">
        <w:t xml:space="preserve"> region, in which each indicator is of great importance and </w:t>
      </w:r>
      <w:r w:rsidR="00634D5A">
        <w:t xml:space="preserve">has </w:t>
      </w:r>
      <w:r w:rsidRPr="00D764E9">
        <w:t xml:space="preserve">good service performance. </w:t>
      </w:r>
      <w:commentRangeStart w:id="9"/>
      <w:r w:rsidR="00634D5A">
        <w:t>T</w:t>
      </w:r>
      <w:r w:rsidRPr="00D764E9">
        <w:t xml:space="preserve">he service indicators </w:t>
      </w:r>
      <w:r w:rsidR="00634D5A">
        <w:t xml:space="preserve">in this region </w:t>
      </w:r>
      <w:r w:rsidRPr="00D764E9">
        <w:t xml:space="preserve">need to be maintained by </w:t>
      </w:r>
      <w:r w:rsidR="00634D5A">
        <w:t>a</w:t>
      </w:r>
      <w:r w:rsidR="00634D5A" w:rsidRPr="00D764E9">
        <w:t xml:space="preserve"> </w:t>
      </w:r>
      <w:r w:rsidRPr="00D764E9">
        <w:t>company</w:t>
      </w:r>
      <w:r w:rsidR="00E633F7">
        <w:t>.</w:t>
      </w:r>
      <w:r w:rsidRPr="00D764E9">
        <w:t xml:space="preserve"> </w:t>
      </w:r>
      <w:commentRangeEnd w:id="9"/>
      <w:r w:rsidR="00634D5A">
        <w:rPr>
          <w:rStyle w:val="CommentReference"/>
        </w:rPr>
        <w:commentReference w:id="9"/>
      </w:r>
      <w:r w:rsidR="00E633F7">
        <w:t>The s</w:t>
      </w:r>
      <w:r w:rsidRPr="00D764E9">
        <w:t xml:space="preserve">econd quadrant is the </w:t>
      </w:r>
      <w:r w:rsidR="00E633F7">
        <w:t>“</w:t>
      </w:r>
      <w:r w:rsidRPr="00D764E9">
        <w:t>status quo</w:t>
      </w:r>
      <w:r w:rsidR="00634D5A">
        <w:t>-held</w:t>
      </w:r>
      <w:r w:rsidR="00E633F7">
        <w:t>”</w:t>
      </w:r>
      <w:r w:rsidRPr="00D764E9">
        <w:t xml:space="preserve"> region, in which each indicator is of low importance and </w:t>
      </w:r>
      <w:r w:rsidR="00634D5A">
        <w:t xml:space="preserve">has </w:t>
      </w:r>
      <w:r w:rsidRPr="00D764E9">
        <w:t xml:space="preserve">good service performance. </w:t>
      </w:r>
      <w:r w:rsidR="00940C5E">
        <w:t>Added e</w:t>
      </w:r>
      <w:r w:rsidRPr="00D764E9">
        <w:t>nergy</w:t>
      </w:r>
      <w:r w:rsidR="00E633F7">
        <w:t xml:space="preserve"> </w:t>
      </w:r>
      <w:r w:rsidR="00940C5E">
        <w:t xml:space="preserve">is </w:t>
      </w:r>
      <w:r w:rsidR="00E633F7">
        <w:t>not need</w:t>
      </w:r>
      <w:r w:rsidR="00940C5E">
        <w:t xml:space="preserve">ed </w:t>
      </w:r>
      <w:r w:rsidR="00634D5A">
        <w:t>in this region</w:t>
      </w:r>
      <w:r w:rsidR="00E633F7">
        <w:t>.</w:t>
      </w:r>
      <w:r w:rsidRPr="00D764E9">
        <w:t xml:space="preserve"> </w:t>
      </w:r>
      <w:r w:rsidR="00E633F7">
        <w:t>The t</w:t>
      </w:r>
      <w:r w:rsidRPr="00D764E9">
        <w:t xml:space="preserve">hird quadrant is the </w:t>
      </w:r>
      <w:r w:rsidR="00E633F7">
        <w:t>“</w:t>
      </w:r>
      <w:r w:rsidRPr="00D764E9">
        <w:t>second improvement</w:t>
      </w:r>
      <w:r w:rsidR="00E633F7">
        <w:t>”</w:t>
      </w:r>
      <w:r w:rsidRPr="00D764E9">
        <w:t xml:space="preserve"> region, in which each indicator is of low importance and </w:t>
      </w:r>
      <w:r w:rsidR="00634D5A">
        <w:t xml:space="preserve">has </w:t>
      </w:r>
      <w:r w:rsidRPr="00D764E9">
        <w:t xml:space="preserve">bad service performance. </w:t>
      </w:r>
      <w:r w:rsidR="00634D5A">
        <w:t>The</w:t>
      </w:r>
      <w:r w:rsidR="00634D5A" w:rsidRPr="00D764E9">
        <w:t xml:space="preserve"> </w:t>
      </w:r>
      <w:r w:rsidRPr="00D764E9">
        <w:t xml:space="preserve">indicators </w:t>
      </w:r>
      <w:r w:rsidR="00634D5A">
        <w:t xml:space="preserve">in this region </w:t>
      </w:r>
      <w:commentRangeStart w:id="10"/>
      <w:r w:rsidRPr="00D764E9">
        <w:t xml:space="preserve">need to be improved </w:t>
      </w:r>
      <w:r w:rsidR="00940C5E">
        <w:t>but not urgently</w:t>
      </w:r>
      <w:commentRangeEnd w:id="10"/>
      <w:r w:rsidR="00940C5E">
        <w:rPr>
          <w:rStyle w:val="CommentReference"/>
        </w:rPr>
        <w:commentReference w:id="10"/>
      </w:r>
      <w:r w:rsidR="00E633F7">
        <w:t>.</w:t>
      </w:r>
      <w:r w:rsidRPr="00D764E9">
        <w:t xml:space="preserve"> </w:t>
      </w:r>
      <w:r w:rsidR="00E633F7">
        <w:t>The f</w:t>
      </w:r>
      <w:r w:rsidRPr="00D764E9">
        <w:t xml:space="preserve">ourth quadrant is the </w:t>
      </w:r>
      <w:r w:rsidR="00E633F7">
        <w:t>“</w:t>
      </w:r>
      <w:r w:rsidRPr="00D764E9">
        <w:t>prior improvement</w:t>
      </w:r>
      <w:r w:rsidR="00E633F7">
        <w:t>”</w:t>
      </w:r>
      <w:r w:rsidRPr="00D764E9">
        <w:t xml:space="preserve"> region, in which each indicator is of high importance and </w:t>
      </w:r>
      <w:r w:rsidR="00634D5A">
        <w:t xml:space="preserve">has </w:t>
      </w:r>
      <w:r w:rsidRPr="00D764E9">
        <w:t xml:space="preserve">bad service performance. </w:t>
      </w:r>
      <w:r w:rsidR="00634D5A">
        <w:t>The</w:t>
      </w:r>
      <w:r w:rsidR="00634D5A" w:rsidRPr="00D764E9">
        <w:t xml:space="preserve"> </w:t>
      </w:r>
      <w:r w:rsidRPr="00D764E9">
        <w:t xml:space="preserve">indicators </w:t>
      </w:r>
      <w:r w:rsidR="00634D5A">
        <w:t xml:space="preserve">in this region </w:t>
      </w:r>
      <w:r w:rsidRPr="00D764E9">
        <w:t>need to be emphasi</w:t>
      </w:r>
      <w:r w:rsidR="00634D5A">
        <w:t>zed</w:t>
      </w:r>
      <w:r w:rsidRPr="00D764E9">
        <w:t xml:space="preserve"> in the service quality improvement.</w:t>
      </w:r>
    </w:p>
    <w:p w14:paraId="7500CE1B" w14:textId="67C95256" w:rsidR="00034292" w:rsidRPr="00D764E9" w:rsidRDefault="00034292" w:rsidP="00417BDA">
      <w:pPr>
        <w:spacing w:afterLines="50" w:after="156"/>
        <w:ind w:firstLine="480"/>
      </w:pPr>
      <w:r w:rsidRPr="00D764E9">
        <w:t xml:space="preserve">Many scholars </w:t>
      </w:r>
      <w:r w:rsidR="00634D5A">
        <w:t xml:space="preserve">have </w:t>
      </w:r>
      <w:r w:rsidR="00940C5E">
        <w:t xml:space="preserve">applied </w:t>
      </w:r>
      <w:r w:rsidRPr="00D764E9">
        <w:t xml:space="preserve">the IPA method into research cases </w:t>
      </w:r>
      <w:r w:rsidR="00940C5E">
        <w:t xml:space="preserve">about </w:t>
      </w:r>
      <w:r w:rsidRPr="00D764E9">
        <w:t>transportation service satisfaction. Stradling</w:t>
      </w:r>
      <w:r w:rsidR="00940C5E">
        <w:t xml:space="preserve"> et al.</w:t>
      </w:r>
      <w:r w:rsidR="00E633F7">
        <w:t xml:space="preserve"> </w:t>
      </w:r>
      <w:r w:rsidR="00D90236" w:rsidRPr="00D764E9">
        <w:fldChar w:fldCharType="begin"/>
      </w:r>
      <w:r w:rsidRPr="00D764E9">
        <w:instrText xml:space="preserve"> ADDIN NE.Ref.{44DF5F89-E49B-4542-B520-085C41468300}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(Stradling et al. 2007)</w:t>
      </w:r>
      <w:r w:rsidR="00D90236" w:rsidRPr="00D764E9">
        <w:fldChar w:fldCharType="end"/>
      </w:r>
      <w:r w:rsidRPr="00D764E9">
        <w:t xml:space="preserve"> use</w:t>
      </w:r>
      <w:r w:rsidR="00940C5E">
        <w:t>d</w:t>
      </w:r>
      <w:r w:rsidRPr="00D764E9">
        <w:t xml:space="preserve"> the </w:t>
      </w:r>
      <w:r w:rsidR="00940C5E">
        <w:lastRenderedPageBreak/>
        <w:t xml:space="preserve">six-step </w:t>
      </w:r>
      <w:r w:rsidRPr="00D764E9">
        <w:t>IPA method</w:t>
      </w:r>
      <w:r w:rsidR="00940C5E">
        <w:t xml:space="preserve"> that they</w:t>
      </w:r>
      <w:r w:rsidRPr="00D764E9">
        <w:t xml:space="preserve"> </w:t>
      </w:r>
      <w:r w:rsidR="00940C5E">
        <w:t>proposed</w:t>
      </w:r>
      <w:r w:rsidRPr="00D764E9">
        <w:t xml:space="preserve"> to analyze the focusing differences of bus passengers, car passengers</w:t>
      </w:r>
      <w:r w:rsidR="00E633F7">
        <w:t>,</w:t>
      </w:r>
      <w:r w:rsidRPr="00D764E9">
        <w:t xml:space="preserve"> and footers in the road transportation process. </w:t>
      </w:r>
      <w:commentRangeStart w:id="11"/>
      <w:r w:rsidRPr="00D764E9">
        <w:t>Zhang et al.</w:t>
      </w:r>
      <w:commentRangeEnd w:id="11"/>
      <w:r w:rsidR="00940C5E">
        <w:rPr>
          <w:rStyle w:val="CommentReference"/>
        </w:rPr>
        <w:commentReference w:id="11"/>
      </w:r>
      <w:r w:rsidRPr="00D764E9">
        <w:t xml:space="preserve"> use</w:t>
      </w:r>
      <w:r w:rsidR="00C52725">
        <w:t>d</w:t>
      </w:r>
      <w:r w:rsidRPr="00D764E9">
        <w:t xml:space="preserve"> examples of bus, bus rapid transit</w:t>
      </w:r>
      <w:r w:rsidR="00E633F7">
        <w:t>,</w:t>
      </w:r>
      <w:r w:rsidRPr="00D764E9">
        <w:t xml:space="preserve"> and </w:t>
      </w:r>
      <w:r w:rsidR="00E633F7">
        <w:t>v</w:t>
      </w:r>
      <w:r w:rsidRPr="00D764E9">
        <w:t>an riders in Indore, India</w:t>
      </w:r>
      <w:r w:rsidR="00E633F7">
        <w:t>,</w:t>
      </w:r>
      <w:r w:rsidRPr="00D764E9">
        <w:t xml:space="preserve"> to determine </w:t>
      </w:r>
      <w:r w:rsidR="00A43C16">
        <w:t xml:space="preserve">the </w:t>
      </w:r>
      <w:r w:rsidRPr="00D764E9">
        <w:t xml:space="preserve">focusing differences of </w:t>
      </w:r>
      <w:r w:rsidR="00E633F7">
        <w:t xml:space="preserve">the </w:t>
      </w:r>
      <w:r w:rsidR="00E633F7" w:rsidRPr="00D764E9">
        <w:t xml:space="preserve">passengers </w:t>
      </w:r>
      <w:r w:rsidR="00E633F7">
        <w:t xml:space="preserve">of the </w:t>
      </w:r>
      <w:r w:rsidRPr="00D764E9">
        <w:t xml:space="preserve">three transportation vehicles </w:t>
      </w:r>
      <w:r w:rsidR="00C52725">
        <w:t>to enable</w:t>
      </w:r>
      <w:r w:rsidRPr="00D764E9">
        <w:t xml:space="preserve"> improvement directions </w:t>
      </w:r>
      <w:r w:rsidR="00C52725">
        <w:t xml:space="preserve">to be </w:t>
      </w:r>
      <w:r w:rsidRPr="00D764E9">
        <w:t xml:space="preserve">determined to improve public transportation </w:t>
      </w:r>
      <w:r w:rsidR="00A43C16">
        <w:t>quality</w:t>
      </w:r>
      <w:r w:rsidRPr="00D764E9">
        <w:t>.</w:t>
      </w:r>
    </w:p>
    <w:p w14:paraId="3AEFE010" w14:textId="7284D01A" w:rsidR="00034292" w:rsidRPr="00D764E9" w:rsidRDefault="00E633F7" w:rsidP="00417BDA">
      <w:pPr>
        <w:spacing w:afterLines="50" w:after="156"/>
        <w:ind w:firstLine="480"/>
      </w:pPr>
      <w:r>
        <w:t xml:space="preserve">The </w:t>
      </w:r>
      <w:r w:rsidRPr="00D764E9">
        <w:t xml:space="preserve">importance </w:t>
      </w:r>
      <w:r>
        <w:t>of f</w:t>
      </w:r>
      <w:r w:rsidR="00034292" w:rsidRPr="00D764E9">
        <w:t>actor indicators in the IPA method can be determined in many ways. Weight in the early IPA method is generally determined by multiple regression or correlation methods. Weinstein</w:t>
      </w:r>
      <w:r>
        <w:t xml:space="preserve"> </w:t>
      </w:r>
      <w:r w:rsidR="00D90236" w:rsidRPr="00D764E9">
        <w:fldChar w:fldCharType="begin"/>
      </w:r>
      <w:r w:rsidR="00034292" w:rsidRPr="00D764E9">
        <w:instrText xml:space="preserve"> ADDIN NE.Ref.{68BB76ED-A10D-4B40-8B42-203F0E9F19FB}</w:instrText>
      </w:r>
      <w:r w:rsidR="00D90236" w:rsidRPr="00D764E9">
        <w:fldChar w:fldCharType="separate"/>
      </w:r>
      <w:r w:rsidR="00034292" w:rsidRPr="00D764E9">
        <w:rPr>
          <w:color w:val="0080FF"/>
          <w:kern w:val="0"/>
          <w:szCs w:val="24"/>
        </w:rPr>
        <w:t>(Weinstein 2000)</w:t>
      </w:r>
      <w:r w:rsidR="00D90236" w:rsidRPr="00D764E9">
        <w:fldChar w:fldCharType="end"/>
      </w:r>
      <w:r w:rsidR="00034292" w:rsidRPr="00D764E9">
        <w:t xml:space="preserve"> </w:t>
      </w:r>
      <w:r w:rsidR="00C52725">
        <w:t xml:space="preserve">regarded </w:t>
      </w:r>
      <w:r w:rsidR="00034292" w:rsidRPr="00D764E9">
        <w:t xml:space="preserve">the analysis results of Pearson multiple regression and correlation method as the </w:t>
      </w:r>
      <w:r w:rsidRPr="00D764E9">
        <w:t xml:space="preserve">importance </w:t>
      </w:r>
      <w:r>
        <w:t xml:space="preserve">of </w:t>
      </w:r>
      <w:r w:rsidR="00034292" w:rsidRPr="00D764E9">
        <w:t>factor indicators in the IPA method and analyze</w:t>
      </w:r>
      <w:r w:rsidR="00C52725">
        <w:t>d</w:t>
      </w:r>
      <w:r w:rsidR="00034292" w:rsidRPr="00D764E9">
        <w:t xml:space="preserve"> passenger satisfaction data in the San Francisco Bay Area Rapid Transit District to compare the two results. As satisfaction research </w:t>
      </w:r>
      <w:r w:rsidR="004B7132">
        <w:t>increasingly</w:t>
      </w:r>
      <w:r w:rsidR="004B7132" w:rsidRPr="00D764E9">
        <w:t xml:space="preserve"> </w:t>
      </w:r>
      <w:r w:rsidR="00034292" w:rsidRPr="00D764E9">
        <w:t>deep</w:t>
      </w:r>
      <w:r w:rsidR="004B7132">
        <w:t>ens</w:t>
      </w:r>
      <w:r w:rsidR="00034292" w:rsidRPr="00D764E9">
        <w:t>, the measurement indicator system gradually expand</w:t>
      </w:r>
      <w:r w:rsidR="004B7132">
        <w:t>s</w:t>
      </w:r>
      <w:r w:rsidR="00034292" w:rsidRPr="00D764E9">
        <w:t xml:space="preserve">. Indicators begin to affect </w:t>
      </w:r>
      <w:r>
        <w:t>one an</w:t>
      </w:r>
      <w:r w:rsidR="00034292" w:rsidRPr="00D764E9">
        <w:t xml:space="preserve">other, </w:t>
      </w:r>
      <w:r w:rsidR="00C52725">
        <w:t>thereby</w:t>
      </w:r>
      <w:r w:rsidR="00C52725" w:rsidRPr="00D764E9">
        <w:t xml:space="preserve"> </w:t>
      </w:r>
      <w:r w:rsidR="00034292" w:rsidRPr="00D764E9">
        <w:t>hard</w:t>
      </w:r>
      <w:r>
        <w:t>ly</w:t>
      </w:r>
      <w:r w:rsidR="00034292" w:rsidRPr="00D764E9">
        <w:t xml:space="preserve"> </w:t>
      </w:r>
      <w:r w:rsidR="00C52725">
        <w:t xml:space="preserve">satisfying </w:t>
      </w:r>
      <w:r w:rsidR="00034292" w:rsidRPr="00D764E9">
        <w:t xml:space="preserve">the </w:t>
      </w:r>
      <w:r w:rsidR="00C52725">
        <w:t xml:space="preserve">independence </w:t>
      </w:r>
      <w:r w:rsidR="00034292" w:rsidRPr="00D764E9">
        <w:t>requirements. In addition, multiple</w:t>
      </w:r>
      <w:r w:rsidR="00C52725">
        <w:t>-</w:t>
      </w:r>
      <w:r w:rsidR="00034292" w:rsidRPr="00D764E9">
        <w:t xml:space="preserve">indicator regression </w:t>
      </w:r>
      <w:r w:rsidR="004B7132">
        <w:t xml:space="preserve">can </w:t>
      </w:r>
      <w:r w:rsidR="00C52725">
        <w:t xml:space="preserve">barely </w:t>
      </w:r>
      <w:r w:rsidR="00034292" w:rsidRPr="00D764E9">
        <w:t xml:space="preserve">pass statistics inspection, and multiple regression method is </w:t>
      </w:r>
      <w:r w:rsidR="00C52725">
        <w:t xml:space="preserve">being </w:t>
      </w:r>
      <w:r w:rsidR="00034292" w:rsidRPr="00D764E9">
        <w:t xml:space="preserve">gradually replaced by SEM </w:t>
      </w:r>
      <w:r w:rsidR="00D90236" w:rsidRPr="00D764E9">
        <w:fldChar w:fldCharType="begin"/>
      </w:r>
      <w:r w:rsidR="00034292" w:rsidRPr="00D764E9">
        <w:instrText xml:space="preserve"> ADDIN NE.Ref.{EDF5AEA5-D922-485C-866B-B22AE4492AC4}</w:instrText>
      </w:r>
      <w:r w:rsidR="00D90236" w:rsidRPr="00D764E9">
        <w:fldChar w:fldCharType="separate"/>
      </w:r>
      <w:r w:rsidR="00034292" w:rsidRPr="00D764E9">
        <w:rPr>
          <w:color w:val="0080FF"/>
          <w:kern w:val="0"/>
          <w:szCs w:val="24"/>
        </w:rPr>
        <w:t>(Stuart et al. 2000)</w:t>
      </w:r>
      <w:r w:rsidR="00D90236" w:rsidRPr="00D764E9">
        <w:fldChar w:fldCharType="end"/>
      </w:r>
      <w:r w:rsidR="00034292" w:rsidRPr="00D764E9">
        <w:t xml:space="preserve">. SEM originated from the traditional factor analysis and </w:t>
      </w:r>
      <w:r w:rsidR="004B7132">
        <w:t xml:space="preserve">is </w:t>
      </w:r>
      <w:r w:rsidR="00034292" w:rsidRPr="00D764E9">
        <w:t xml:space="preserve">based on the variable covariance matrix </w:t>
      </w:r>
      <w:r w:rsidR="004B7132">
        <w:t>that</w:t>
      </w:r>
      <w:r w:rsidR="004B7132" w:rsidRPr="00D764E9">
        <w:t xml:space="preserve"> </w:t>
      </w:r>
      <w:r w:rsidR="00034292" w:rsidRPr="00D764E9">
        <w:t>analyze</w:t>
      </w:r>
      <w:r w:rsidR="004B7132">
        <w:t>s</w:t>
      </w:r>
      <w:r w:rsidR="00034292" w:rsidRPr="00D764E9">
        <w:t xml:space="preserve"> variable relationships. </w:t>
      </w:r>
      <w:r w:rsidR="004B7132">
        <w:t>A m</w:t>
      </w:r>
      <w:r w:rsidR="00034292" w:rsidRPr="00D764E9">
        <w:t xml:space="preserve">easurable variable is used to indirectly measure </w:t>
      </w:r>
      <w:r w:rsidR="00C52725">
        <w:t>certain</w:t>
      </w:r>
      <w:r w:rsidR="00C52725" w:rsidRPr="00D764E9">
        <w:t xml:space="preserve"> </w:t>
      </w:r>
      <w:r w:rsidR="00034292" w:rsidRPr="00D764E9">
        <w:t>variable</w:t>
      </w:r>
      <w:r w:rsidR="005C644A">
        <w:t>s</w:t>
      </w:r>
      <w:r w:rsidR="00034292" w:rsidRPr="00D764E9">
        <w:t xml:space="preserve"> that cannot be directly measured, </w:t>
      </w:r>
      <w:r w:rsidR="00C52725">
        <w:t xml:space="preserve">which </w:t>
      </w:r>
      <w:r w:rsidR="004B7132">
        <w:t xml:space="preserve">are </w:t>
      </w:r>
      <w:r w:rsidR="00034292" w:rsidRPr="00D764E9">
        <w:t>called potential variable</w:t>
      </w:r>
      <w:r w:rsidR="004B7132">
        <w:t>s</w:t>
      </w:r>
      <w:r w:rsidR="00034292" w:rsidRPr="00D764E9">
        <w:t xml:space="preserve">. Traditional factor analysis </w:t>
      </w:r>
      <w:r w:rsidR="00650185">
        <w:t>requires</w:t>
      </w:r>
      <w:r w:rsidR="00034292" w:rsidRPr="00D764E9">
        <w:t xml:space="preserve"> that the potential factors </w:t>
      </w:r>
      <w:r w:rsidR="00650185">
        <w:t xml:space="preserve">should be </w:t>
      </w:r>
      <w:r w:rsidR="00034292" w:rsidRPr="00D764E9">
        <w:t xml:space="preserve">independent </w:t>
      </w:r>
      <w:r w:rsidR="00C52725">
        <w:t>of</w:t>
      </w:r>
      <w:r w:rsidR="00034292" w:rsidRPr="00D764E9">
        <w:t xml:space="preserve"> </w:t>
      </w:r>
      <w:r w:rsidR="005C644A">
        <w:t>one an</w:t>
      </w:r>
      <w:r w:rsidR="00034292" w:rsidRPr="00D764E9">
        <w:t xml:space="preserve">other. However, in actual problems, some potential factors have </w:t>
      </w:r>
      <w:commentRangeStart w:id="12"/>
      <w:r w:rsidR="00650185" w:rsidRPr="00D764E9">
        <w:t xml:space="preserve">independent </w:t>
      </w:r>
      <w:r w:rsidR="00034292" w:rsidRPr="00D764E9">
        <w:t>or dependent relationships</w:t>
      </w:r>
      <w:commentRangeEnd w:id="12"/>
      <w:r w:rsidR="00650185">
        <w:rPr>
          <w:rStyle w:val="CommentReference"/>
        </w:rPr>
        <w:commentReference w:id="12"/>
      </w:r>
      <w:r w:rsidR="00034292" w:rsidRPr="00D764E9">
        <w:t>. SEM can describe such relations</w:t>
      </w:r>
      <w:r w:rsidR="005C644A">
        <w:t>hips</w:t>
      </w:r>
      <w:r w:rsidR="00034292" w:rsidRPr="00D764E9">
        <w:t xml:space="preserve"> </w:t>
      </w:r>
      <w:r w:rsidR="00C52725">
        <w:t xml:space="preserve">well and thus make the model realistic </w:t>
      </w:r>
      <w:r w:rsidR="00034292" w:rsidRPr="00D764E9">
        <w:t xml:space="preserve">through </w:t>
      </w:r>
      <w:r w:rsidR="005C644A">
        <w:t xml:space="preserve">the </w:t>
      </w:r>
      <w:r w:rsidR="00034292" w:rsidRPr="00D764E9">
        <w:t>introduction of exogenous variables, endogenous variables</w:t>
      </w:r>
      <w:r w:rsidR="005C644A">
        <w:t>,</w:t>
      </w:r>
      <w:r w:rsidR="00034292" w:rsidRPr="00D764E9">
        <w:t xml:space="preserve"> and error terms. Chou</w:t>
      </w:r>
      <w:r w:rsidR="00C52725">
        <w:t xml:space="preserve"> et al.</w:t>
      </w:r>
      <w:r w:rsidR="005C644A">
        <w:t xml:space="preserve"> </w:t>
      </w:r>
      <w:r w:rsidR="00D90236" w:rsidRPr="00D764E9">
        <w:fldChar w:fldCharType="begin"/>
      </w:r>
      <w:r w:rsidR="00034292" w:rsidRPr="00D764E9">
        <w:instrText xml:space="preserve"> ADDIN NE.Ref.{869D213C-C45A-4A49-9473-6B25731118A7}</w:instrText>
      </w:r>
      <w:r w:rsidR="00D90236" w:rsidRPr="00D764E9">
        <w:fldChar w:fldCharType="separate"/>
      </w:r>
      <w:r w:rsidR="00034292" w:rsidRPr="00D764E9">
        <w:rPr>
          <w:color w:val="0080FF"/>
          <w:kern w:val="0"/>
          <w:szCs w:val="24"/>
        </w:rPr>
        <w:t>(Chou et al. 2011)</w:t>
      </w:r>
      <w:r w:rsidR="00D90236" w:rsidRPr="00D764E9">
        <w:fldChar w:fldCharType="end"/>
      </w:r>
      <w:r w:rsidR="00034292" w:rsidRPr="00D764E9">
        <w:t xml:space="preserve"> use</w:t>
      </w:r>
      <w:r w:rsidR="00C52725">
        <w:t>d</w:t>
      </w:r>
      <w:r w:rsidR="00034292" w:rsidRPr="00D764E9">
        <w:t xml:space="preserve"> SEM to determine the importance of service indicator</w:t>
      </w:r>
      <w:r w:rsidR="00C52725">
        <w:t>s</w:t>
      </w:r>
      <w:r w:rsidR="00034292" w:rsidRPr="00D764E9">
        <w:t xml:space="preserve"> and adopt</w:t>
      </w:r>
      <w:r w:rsidR="00C52725">
        <w:t>ed</w:t>
      </w:r>
      <w:r w:rsidR="00034292" w:rsidRPr="00D764E9">
        <w:t xml:space="preserve"> </w:t>
      </w:r>
      <w:r w:rsidR="005C644A">
        <w:t xml:space="preserve">the </w:t>
      </w:r>
      <w:r w:rsidR="00034292" w:rsidRPr="00D764E9">
        <w:t>IPA method to analyze and assess the service quality and improvement strategies of high</w:t>
      </w:r>
      <w:r w:rsidR="005C644A">
        <w:t>-</w:t>
      </w:r>
      <w:r w:rsidR="00034292" w:rsidRPr="00D764E9">
        <w:t>speed railway</w:t>
      </w:r>
      <w:r w:rsidR="005C644A">
        <w:t>s</w:t>
      </w:r>
      <w:r w:rsidR="00034292" w:rsidRPr="00D764E9">
        <w:t xml:space="preserve"> in China</w:t>
      </w:r>
      <w:r w:rsidR="005C644A">
        <w:t>,</w:t>
      </w:r>
      <w:r w:rsidR="00034292" w:rsidRPr="00D764E9">
        <w:t xml:space="preserve"> Taiwan</w:t>
      </w:r>
      <w:r w:rsidR="005C644A">
        <w:t>,</w:t>
      </w:r>
      <w:r w:rsidR="00034292" w:rsidRPr="00D764E9">
        <w:t xml:space="preserve"> and </w:t>
      </w:r>
      <w:commentRangeStart w:id="13"/>
      <w:r w:rsidR="00034292" w:rsidRPr="00D764E9">
        <w:t>Korea</w:t>
      </w:r>
      <w:commentRangeEnd w:id="13"/>
      <w:r w:rsidR="00C52725">
        <w:rPr>
          <w:rStyle w:val="CommentReference"/>
        </w:rPr>
        <w:commentReference w:id="13"/>
      </w:r>
      <w:r w:rsidR="00034292" w:rsidRPr="00D764E9">
        <w:t xml:space="preserve">. </w:t>
      </w:r>
      <w:r w:rsidR="005C644A">
        <w:t xml:space="preserve">The </w:t>
      </w:r>
      <w:r w:rsidR="005C644A" w:rsidRPr="00D764E9">
        <w:t xml:space="preserve">weight </w:t>
      </w:r>
      <w:r w:rsidR="005C644A">
        <w:t>of f</w:t>
      </w:r>
      <w:r w:rsidR="00034292" w:rsidRPr="00D764E9">
        <w:t xml:space="preserve">actor indicators determined by SEM </w:t>
      </w:r>
      <w:r w:rsidR="00C52725">
        <w:t xml:space="preserve">renders </w:t>
      </w:r>
      <w:r w:rsidR="00034292" w:rsidRPr="00D764E9">
        <w:t>the IPA method objective and perfect. Comparatively complete method</w:t>
      </w:r>
      <w:r w:rsidR="0076447F">
        <w:t>s</w:t>
      </w:r>
      <w:r w:rsidR="00034292" w:rsidRPr="00D764E9">
        <w:t xml:space="preserve"> and system</w:t>
      </w:r>
      <w:r w:rsidR="0076447F">
        <w:t>s</w:t>
      </w:r>
      <w:r w:rsidR="00034292" w:rsidRPr="00D764E9">
        <w:t xml:space="preserve"> are already formed in actual applications. Shen</w:t>
      </w:r>
      <w:r w:rsidR="00C52725">
        <w:t xml:space="preserve"> et al.</w:t>
      </w:r>
      <w:r w:rsidR="005C644A">
        <w:t xml:space="preserve"> </w:t>
      </w:r>
      <w:r w:rsidR="00D90236" w:rsidRPr="00D764E9">
        <w:fldChar w:fldCharType="begin"/>
      </w:r>
      <w:r w:rsidR="00034292" w:rsidRPr="00D764E9">
        <w:instrText xml:space="preserve"> ADDIN NE.Ref.{C8C7C429-0D11-474E-ADAA-9D09C7E31946}</w:instrText>
      </w:r>
      <w:r w:rsidR="00D90236" w:rsidRPr="00D764E9">
        <w:fldChar w:fldCharType="separate"/>
      </w:r>
      <w:r w:rsidR="00034292" w:rsidRPr="00D764E9">
        <w:rPr>
          <w:color w:val="0080FF"/>
          <w:kern w:val="0"/>
          <w:szCs w:val="24"/>
        </w:rPr>
        <w:t>(Shen et al. 2016)</w:t>
      </w:r>
      <w:r w:rsidR="00D90236" w:rsidRPr="00D764E9">
        <w:fldChar w:fldCharType="end"/>
      </w:r>
      <w:r w:rsidR="00034292" w:rsidRPr="00D764E9">
        <w:t xml:space="preserve"> adopt</w:t>
      </w:r>
      <w:r w:rsidR="00C52725">
        <w:t>ed</w:t>
      </w:r>
      <w:r w:rsidR="00034292" w:rsidRPr="00D764E9">
        <w:t xml:space="preserve"> SEM to analyze </w:t>
      </w:r>
      <w:r w:rsidR="00C52725">
        <w:t xml:space="preserve">a </w:t>
      </w:r>
      <w:r w:rsidR="00034292" w:rsidRPr="00D764E9">
        <w:t>passenger satisfaction survey of the city railway between Suzhou and Shanghai and use</w:t>
      </w:r>
      <w:r w:rsidR="00C52725">
        <w:t>d</w:t>
      </w:r>
      <w:r w:rsidR="00034292" w:rsidRPr="00D764E9">
        <w:t xml:space="preserve"> </w:t>
      </w:r>
      <w:r w:rsidR="005C644A">
        <w:t xml:space="preserve">the </w:t>
      </w:r>
      <w:r w:rsidR="00034292" w:rsidRPr="00D764E9">
        <w:t>IPA method to analyze improvement directions.</w:t>
      </w:r>
    </w:p>
    <w:p w14:paraId="1F73A234" w14:textId="58666F92" w:rsidR="00EC3AB0" w:rsidRPr="00D764E9" w:rsidRDefault="00C52725" w:rsidP="00417BDA">
      <w:pPr>
        <w:spacing w:afterLines="50" w:after="156"/>
        <w:ind w:firstLine="480"/>
      </w:pPr>
      <w:r>
        <w:t xml:space="preserve">The </w:t>
      </w:r>
      <w:r w:rsidR="002F711A" w:rsidRPr="00D764E9">
        <w:t>IPA method has two presuppositions</w:t>
      </w:r>
      <w:r>
        <w:t>.</w:t>
      </w:r>
      <w:r w:rsidR="002F711A" w:rsidRPr="00D764E9">
        <w:t xml:space="preserve"> (1) </w:t>
      </w:r>
      <w:r w:rsidR="00B32012">
        <w:t>The i</w:t>
      </w:r>
      <w:r w:rsidR="002F711A" w:rsidRPr="00D764E9">
        <w:t xml:space="preserve">mportance of each indicator must be independent </w:t>
      </w:r>
      <w:r>
        <w:t>of</w:t>
      </w:r>
      <w:r w:rsidRPr="00D764E9">
        <w:t xml:space="preserve"> </w:t>
      </w:r>
      <w:r w:rsidR="002F711A" w:rsidRPr="00D764E9">
        <w:t>its satisfaction evaluation score</w:t>
      </w:r>
      <w:r>
        <w:t>, and</w:t>
      </w:r>
      <w:r w:rsidR="002F711A" w:rsidRPr="00D764E9">
        <w:t xml:space="preserve"> (2) </w:t>
      </w:r>
      <w:r>
        <w:t>t</w:t>
      </w:r>
      <w:r w:rsidR="005C644A">
        <w:t xml:space="preserve">he </w:t>
      </w:r>
      <w:r w:rsidR="005C644A" w:rsidRPr="00D764E9">
        <w:t>satisfaction score</w:t>
      </w:r>
      <w:r>
        <w:t>s</w:t>
      </w:r>
      <w:r w:rsidR="005C644A" w:rsidRPr="00D764E9">
        <w:t xml:space="preserve"> </w:t>
      </w:r>
      <w:r w:rsidR="005C644A">
        <w:t>of a</w:t>
      </w:r>
      <w:r w:rsidR="002F711A" w:rsidRPr="00D764E9">
        <w:t xml:space="preserve">ll sub-indicators must be linearly independent </w:t>
      </w:r>
      <w:r>
        <w:t>of</w:t>
      </w:r>
      <w:r w:rsidRPr="00D764E9">
        <w:t xml:space="preserve"> </w:t>
      </w:r>
      <w:r w:rsidR="005C644A">
        <w:t xml:space="preserve">the </w:t>
      </w:r>
      <w:r w:rsidR="002F711A" w:rsidRPr="00D764E9">
        <w:t xml:space="preserve">overall satisfaction. </w:t>
      </w:r>
      <w:r w:rsidR="005C644A">
        <w:t xml:space="preserve">However, </w:t>
      </w:r>
      <w:r w:rsidR="002F711A" w:rsidRPr="00D764E9">
        <w:t xml:space="preserve">due to the limitations of survey sampling and implementation, the two premises </w:t>
      </w:r>
      <w:r w:rsidR="005C644A">
        <w:t xml:space="preserve">can </w:t>
      </w:r>
      <w:r w:rsidR="002F711A" w:rsidRPr="00D764E9">
        <w:t xml:space="preserve">hardly </w:t>
      </w:r>
      <w:r>
        <w:t>be fulfilled</w:t>
      </w:r>
      <w:r w:rsidR="002F711A" w:rsidRPr="00D764E9">
        <w:t xml:space="preserve">. In </w:t>
      </w:r>
      <w:r>
        <w:t xml:space="preserve">a </w:t>
      </w:r>
      <w:r w:rsidR="002F711A" w:rsidRPr="00D764E9">
        <w:t>post-study research, Kano et al.</w:t>
      </w:r>
      <w:r w:rsidR="005C644A">
        <w:t xml:space="preserve"> </w:t>
      </w:r>
      <w:r w:rsidR="00D90236" w:rsidRPr="00D764E9">
        <w:fldChar w:fldCharType="begin"/>
      </w:r>
      <w:r w:rsidR="002F711A" w:rsidRPr="00D764E9">
        <w:instrText xml:space="preserve"> ADDIN NE.Ref.{025C93AC-96C1-4594-B3BE-D6FC74BD9947}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(Kano 1984)</w:t>
      </w:r>
      <w:r w:rsidR="00D90236" w:rsidRPr="00D764E9">
        <w:fldChar w:fldCharType="end"/>
      </w:r>
      <w:r w:rsidR="005C644A">
        <w:t xml:space="preserve"> </w:t>
      </w:r>
      <w:r>
        <w:t>stated</w:t>
      </w:r>
      <w:r w:rsidR="002F711A" w:rsidRPr="00D764E9">
        <w:t xml:space="preserve"> that the relationship between indicators</w:t>
      </w:r>
      <w:r w:rsidR="005C644A">
        <w:t>’</w:t>
      </w:r>
      <w:r w:rsidR="002F711A" w:rsidRPr="00D764E9">
        <w:t xml:space="preserve"> satisfaction score</w:t>
      </w:r>
      <w:r w:rsidR="00037DA8">
        <w:t>s</w:t>
      </w:r>
      <w:r w:rsidR="002F711A" w:rsidRPr="00D764E9">
        <w:t xml:space="preserve"> and overall satisfaction is sometimes asymmetric. </w:t>
      </w:r>
      <w:r w:rsidR="00037DA8">
        <w:t xml:space="preserve">The researchers presented </w:t>
      </w:r>
      <w:r w:rsidR="002F711A" w:rsidRPr="00D764E9">
        <w:t xml:space="preserve">a query to customers about the practical evaluation of each indicator </w:t>
      </w:r>
      <w:r w:rsidR="005C644A">
        <w:t xml:space="preserve">by </w:t>
      </w:r>
      <w:r w:rsidR="002F711A" w:rsidRPr="00D764E9">
        <w:t>designing the “Kano model survey</w:t>
      </w:r>
      <w:r w:rsidR="005C644A">
        <w:t>.</w:t>
      </w:r>
      <w:r w:rsidR="002F711A" w:rsidRPr="00D764E9">
        <w:t xml:space="preserve">” Customer demands of each indicator </w:t>
      </w:r>
      <w:r w:rsidR="00037DA8">
        <w:t>we</w:t>
      </w:r>
      <w:r w:rsidR="00386FC8">
        <w:t>re</w:t>
      </w:r>
      <w:r w:rsidR="00386FC8" w:rsidRPr="00D764E9">
        <w:t xml:space="preserve"> </w:t>
      </w:r>
      <w:r w:rsidR="002F711A" w:rsidRPr="00D764E9">
        <w:t xml:space="preserve">analyzed and then divided into </w:t>
      </w:r>
      <w:r w:rsidR="005C644A">
        <w:t xml:space="preserve">five </w:t>
      </w:r>
      <w:r w:rsidR="002F711A" w:rsidRPr="00D764E9">
        <w:t xml:space="preserve">types. </w:t>
      </w:r>
      <w:r w:rsidR="00386FC8" w:rsidRPr="00D764E9">
        <w:t>Subsequently</w:t>
      </w:r>
      <w:r w:rsidR="002F711A" w:rsidRPr="00D764E9">
        <w:t xml:space="preserve">, many researchers </w:t>
      </w:r>
      <w:r w:rsidR="00D90236" w:rsidRPr="00D764E9">
        <w:fldChar w:fldCharType="begin"/>
      </w:r>
      <w:r w:rsidR="002F711A" w:rsidRPr="00D764E9">
        <w:instrText xml:space="preserve"> ADDIN NE.Ref.{BAB19FE6-21DC-4B6C-AE34-AB86830A5592}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(Anderson and Mittal 2000; Busacca and Padula 2005; Matzler et al. 2004)</w:t>
      </w:r>
      <w:r w:rsidR="00D90236" w:rsidRPr="00D764E9">
        <w:fldChar w:fldCharType="end"/>
      </w:r>
      <w:r w:rsidR="002F711A" w:rsidRPr="00D764E9">
        <w:t xml:space="preserve"> </w:t>
      </w:r>
      <w:r w:rsidR="005C644A">
        <w:t xml:space="preserve">have </w:t>
      </w:r>
      <w:r w:rsidR="002F711A" w:rsidRPr="00D764E9">
        <w:t>appl</w:t>
      </w:r>
      <w:r w:rsidR="005C644A">
        <w:t>ied</w:t>
      </w:r>
      <w:r w:rsidR="002F711A" w:rsidRPr="00D764E9">
        <w:t xml:space="preserve"> the Kano model to analyze customer </w:t>
      </w:r>
      <w:r w:rsidR="002F711A" w:rsidRPr="00D764E9">
        <w:lastRenderedPageBreak/>
        <w:t>satisfaction. Such research contribute</w:t>
      </w:r>
      <w:r w:rsidR="00037DA8">
        <w:t>d</w:t>
      </w:r>
      <w:r w:rsidR="002F711A" w:rsidRPr="00D764E9">
        <w:t xml:space="preserve"> to the </w:t>
      </w:r>
      <w:r w:rsidR="00037DA8">
        <w:t xml:space="preserve">emergence </w:t>
      </w:r>
      <w:r w:rsidR="002F711A" w:rsidRPr="00D764E9">
        <w:t xml:space="preserve">of </w:t>
      </w:r>
      <w:r w:rsidR="005C644A">
        <w:t xml:space="preserve">the </w:t>
      </w:r>
      <w:r w:rsidR="002F711A" w:rsidRPr="00D764E9">
        <w:t xml:space="preserve">three-factor theory, which simplifies the </w:t>
      </w:r>
      <w:r w:rsidR="005C644A">
        <w:t>five</w:t>
      </w:r>
      <w:r w:rsidR="002F711A" w:rsidRPr="00D764E9">
        <w:t xml:space="preserve">-type satisfaction indicators in the Kano model into </w:t>
      </w:r>
      <w:r w:rsidR="005C644A">
        <w:t>three</w:t>
      </w:r>
      <w:r w:rsidR="002F711A" w:rsidRPr="00D764E9">
        <w:t>-type indicators</w:t>
      </w:r>
      <w:r w:rsidR="00037DA8">
        <w:t>:</w:t>
      </w:r>
      <w:r w:rsidR="005C644A">
        <w:t xml:space="preserve"> </w:t>
      </w:r>
      <w:r w:rsidR="002F711A" w:rsidRPr="00D764E9">
        <w:t>basic, performance</w:t>
      </w:r>
      <w:r w:rsidR="005C644A">
        <w:t>,</w:t>
      </w:r>
      <w:r w:rsidR="002F711A" w:rsidRPr="00D764E9">
        <w:t xml:space="preserve"> and exciting factors. Basic factors </w:t>
      </w:r>
      <w:r w:rsidR="00037DA8">
        <w:t>remarkably</w:t>
      </w:r>
      <w:r w:rsidR="002F711A" w:rsidRPr="00D764E9">
        <w:t xml:space="preserve"> influence the overall satisfaction when the satisfaction level is low, </w:t>
      </w:r>
      <w:r w:rsidR="005C644A">
        <w:t xml:space="preserve">but </w:t>
      </w:r>
      <w:r w:rsidR="002F711A" w:rsidRPr="00D764E9">
        <w:t xml:space="preserve">they influence the overall satisfaction </w:t>
      </w:r>
      <w:r w:rsidR="00037DA8">
        <w:t xml:space="preserve">only slightly </w:t>
      </w:r>
      <w:r w:rsidR="002F711A" w:rsidRPr="00D764E9">
        <w:t>when the satisfaction level is high</w:t>
      </w:r>
      <w:r w:rsidR="005C644A">
        <w:t>.</w:t>
      </w:r>
      <w:r w:rsidR="002F711A" w:rsidRPr="00D764E9">
        <w:t xml:space="preserve"> Performance factors pose the same influence on the overall satisfaction when the satisfaction level is either high or low</w:t>
      </w:r>
      <w:r w:rsidR="00186D4D">
        <w:t>.</w:t>
      </w:r>
      <w:r w:rsidR="002F711A" w:rsidRPr="00D764E9">
        <w:t xml:space="preserve"> Exciting factors </w:t>
      </w:r>
      <w:r w:rsidR="00037DA8">
        <w:t>affect</w:t>
      </w:r>
      <w:r w:rsidR="002F711A" w:rsidRPr="00D764E9">
        <w:t xml:space="preserve"> the overall satisfaction </w:t>
      </w:r>
      <w:r w:rsidR="00037DA8">
        <w:t xml:space="preserve">only slightly </w:t>
      </w:r>
      <w:r w:rsidR="002F711A" w:rsidRPr="00D764E9">
        <w:t>when the satisfaction level is low</w:t>
      </w:r>
      <w:r w:rsidR="00037DA8">
        <w:t xml:space="preserve"> and substantially</w:t>
      </w:r>
      <w:r w:rsidR="002F711A" w:rsidRPr="00D764E9">
        <w:t xml:space="preserve"> when the satisfaction level is high</w:t>
      </w:r>
      <w:r w:rsidR="00186D4D">
        <w:t xml:space="preserve"> </w:t>
      </w:r>
      <w:r w:rsidR="00D90236" w:rsidRPr="00D764E9">
        <w:fldChar w:fldCharType="begin"/>
      </w:r>
      <w:r w:rsidR="002F711A" w:rsidRPr="00D764E9">
        <w:instrText xml:space="preserve"> ADDIN NE.Ref.{F528CE60-E3D8-494E-97A8-B0A62F529990}</w:instrText>
      </w:r>
      <w:r w:rsidR="00D90236" w:rsidRPr="00D764E9">
        <w:fldChar w:fldCharType="separate"/>
      </w:r>
      <w:r w:rsidR="002F711A" w:rsidRPr="00D764E9">
        <w:rPr>
          <w:color w:val="0080FF"/>
          <w:kern w:val="0"/>
          <w:szCs w:val="24"/>
        </w:rPr>
        <w:t>(Wu et al. 2018)</w:t>
      </w:r>
      <w:r w:rsidR="00D90236" w:rsidRPr="00D764E9">
        <w:fldChar w:fldCharType="end"/>
      </w:r>
      <w:r w:rsidR="002F711A" w:rsidRPr="00D764E9">
        <w:t xml:space="preserve">. </w:t>
      </w:r>
      <w:r w:rsidR="00037DA8">
        <w:t>T</w:t>
      </w:r>
      <w:r w:rsidR="002F711A" w:rsidRPr="00D764E9">
        <w:t xml:space="preserve">hree-factor theory adds the perspective of </w:t>
      </w:r>
      <w:r w:rsidR="00186D4D">
        <w:t xml:space="preserve">the </w:t>
      </w:r>
      <w:r w:rsidR="00186D4D" w:rsidRPr="00D764E9">
        <w:t xml:space="preserve">property features </w:t>
      </w:r>
      <w:r w:rsidR="00186D4D">
        <w:t xml:space="preserve">of the </w:t>
      </w:r>
      <w:r w:rsidR="002F711A" w:rsidRPr="00D764E9">
        <w:t xml:space="preserve">factor indicators to the IPA category sequencing, which </w:t>
      </w:r>
      <w:r w:rsidR="00386FC8">
        <w:t>has a</w:t>
      </w:r>
      <w:r w:rsidR="002F711A" w:rsidRPr="00D764E9">
        <w:t xml:space="preserve"> certain practical value and </w:t>
      </w:r>
      <w:r w:rsidR="00386FC8">
        <w:t xml:space="preserve">is </w:t>
      </w:r>
      <w:r w:rsidR="002F711A" w:rsidRPr="00D764E9">
        <w:t xml:space="preserve">mutually complementary and supported </w:t>
      </w:r>
      <w:r w:rsidR="00037DA8">
        <w:t xml:space="preserve">by </w:t>
      </w:r>
      <w:r w:rsidR="00186D4D">
        <w:t xml:space="preserve">the </w:t>
      </w:r>
      <w:r w:rsidR="002F711A" w:rsidRPr="00D764E9">
        <w:t xml:space="preserve">IPA method. However, </w:t>
      </w:r>
      <w:r w:rsidR="00186D4D">
        <w:t xml:space="preserve">the </w:t>
      </w:r>
      <w:r w:rsidR="002F711A" w:rsidRPr="00D764E9">
        <w:t xml:space="preserve">three-factor method </w:t>
      </w:r>
      <w:r w:rsidR="00037DA8">
        <w:t xml:space="preserve">considers </w:t>
      </w:r>
      <w:r w:rsidR="002F711A" w:rsidRPr="00D764E9">
        <w:t>only the importance of factor</w:t>
      </w:r>
      <w:r w:rsidR="00386FC8">
        <w:t>s</w:t>
      </w:r>
      <w:r w:rsidR="002F711A" w:rsidRPr="00D764E9">
        <w:t xml:space="preserve"> trending from low satisfaction to high satisfaction and average passenger evaluation values of different indicators. Few factors are taken into </w:t>
      </w:r>
      <w:r w:rsidR="00C34996">
        <w:t>account</w:t>
      </w:r>
      <w:r w:rsidR="002F711A" w:rsidRPr="00D764E9">
        <w:t xml:space="preserve">, and </w:t>
      </w:r>
      <w:r w:rsidR="00C34996">
        <w:t xml:space="preserve">the </w:t>
      </w:r>
      <w:r w:rsidR="002F711A" w:rsidRPr="00D764E9">
        <w:t xml:space="preserve">category classification threshold value is </w:t>
      </w:r>
      <w:r w:rsidR="00386FC8">
        <w:t>debated</w:t>
      </w:r>
      <w:r w:rsidR="002F711A" w:rsidRPr="00D764E9">
        <w:t xml:space="preserve"> </w:t>
      </w:r>
      <w:r w:rsidR="00C34996">
        <w:t>because the</w:t>
      </w:r>
      <w:r w:rsidR="002F711A" w:rsidRPr="00D764E9">
        <w:t xml:space="preserve"> IPA method </w:t>
      </w:r>
      <w:r w:rsidR="00C34996">
        <w:t xml:space="preserve">encounters </w:t>
      </w:r>
      <w:r w:rsidR="002F711A" w:rsidRPr="00D764E9">
        <w:t>difficult</w:t>
      </w:r>
      <w:r w:rsidR="00C34996">
        <w:t>y</w:t>
      </w:r>
      <w:r w:rsidR="002F711A" w:rsidRPr="00D764E9">
        <w:t xml:space="preserve"> </w:t>
      </w:r>
      <w:r w:rsidR="00C34996">
        <w:t xml:space="preserve">in </w:t>
      </w:r>
      <w:r w:rsidR="002F711A" w:rsidRPr="00D764E9">
        <w:t>sequenc</w:t>
      </w:r>
      <w:r w:rsidR="00C34996">
        <w:t>ing</w:t>
      </w:r>
      <w:r w:rsidR="002F711A" w:rsidRPr="00D764E9">
        <w:t xml:space="preserve"> all the factors in one category. </w:t>
      </w:r>
      <w:commentRangeStart w:id="14"/>
      <w:r w:rsidR="00C34996">
        <w:t>This technique is therefore limited</w:t>
      </w:r>
      <w:commentRangeEnd w:id="14"/>
      <w:r w:rsidR="00C34996">
        <w:rPr>
          <w:rStyle w:val="CommentReference"/>
        </w:rPr>
        <w:commentReference w:id="14"/>
      </w:r>
      <w:r w:rsidR="002F711A" w:rsidRPr="00D764E9">
        <w:t>.</w:t>
      </w:r>
    </w:p>
    <w:p w14:paraId="322256F2" w14:textId="48F7CA2A" w:rsidR="002F711A" w:rsidRPr="00D764E9" w:rsidRDefault="00186D4D" w:rsidP="00417BDA">
      <w:pPr>
        <w:spacing w:afterLines="50" w:after="156"/>
        <w:ind w:firstLine="480"/>
      </w:pPr>
      <w:r>
        <w:t xml:space="preserve">The </w:t>
      </w:r>
      <w:r w:rsidR="002F711A" w:rsidRPr="00D764E9">
        <w:t xml:space="preserve">IPA method and three-factor theory are widely used in the customer satisfaction field and </w:t>
      </w:r>
      <w:r w:rsidR="00C34996">
        <w:t>state</w:t>
      </w:r>
      <w:r w:rsidR="002F711A" w:rsidRPr="00D764E9">
        <w:t xml:space="preserve"> the improvement direction</w:t>
      </w:r>
      <w:r w:rsidR="00091855">
        <w:t>s</w:t>
      </w:r>
      <w:r w:rsidR="002F711A" w:rsidRPr="00D764E9">
        <w:t xml:space="preserve"> of the service quality concerning the key factor classification. However, </w:t>
      </w:r>
      <w:r w:rsidR="00091855">
        <w:t xml:space="preserve">the </w:t>
      </w:r>
      <w:r w:rsidR="002F711A" w:rsidRPr="00D764E9">
        <w:t xml:space="preserve">IPA </w:t>
      </w:r>
      <w:r w:rsidR="000542C0">
        <w:t>method</w:t>
      </w:r>
      <w:r w:rsidR="000542C0" w:rsidRPr="00D764E9">
        <w:t xml:space="preserve"> </w:t>
      </w:r>
      <w:r w:rsidR="002F711A" w:rsidRPr="00D764E9">
        <w:t xml:space="preserve">still </w:t>
      </w:r>
      <w:r w:rsidR="00091855">
        <w:t xml:space="preserve">has </w:t>
      </w:r>
      <w:r w:rsidR="002F711A" w:rsidRPr="00D764E9">
        <w:t xml:space="preserve">limitations that are hard to overcome. Enterprise managers and policy makers can easily distinguish the indicators in different quadrants through </w:t>
      </w:r>
      <w:r w:rsidR="00091855">
        <w:t xml:space="preserve">the </w:t>
      </w:r>
      <w:r w:rsidR="002F711A" w:rsidRPr="00D764E9">
        <w:t>IPA method and then formulate development direction</w:t>
      </w:r>
      <w:r w:rsidR="00091855">
        <w:t>s</w:t>
      </w:r>
      <w:r w:rsidR="002F711A" w:rsidRPr="00D764E9">
        <w:t xml:space="preserve"> and strateg</w:t>
      </w:r>
      <w:r w:rsidR="00091855">
        <w:t>ies</w:t>
      </w:r>
      <w:r w:rsidR="002F711A" w:rsidRPr="00D764E9">
        <w:t xml:space="preserve"> through the classification precedence of each indicator. </w:t>
      </w:r>
      <w:r w:rsidR="00863817">
        <w:t xml:space="preserve">However, </w:t>
      </w:r>
      <w:r w:rsidR="002F711A" w:rsidRPr="00D764E9">
        <w:t xml:space="preserve">indicator precedence in the same quadrant cannot be distinguished. In addition, quadrant boundaries are divided according to the average value of satisfaction and importance. Although </w:t>
      </w:r>
      <w:commentRangeStart w:id="15"/>
      <w:r w:rsidR="002F711A" w:rsidRPr="00D764E9">
        <w:t xml:space="preserve">it </w:t>
      </w:r>
      <w:commentRangeEnd w:id="15"/>
      <w:r w:rsidR="00863817">
        <w:rPr>
          <w:rStyle w:val="CommentReference"/>
        </w:rPr>
        <w:commentReference w:id="15"/>
      </w:r>
      <w:r w:rsidR="002F711A" w:rsidRPr="00D764E9">
        <w:t xml:space="preserve">is arbitrary, </w:t>
      </w:r>
      <w:r w:rsidR="00863817">
        <w:t xml:space="preserve">the </w:t>
      </w:r>
      <w:r w:rsidR="002F711A" w:rsidRPr="00D764E9">
        <w:t>theoretical basis is insufficient. Th</w:t>
      </w:r>
      <w:r w:rsidR="00C34996">
        <w:t>us, the current work</w:t>
      </w:r>
      <w:r w:rsidR="002F711A" w:rsidRPr="00D764E9">
        <w:t xml:space="preserve"> </w:t>
      </w:r>
      <w:r w:rsidR="00C34996">
        <w:t>determines</w:t>
      </w:r>
      <w:r w:rsidR="002F711A" w:rsidRPr="00D764E9">
        <w:t xml:space="preserve"> another </w:t>
      </w:r>
      <w:r w:rsidR="00C34996">
        <w:t>means of</w:t>
      </w:r>
      <w:r w:rsidR="002F711A" w:rsidRPr="00D764E9">
        <w:t xml:space="preserve"> overcom</w:t>
      </w:r>
      <w:r w:rsidR="00C34996">
        <w:t>ing</w:t>
      </w:r>
      <w:r w:rsidR="002F711A" w:rsidRPr="00D764E9">
        <w:t xml:space="preserve"> the inherent defects of </w:t>
      </w:r>
      <w:r w:rsidR="005C7A33">
        <w:t xml:space="preserve">the </w:t>
      </w:r>
      <w:r w:rsidR="002F711A" w:rsidRPr="00D764E9">
        <w:t>IPA method, add</w:t>
      </w:r>
      <w:r w:rsidR="00C34996">
        <w:t>s</w:t>
      </w:r>
      <w:r w:rsidR="002F711A" w:rsidRPr="00D764E9">
        <w:t xml:space="preserve"> and consider</w:t>
      </w:r>
      <w:r w:rsidR="00C34996">
        <w:t>s</w:t>
      </w:r>
      <w:r w:rsidR="002F711A" w:rsidRPr="00D764E9">
        <w:t xml:space="preserve"> the </w:t>
      </w:r>
      <w:r w:rsidR="00C34996">
        <w:t xml:space="preserve">influential </w:t>
      </w:r>
      <w:r w:rsidR="002F711A" w:rsidRPr="00D764E9">
        <w:t xml:space="preserve">improvement factors, </w:t>
      </w:r>
      <w:r w:rsidR="00C34996">
        <w:t>develops</w:t>
      </w:r>
      <w:r w:rsidR="00C34996" w:rsidRPr="00D764E9">
        <w:t xml:space="preserve"> </w:t>
      </w:r>
      <w:r w:rsidR="00C34996">
        <w:t>a</w:t>
      </w:r>
      <w:r w:rsidR="00C34996" w:rsidRPr="00D764E9">
        <w:t xml:space="preserve"> </w:t>
      </w:r>
      <w:r w:rsidR="00C34996">
        <w:t xml:space="preserve">PP-based </w:t>
      </w:r>
      <w:r w:rsidR="002F711A" w:rsidRPr="00D764E9">
        <w:t>ranking method of improvement strategies, analyze</w:t>
      </w:r>
      <w:r w:rsidR="00C34996">
        <w:t>s</w:t>
      </w:r>
      <w:r w:rsidR="002F711A" w:rsidRPr="00D764E9">
        <w:t xml:space="preserve"> the </w:t>
      </w:r>
      <w:r w:rsidR="00C34996">
        <w:t xml:space="preserve">results of a 2017 </w:t>
      </w:r>
      <w:r w:rsidR="002F711A" w:rsidRPr="00D764E9">
        <w:t xml:space="preserve">passenger satisfaction </w:t>
      </w:r>
      <w:r w:rsidR="00C34996">
        <w:t>survey concerning</w:t>
      </w:r>
      <w:r w:rsidR="002F711A" w:rsidRPr="00D764E9">
        <w:t xml:space="preserve"> Wuhan rail transit, and formulate</w:t>
      </w:r>
      <w:r w:rsidR="00C34996">
        <w:t>s</w:t>
      </w:r>
      <w:r w:rsidR="002F711A" w:rsidRPr="00D764E9">
        <w:t xml:space="preserve"> </w:t>
      </w:r>
      <w:r w:rsidR="00C34996">
        <w:t xml:space="preserve">a </w:t>
      </w:r>
      <w:r w:rsidR="002F711A" w:rsidRPr="00D764E9">
        <w:t xml:space="preserve">new ranking method </w:t>
      </w:r>
      <w:r w:rsidR="00C34996">
        <w:t>for</w:t>
      </w:r>
      <w:r w:rsidR="002F711A" w:rsidRPr="00D764E9">
        <w:t xml:space="preserve"> improvement strateg</w:t>
      </w:r>
      <w:r w:rsidR="00863817">
        <w:t>y</w:t>
      </w:r>
      <w:r w:rsidR="002F711A" w:rsidRPr="00D764E9">
        <w:t xml:space="preserve"> precedence.</w:t>
      </w:r>
    </w:p>
    <w:p w14:paraId="6A6E4246" w14:textId="77777777" w:rsidR="00013574" w:rsidRPr="00D764E9" w:rsidRDefault="00C562BF" w:rsidP="00417BDA">
      <w:pPr>
        <w:pStyle w:val="Heading1"/>
        <w:spacing w:before="0" w:beforeAutospacing="0" w:afterLines="50" w:after="156" w:afterAutospacing="0"/>
      </w:pPr>
      <w:r w:rsidRPr="00D764E9">
        <w:t>3. Methodology</w:t>
      </w:r>
    </w:p>
    <w:p w14:paraId="22F178C2" w14:textId="77777777" w:rsidR="00B81107" w:rsidRPr="00D764E9" w:rsidRDefault="00B81107" w:rsidP="00417BDA">
      <w:pPr>
        <w:pStyle w:val="Heading2"/>
        <w:spacing w:before="0" w:beforeAutospacing="0" w:afterLines="50" w:after="156" w:afterAutospacing="0"/>
        <w:rPr>
          <w:b w:val="0"/>
        </w:rPr>
      </w:pPr>
      <w:r w:rsidRPr="00D764E9">
        <w:rPr>
          <w:b w:val="0"/>
          <w:bCs w:val="0"/>
        </w:rPr>
        <w:t>3.1. Data and variables</w:t>
      </w:r>
    </w:p>
    <w:p w14:paraId="24B27196" w14:textId="7A729BC4" w:rsidR="007D7FC6" w:rsidRPr="00D764E9" w:rsidRDefault="007D7FC6" w:rsidP="00417BDA">
      <w:pPr>
        <w:spacing w:afterLines="50" w:after="156"/>
        <w:ind w:firstLine="480"/>
      </w:pPr>
      <w:r w:rsidRPr="00D764E9">
        <w:t xml:space="preserve">Data in this passage </w:t>
      </w:r>
      <w:commentRangeStart w:id="16"/>
      <w:r w:rsidR="008C4338">
        <w:t>were</w:t>
      </w:r>
      <w:r w:rsidR="008C4338" w:rsidRPr="00D764E9">
        <w:t xml:space="preserve"> </w:t>
      </w:r>
      <w:commentRangeEnd w:id="16"/>
      <w:r w:rsidR="008D3B06">
        <w:rPr>
          <w:rStyle w:val="CommentReference"/>
        </w:rPr>
        <w:commentReference w:id="16"/>
      </w:r>
      <w:r w:rsidRPr="00D764E9">
        <w:t xml:space="preserve">collected from </w:t>
      </w:r>
      <w:r w:rsidR="004933E0">
        <w:t>a survey executed</w:t>
      </w:r>
      <w:r w:rsidR="004933E0" w:rsidRPr="00D764E9">
        <w:t xml:space="preserve"> in Jul</w:t>
      </w:r>
      <w:r w:rsidR="004933E0">
        <w:t>y</w:t>
      </w:r>
      <w:r w:rsidR="004933E0" w:rsidRPr="00D764E9">
        <w:t xml:space="preserve"> 2017</w:t>
      </w:r>
      <w:r w:rsidR="004933E0">
        <w:t xml:space="preserve"> about passenger satisfaction with</w:t>
      </w:r>
      <w:r w:rsidRPr="00D764E9">
        <w:t xml:space="preserve"> Wuhan rail transit. Simple random sampling </w:t>
      </w:r>
      <w:r w:rsidR="008D3B06">
        <w:t>was</w:t>
      </w:r>
      <w:r w:rsidR="008D3B06" w:rsidRPr="00D764E9">
        <w:t xml:space="preserve"> </w:t>
      </w:r>
      <w:r w:rsidRPr="00D764E9">
        <w:t xml:space="preserve">implemented among the passengers in each transit line from the </w:t>
      </w:r>
      <w:r w:rsidR="00863817">
        <w:t xml:space="preserve">five </w:t>
      </w:r>
      <w:r w:rsidRPr="00D764E9">
        <w:t>open rail transit lines (</w:t>
      </w:r>
      <w:r w:rsidR="00863817">
        <w:t>m</w:t>
      </w:r>
      <w:r w:rsidRPr="00D764E9">
        <w:t>etro line</w:t>
      </w:r>
      <w:r w:rsidR="00863817">
        <w:t>s</w:t>
      </w:r>
      <w:r w:rsidRPr="00D764E9">
        <w:t xml:space="preserve"> 1, 2, 3, 4</w:t>
      </w:r>
      <w:r w:rsidR="008D3B06">
        <w:t>,</w:t>
      </w:r>
      <w:r w:rsidRPr="00D764E9">
        <w:t xml:space="preserve"> and 6 of Wuhan) by </w:t>
      </w:r>
      <w:r w:rsidR="00863817">
        <w:t xml:space="preserve">the research </w:t>
      </w:r>
      <w:r w:rsidRPr="00D764E9">
        <w:t xml:space="preserve">team along with Wuhan Railway Operation Company. The selected passengers were presented with </w:t>
      </w:r>
      <w:r w:rsidR="008D3B06">
        <w:t xml:space="preserve">a </w:t>
      </w:r>
      <w:r w:rsidRPr="00D764E9">
        <w:t xml:space="preserve">paper questionnaire through one-to-one face-to-face communication. The survey </w:t>
      </w:r>
      <w:r w:rsidR="004933E0">
        <w:t xml:space="preserve">was administered </w:t>
      </w:r>
      <w:r w:rsidRPr="00D764E9">
        <w:t>for two weeks, including weekdays and weekends. The daily survey time cover</w:t>
      </w:r>
      <w:r w:rsidR="008D3B06">
        <w:t>ed</w:t>
      </w:r>
      <w:r w:rsidRPr="00D764E9">
        <w:t xml:space="preserve"> the</w:t>
      </w:r>
      <w:r w:rsidR="004933E0">
        <w:t xml:space="preserve"> rail</w:t>
      </w:r>
      <w:r w:rsidRPr="00D764E9">
        <w:t xml:space="preserve"> operation time</w:t>
      </w:r>
      <w:r w:rsidR="004933E0">
        <w:t>s</w:t>
      </w:r>
      <w:r w:rsidRPr="00D764E9">
        <w:t>.</w:t>
      </w:r>
    </w:p>
    <w:p w14:paraId="6CBC496D" w14:textId="00B36265" w:rsidR="007D7FC6" w:rsidRPr="00D764E9" w:rsidRDefault="007D7FC6" w:rsidP="00417BDA">
      <w:pPr>
        <w:spacing w:afterLines="50" w:after="156"/>
        <w:ind w:firstLine="480"/>
      </w:pPr>
      <w:r w:rsidRPr="00D764E9">
        <w:t>A total of 25,000 questionnaires were distributed in this survey, of which 23,180 were valid (Line 1: 4,238, Line 2: 5,308, Line 3: 4,267, Line 4: 5,156</w:t>
      </w:r>
      <w:r w:rsidR="00863817">
        <w:t>,</w:t>
      </w:r>
      <w:r w:rsidRPr="00D764E9">
        <w:t xml:space="preserve"> and Line 6: </w:t>
      </w:r>
      <w:r w:rsidRPr="00D764E9">
        <w:lastRenderedPageBreak/>
        <w:t>4,211)</w:t>
      </w:r>
      <w:r w:rsidR="00863817">
        <w:t>,</w:t>
      </w:r>
      <w:r w:rsidRPr="00D764E9">
        <w:t xml:space="preserve"> and the effective questionnaire recovery rate was 92.7%. </w:t>
      </w:r>
      <w:r w:rsidR="00247DC3">
        <w:t>The q</w:t>
      </w:r>
      <w:r w:rsidRPr="00D764E9">
        <w:t>uestionnaire include</w:t>
      </w:r>
      <w:r w:rsidR="008D3B06">
        <w:t>d</w:t>
      </w:r>
      <w:r w:rsidRPr="00D764E9">
        <w:t xml:space="preserve"> numerous passenger features </w:t>
      </w:r>
      <w:r w:rsidR="008D3B06">
        <w:t>that</w:t>
      </w:r>
      <w:r w:rsidR="008D3B06" w:rsidRPr="00D764E9">
        <w:t xml:space="preserve"> </w:t>
      </w:r>
      <w:r w:rsidRPr="00D764E9">
        <w:t xml:space="preserve">distinguish different passenger groups. </w:t>
      </w:r>
      <w:r w:rsidR="00247DC3">
        <w:t>The p</w:t>
      </w:r>
      <w:r w:rsidRPr="00D764E9">
        <w:t xml:space="preserve">assenger group sample that accepted the survey is shown in Table 1. </w:t>
      </w:r>
      <w:r w:rsidR="00247DC3">
        <w:t>The q</w:t>
      </w:r>
      <w:r w:rsidRPr="00D764E9">
        <w:t xml:space="preserve">uestionnaire </w:t>
      </w:r>
      <w:r w:rsidR="00247DC3">
        <w:t xml:space="preserve">also </w:t>
      </w:r>
      <w:r w:rsidRPr="00D764E9">
        <w:t>contain</w:t>
      </w:r>
      <w:r w:rsidR="008D3B06">
        <w:t>ed</w:t>
      </w:r>
      <w:r w:rsidRPr="00D764E9">
        <w:t xml:space="preserve"> 12 investigation attributes, including </w:t>
      </w:r>
      <w:r w:rsidR="00247DC3">
        <w:t xml:space="preserve">one </w:t>
      </w:r>
      <w:r w:rsidRPr="00D764E9">
        <w:t xml:space="preserve">overall satisfaction indicator and 11 factor indicators. </w:t>
      </w:r>
      <w:r w:rsidR="00247DC3">
        <w:t xml:space="preserve">The </w:t>
      </w:r>
      <w:r w:rsidRPr="00D764E9">
        <w:t>11 factor indicators cover</w:t>
      </w:r>
      <w:r w:rsidR="008D3B06">
        <w:t>ed</w:t>
      </w:r>
      <w:r w:rsidRPr="00D764E9">
        <w:t xml:space="preserve"> safety, comfort, convenience, reliability</w:t>
      </w:r>
      <w:r w:rsidR="00247DC3">
        <w:t>,</w:t>
      </w:r>
      <w:r w:rsidRPr="00D764E9">
        <w:t xml:space="preserve"> and rapidity. </w:t>
      </w:r>
      <w:r w:rsidR="00247DC3">
        <w:t xml:space="preserve">Moreover, </w:t>
      </w:r>
      <w:commentRangeStart w:id="17"/>
      <w:r w:rsidR="00247DC3">
        <w:t xml:space="preserve">the </w:t>
      </w:r>
      <w:r w:rsidRPr="00D764E9">
        <w:t xml:space="preserve">11 factor indicators </w:t>
      </w:r>
      <w:r w:rsidR="004933E0">
        <w:t>we</w:t>
      </w:r>
      <w:r w:rsidRPr="00D764E9">
        <w:t>re the service quality component elements in the SERVQUAL</w:t>
      </w:r>
      <w:r w:rsidR="00247DC3">
        <w:t xml:space="preserve"> </w:t>
      </w:r>
      <w:r w:rsidR="00D90236" w:rsidRPr="00D764E9">
        <w:fldChar w:fldCharType="begin"/>
      </w:r>
      <w:r w:rsidRPr="00D764E9">
        <w:instrText xml:space="preserve"> ADDIN NE.Ref.{BD05C3B4-5039-486F-8100-D9D49D90DCE9}</w:instrText>
      </w:r>
      <w:r w:rsidR="00D90236" w:rsidRPr="00D764E9">
        <w:fldChar w:fldCharType="separate"/>
      </w:r>
      <w:r w:rsidRPr="00D764E9">
        <w:rPr>
          <w:color w:val="0080FF"/>
          <w:kern w:val="0"/>
          <w:szCs w:val="24"/>
        </w:rPr>
        <w:t>(Cavana et al. 2007)</w:t>
      </w:r>
      <w:r w:rsidR="00D90236" w:rsidRPr="00D764E9">
        <w:fldChar w:fldCharType="end"/>
      </w:r>
      <w:r w:rsidR="00247DC3">
        <w:t xml:space="preserve"> </w:t>
      </w:r>
      <w:r w:rsidRPr="00D764E9">
        <w:t>model</w:t>
      </w:r>
      <w:commentRangeEnd w:id="17"/>
      <w:r w:rsidR="004933E0">
        <w:rPr>
          <w:rStyle w:val="CommentReference"/>
        </w:rPr>
        <w:commentReference w:id="17"/>
      </w:r>
      <w:r w:rsidRPr="00D764E9">
        <w:t>, combine</w:t>
      </w:r>
      <w:r w:rsidR="004933E0">
        <w:t>d</w:t>
      </w:r>
      <w:r w:rsidRPr="00D764E9">
        <w:t xml:space="preserve"> related </w:t>
      </w:r>
      <w:r w:rsidR="004933E0">
        <w:t xml:space="preserve">opinion from industrial and management </w:t>
      </w:r>
      <w:r w:rsidRPr="00D764E9">
        <w:t>expert</w:t>
      </w:r>
      <w:r w:rsidR="004933E0">
        <w:t>s</w:t>
      </w:r>
      <w:r w:rsidRPr="00D764E9">
        <w:t xml:space="preserve"> and staff </w:t>
      </w:r>
      <w:r w:rsidR="004933E0">
        <w:t>from</w:t>
      </w:r>
      <w:r w:rsidRPr="00D764E9">
        <w:t xml:space="preserve"> Wuhan rail transit, and </w:t>
      </w:r>
      <w:r w:rsidR="004933E0">
        <w:t>we</w:t>
      </w:r>
      <w:r w:rsidRPr="00D764E9">
        <w:t xml:space="preserve">re determined after small-scale adjustments and modifications. Factor indicators that belong to service quality but do not belong to the service provided by the operation enterprises </w:t>
      </w:r>
      <w:r w:rsidR="007967CE">
        <w:t>we</w:t>
      </w:r>
      <w:r w:rsidRPr="00D764E9">
        <w:t>re deleted, such as price</w:t>
      </w:r>
      <w:r w:rsidR="008D3B06">
        <w:t>s</w:t>
      </w:r>
      <w:r w:rsidRPr="00D764E9">
        <w:t>, expectation</w:t>
      </w:r>
      <w:r w:rsidR="008D3B06">
        <w:t>s</w:t>
      </w:r>
      <w:r w:rsidR="00247DC3">
        <w:t>,</w:t>
      </w:r>
      <w:r w:rsidRPr="00D764E9">
        <w:t xml:space="preserve"> and ideal</w:t>
      </w:r>
      <w:r w:rsidR="008D3B06">
        <w:t>s</w:t>
      </w:r>
      <w:r w:rsidR="007967CE">
        <w:t>,</w:t>
      </w:r>
      <w:r w:rsidRPr="00D764E9">
        <w:t xml:space="preserve"> </w:t>
      </w:r>
      <w:r w:rsidR="007967CE">
        <w:t xml:space="preserve">which </w:t>
      </w:r>
      <w:r w:rsidRPr="00D764E9">
        <w:t>are managed by government departments. Such simplification poses no influence on the research of ranking methods.</w:t>
      </w:r>
    </w:p>
    <w:p w14:paraId="0E59D4CF" w14:textId="071833A6" w:rsidR="007D7FC6" w:rsidRPr="00D764E9" w:rsidRDefault="007D7FC6" w:rsidP="00417BDA">
      <w:pPr>
        <w:spacing w:afterLines="50" w:after="156"/>
        <w:ind w:firstLine="480"/>
      </w:pPr>
      <w:r w:rsidRPr="00D764E9">
        <w:t>In the survey, the interviewees need</w:t>
      </w:r>
      <w:r w:rsidR="008D3B06">
        <w:t>ed</w:t>
      </w:r>
      <w:r w:rsidRPr="00D764E9">
        <w:t xml:space="preserve"> to evaluate the 12 investigation indicators and select one </w:t>
      </w:r>
      <w:r w:rsidR="007967CE">
        <w:t xml:space="preserve">out of five </w:t>
      </w:r>
      <w:r w:rsidRPr="00D764E9">
        <w:t>satisfaction level</w:t>
      </w:r>
      <w:r w:rsidR="007967CE">
        <w:t>s</w:t>
      </w:r>
      <w:r w:rsidRPr="00D764E9">
        <w:t xml:space="preserve"> (</w:t>
      </w:r>
      <w:r w:rsidR="00247DC3">
        <w:t>“</w:t>
      </w:r>
      <w:r w:rsidRPr="00D764E9">
        <w:t>very satisfied,</w:t>
      </w:r>
      <w:r w:rsidR="00247DC3">
        <w:t>”</w:t>
      </w:r>
      <w:r w:rsidRPr="00D764E9">
        <w:t xml:space="preserve"> </w:t>
      </w:r>
      <w:r w:rsidR="00247DC3">
        <w:t>“</w:t>
      </w:r>
      <w:r w:rsidRPr="00D764E9">
        <w:t>satisfied,</w:t>
      </w:r>
      <w:r w:rsidR="007967CE">
        <w:t>”</w:t>
      </w:r>
      <w:r w:rsidRPr="00D764E9">
        <w:t xml:space="preserve"> </w:t>
      </w:r>
      <w:r w:rsidR="00E94B6C">
        <w:t>“</w:t>
      </w:r>
      <w:r w:rsidRPr="00D764E9">
        <w:t>basically satisfied,</w:t>
      </w:r>
      <w:r w:rsidR="00E94B6C">
        <w:t>”</w:t>
      </w:r>
      <w:r w:rsidRPr="00D764E9">
        <w:t xml:space="preserve"> </w:t>
      </w:r>
      <w:r w:rsidR="00E94B6C">
        <w:t>“</w:t>
      </w:r>
      <w:r w:rsidRPr="00D764E9">
        <w:t>dissatisfied,</w:t>
      </w:r>
      <w:r w:rsidR="00E94B6C">
        <w:t>” and</w:t>
      </w:r>
      <w:r w:rsidRPr="00D764E9">
        <w:t xml:space="preserve"> </w:t>
      </w:r>
      <w:r w:rsidR="00E94B6C">
        <w:t>“</w:t>
      </w:r>
      <w:r w:rsidRPr="00D764E9">
        <w:t>very disappointed</w:t>
      </w:r>
      <w:r w:rsidR="00E94B6C">
        <w:t>”</w:t>
      </w:r>
      <w:r w:rsidRPr="00D764E9">
        <w:t>). Indicator quantization</w:t>
      </w:r>
      <w:r w:rsidR="007967CE">
        <w:t>, which was conducted</w:t>
      </w:r>
      <w:r w:rsidRPr="00D764E9">
        <w:t xml:space="preserve"> after the questionnaire</w:t>
      </w:r>
      <w:r w:rsidR="008D3B06">
        <w:t>s</w:t>
      </w:r>
      <w:r w:rsidRPr="00D764E9">
        <w:t xml:space="preserve"> </w:t>
      </w:r>
      <w:r w:rsidR="008D3B06">
        <w:t>were</w:t>
      </w:r>
      <w:r w:rsidR="008D3B06" w:rsidRPr="00D764E9">
        <w:t xml:space="preserve"> </w:t>
      </w:r>
      <w:r w:rsidRPr="00D764E9">
        <w:t>collected</w:t>
      </w:r>
      <w:r w:rsidR="007967CE">
        <w:t>,</w:t>
      </w:r>
      <w:r w:rsidRPr="00D764E9">
        <w:t xml:space="preserve"> use</w:t>
      </w:r>
      <w:r w:rsidR="008D3B06">
        <w:t>d</w:t>
      </w:r>
      <w:r w:rsidRPr="00D764E9">
        <w:t xml:space="preserve"> </w:t>
      </w:r>
      <w:r w:rsidR="007967CE">
        <w:t>a</w:t>
      </w:r>
      <w:r w:rsidR="007967CE" w:rsidRPr="00D764E9">
        <w:t xml:space="preserve"> </w:t>
      </w:r>
      <w:r w:rsidRPr="00D764E9">
        <w:t xml:space="preserve">universal </w:t>
      </w:r>
      <w:r w:rsidR="00E94B6C">
        <w:t>five</w:t>
      </w:r>
      <w:r w:rsidRPr="00D764E9">
        <w:t>-</w:t>
      </w:r>
      <w:r w:rsidR="00E94B6C">
        <w:t>point</w:t>
      </w:r>
      <w:r w:rsidRPr="00D764E9">
        <w:t xml:space="preserve"> Likert </w:t>
      </w:r>
      <w:r w:rsidR="008D3B06">
        <w:t>s</w:t>
      </w:r>
      <w:r w:rsidRPr="00D764E9">
        <w:t xml:space="preserve">cale </w:t>
      </w:r>
      <w:r w:rsidR="007967CE">
        <w:t>(</w:t>
      </w:r>
      <w:r w:rsidR="00E94B6C">
        <w:t>“</w:t>
      </w:r>
      <w:r w:rsidRPr="00D764E9">
        <w:t>very disappointed</w:t>
      </w:r>
      <w:r w:rsidR="00E94B6C">
        <w:t>”</w:t>
      </w:r>
      <w:r w:rsidRPr="00D764E9">
        <w:t xml:space="preserve"> = 1, </w:t>
      </w:r>
      <w:r w:rsidR="00E94B6C">
        <w:t>“</w:t>
      </w:r>
      <w:r w:rsidRPr="00D764E9">
        <w:t>dissatisfied</w:t>
      </w:r>
      <w:r w:rsidR="00E94B6C">
        <w:t>”</w:t>
      </w:r>
      <w:r w:rsidRPr="00D764E9">
        <w:t xml:space="preserve"> = 2, </w:t>
      </w:r>
      <w:r w:rsidR="00E94B6C">
        <w:t>“</w:t>
      </w:r>
      <w:r w:rsidRPr="00D764E9">
        <w:t>basically satisfied</w:t>
      </w:r>
      <w:r w:rsidR="00E94B6C">
        <w:t>”</w:t>
      </w:r>
      <w:r w:rsidRPr="00D764E9">
        <w:t xml:space="preserve"> = 3, </w:t>
      </w:r>
      <w:r w:rsidR="00E94B6C">
        <w:t>“</w:t>
      </w:r>
      <w:r w:rsidRPr="00D764E9">
        <w:t>satisfied</w:t>
      </w:r>
      <w:r w:rsidR="00E94B6C">
        <w:t>”</w:t>
      </w:r>
      <w:r w:rsidRPr="00D764E9">
        <w:t xml:space="preserve"> = 4</w:t>
      </w:r>
      <w:r w:rsidR="00E94B6C">
        <w:t>,</w:t>
      </w:r>
      <w:r w:rsidRPr="00D764E9">
        <w:t xml:space="preserve"> and </w:t>
      </w:r>
      <w:r w:rsidR="00E94B6C">
        <w:t>“</w:t>
      </w:r>
      <w:r w:rsidRPr="00D764E9">
        <w:t>very satisfied</w:t>
      </w:r>
      <w:r w:rsidR="00E94B6C">
        <w:t>”</w:t>
      </w:r>
      <w:r w:rsidRPr="00D764E9">
        <w:t xml:space="preserve"> = 5</w:t>
      </w:r>
      <w:r w:rsidR="007967CE">
        <w:t>)</w:t>
      </w:r>
      <w:r w:rsidRPr="00D764E9">
        <w:t>. The higher the value, the higher the passenger satisfaction.</w:t>
      </w:r>
    </w:p>
    <w:p w14:paraId="2745C691" w14:textId="77777777" w:rsidR="00786B69" w:rsidRPr="00D764E9" w:rsidRDefault="00786B69" w:rsidP="00417BDA">
      <w:pPr>
        <w:spacing w:afterLines="50" w:after="156"/>
        <w:ind w:firstLine="480"/>
      </w:pPr>
    </w:p>
    <w:p w14:paraId="3ADF7973" w14:textId="777B6C6A" w:rsidR="0084484F" w:rsidRPr="00D764E9" w:rsidRDefault="0084484F" w:rsidP="00417BDA">
      <w:pPr>
        <w:spacing w:afterLines="50" w:after="156"/>
        <w:ind w:firstLine="422"/>
        <w:jc w:val="center"/>
      </w:pPr>
      <w:r w:rsidRPr="00D764E9">
        <w:rPr>
          <w:b/>
          <w:bCs/>
          <w:sz w:val="21"/>
        </w:rPr>
        <w:t>Table 1 Statistic</w:t>
      </w:r>
      <w:r w:rsidR="008D3B06">
        <w:rPr>
          <w:b/>
          <w:bCs/>
          <w:sz w:val="21"/>
        </w:rPr>
        <w:t>al</w:t>
      </w:r>
      <w:r w:rsidRPr="00D764E9">
        <w:rPr>
          <w:b/>
          <w:bCs/>
          <w:sz w:val="21"/>
        </w:rPr>
        <w:t xml:space="preserve"> features of passenger</w:t>
      </w:r>
      <w:r w:rsidR="00790F67">
        <w:rPr>
          <w:b/>
          <w:bCs/>
          <w:sz w:val="21"/>
        </w:rPr>
        <w:t xml:space="preserve"> interviewees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992"/>
        <w:gridCol w:w="1138"/>
      </w:tblGrid>
      <w:tr w:rsidR="00235D7C" w:rsidRPr="00D764E9" w14:paraId="6ECB2CD0" w14:textId="77777777" w:rsidTr="0084484F">
        <w:trPr>
          <w:jc w:val="center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vAlign w:val="center"/>
          </w:tcPr>
          <w:p w14:paraId="2A430346" w14:textId="77777777" w:rsidR="00235D7C" w:rsidRPr="00D764E9" w:rsidRDefault="0084484F" w:rsidP="00417BDA">
            <w:pPr>
              <w:pStyle w:val="a1"/>
              <w:spacing w:afterLines="50" w:after="156"/>
            </w:pPr>
            <w:r w:rsidRPr="00D764E9">
              <w:t>Classification standard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E16DBE" w14:textId="77777777" w:rsidR="00235D7C" w:rsidRPr="00D764E9" w:rsidRDefault="00235D7C" w:rsidP="00417BDA">
            <w:pPr>
              <w:pStyle w:val="a1"/>
              <w:spacing w:afterLines="50" w:after="156"/>
            </w:pPr>
            <w:r w:rsidRPr="00D764E9">
              <w:t>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E3BFFA5" w14:textId="43F03639" w:rsidR="00235D7C" w:rsidRPr="00D764E9" w:rsidRDefault="00235D7C" w:rsidP="00417BDA">
            <w:pPr>
              <w:pStyle w:val="a1"/>
              <w:spacing w:afterLines="50" w:after="156"/>
            </w:pPr>
            <w:r w:rsidRPr="00D764E9">
              <w:t>Percentage</w:t>
            </w:r>
            <w:r w:rsidR="00AC50EC">
              <w:t xml:space="preserve"> </w:t>
            </w:r>
            <w:r w:rsidRPr="00D764E9">
              <w:t>(%)</w:t>
            </w:r>
          </w:p>
        </w:tc>
      </w:tr>
      <w:tr w:rsidR="0084484F" w:rsidRPr="00D764E9" w14:paraId="15D419CF" w14:textId="77777777" w:rsidTr="0084484F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vAlign w:val="center"/>
          </w:tcPr>
          <w:p w14:paraId="0383198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Gender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7773485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Male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326C26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12902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0FD05C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55.66</w:t>
            </w:r>
          </w:p>
        </w:tc>
      </w:tr>
      <w:tr w:rsidR="0084484F" w:rsidRPr="00D764E9" w14:paraId="6C6C42D9" w14:textId="77777777" w:rsidTr="0084484F">
        <w:trPr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04EEE49B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BC4CFF2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Female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86A5540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10278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2554607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44.34</w:t>
            </w:r>
          </w:p>
        </w:tc>
      </w:tr>
      <w:tr w:rsidR="0084484F" w:rsidRPr="00D764E9" w14:paraId="5AC0E39F" w14:textId="77777777" w:rsidTr="0084484F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vAlign w:val="center"/>
          </w:tcPr>
          <w:p w14:paraId="104D638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Age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3F05D6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Under 18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73C2211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2568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8F3C45D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11.08</w:t>
            </w:r>
          </w:p>
        </w:tc>
      </w:tr>
      <w:tr w:rsidR="0084484F" w:rsidRPr="00D764E9" w14:paraId="7C6E7189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34E941AD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73894770" w14:textId="54FB259A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18</w:t>
            </w:r>
            <w:r w:rsidR="00AC50EC">
              <w:t>–</w:t>
            </w:r>
            <w:r w:rsidRPr="00D764E9">
              <w:t>35 years old</w:t>
            </w:r>
          </w:p>
        </w:tc>
        <w:tc>
          <w:tcPr>
            <w:tcW w:w="992" w:type="dxa"/>
            <w:vAlign w:val="center"/>
          </w:tcPr>
          <w:p w14:paraId="7486795D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13849</w:t>
            </w:r>
          </w:p>
        </w:tc>
        <w:tc>
          <w:tcPr>
            <w:tcW w:w="993" w:type="dxa"/>
            <w:vAlign w:val="center"/>
          </w:tcPr>
          <w:p w14:paraId="65EAD15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59.75</w:t>
            </w:r>
          </w:p>
        </w:tc>
      </w:tr>
      <w:tr w:rsidR="0084484F" w:rsidRPr="00D764E9" w14:paraId="5E714F22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3406A109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7D5CB14E" w14:textId="41DE71F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36</w:t>
            </w:r>
            <w:r w:rsidR="00AC50EC">
              <w:t>–</w:t>
            </w:r>
            <w:r w:rsidRPr="00D764E9">
              <w:t>50 years old</w:t>
            </w:r>
          </w:p>
        </w:tc>
        <w:tc>
          <w:tcPr>
            <w:tcW w:w="992" w:type="dxa"/>
            <w:vAlign w:val="center"/>
          </w:tcPr>
          <w:p w14:paraId="680AF1C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5041</w:t>
            </w:r>
          </w:p>
        </w:tc>
        <w:tc>
          <w:tcPr>
            <w:tcW w:w="993" w:type="dxa"/>
            <w:vAlign w:val="center"/>
          </w:tcPr>
          <w:p w14:paraId="06EA1D43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21.75</w:t>
            </w:r>
          </w:p>
        </w:tc>
      </w:tr>
      <w:tr w:rsidR="0084484F" w:rsidRPr="00D764E9" w14:paraId="13A1031C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3BF5A33E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59845DD5" w14:textId="0DC6F596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51</w:t>
            </w:r>
            <w:r w:rsidR="00AC50EC">
              <w:t>–</w:t>
            </w:r>
            <w:r w:rsidRPr="00D764E9">
              <w:t>60 years old</w:t>
            </w:r>
          </w:p>
        </w:tc>
        <w:tc>
          <w:tcPr>
            <w:tcW w:w="992" w:type="dxa"/>
            <w:vAlign w:val="center"/>
          </w:tcPr>
          <w:p w14:paraId="4610AC30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896</w:t>
            </w:r>
          </w:p>
        </w:tc>
        <w:tc>
          <w:tcPr>
            <w:tcW w:w="993" w:type="dxa"/>
            <w:vAlign w:val="center"/>
          </w:tcPr>
          <w:p w14:paraId="08AA984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3.87</w:t>
            </w:r>
          </w:p>
        </w:tc>
      </w:tr>
      <w:tr w:rsidR="0084484F" w:rsidRPr="00D764E9" w14:paraId="11B310FC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230113CD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7B617603" w14:textId="24C841B4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61</w:t>
            </w:r>
            <w:r w:rsidR="00AC50EC">
              <w:t>–</w:t>
            </w:r>
            <w:r w:rsidRPr="00D764E9">
              <w:t>65 years old</w:t>
            </w:r>
          </w:p>
        </w:tc>
        <w:tc>
          <w:tcPr>
            <w:tcW w:w="992" w:type="dxa"/>
            <w:vAlign w:val="center"/>
          </w:tcPr>
          <w:p w14:paraId="64F9496C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420</w:t>
            </w:r>
          </w:p>
        </w:tc>
        <w:tc>
          <w:tcPr>
            <w:tcW w:w="993" w:type="dxa"/>
            <w:vAlign w:val="center"/>
          </w:tcPr>
          <w:p w14:paraId="4A82A9A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1.81</w:t>
            </w:r>
          </w:p>
        </w:tc>
      </w:tr>
      <w:tr w:rsidR="0084484F" w:rsidRPr="00D764E9" w14:paraId="67B590F0" w14:textId="77777777" w:rsidTr="0084484F">
        <w:trPr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1D9F588F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15249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Above 65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7298901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406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F799E2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1.75</w:t>
            </w:r>
          </w:p>
        </w:tc>
      </w:tr>
      <w:tr w:rsidR="0084484F" w:rsidRPr="00D764E9" w14:paraId="25BA79DA" w14:textId="77777777" w:rsidTr="0084484F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vAlign w:val="center"/>
          </w:tcPr>
          <w:p w14:paraId="3B8645A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 xml:space="preserve">Permanent </w:t>
            </w:r>
            <w:r w:rsidRPr="00D764E9">
              <w:lastRenderedPageBreak/>
              <w:t>resident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92B7BF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lastRenderedPageBreak/>
              <w:t>Yes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43FEAE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16681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3238BE4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71.96</w:t>
            </w:r>
          </w:p>
        </w:tc>
      </w:tr>
      <w:tr w:rsidR="0084484F" w:rsidRPr="00D764E9" w14:paraId="7D2C0559" w14:textId="77777777" w:rsidTr="0084484F">
        <w:trPr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7DE179BB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E07FD75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No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3935B8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6499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72B24B4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28.04</w:t>
            </w:r>
          </w:p>
        </w:tc>
      </w:tr>
      <w:tr w:rsidR="0084484F" w:rsidRPr="00D764E9" w14:paraId="527F6B04" w14:textId="77777777" w:rsidTr="0084484F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vAlign w:val="center"/>
          </w:tcPr>
          <w:p w14:paraId="1CD6201E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lastRenderedPageBreak/>
              <w:t>Occupation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5D9AF13E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Student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C25C944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4896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0A70533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21.12</w:t>
            </w:r>
          </w:p>
        </w:tc>
      </w:tr>
      <w:tr w:rsidR="0084484F" w:rsidRPr="00D764E9" w14:paraId="4358BB70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7D394B18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1A02E55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Civil servant</w:t>
            </w:r>
          </w:p>
        </w:tc>
        <w:tc>
          <w:tcPr>
            <w:tcW w:w="992" w:type="dxa"/>
            <w:vAlign w:val="center"/>
          </w:tcPr>
          <w:p w14:paraId="7C24D367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1660</w:t>
            </w:r>
          </w:p>
        </w:tc>
        <w:tc>
          <w:tcPr>
            <w:tcW w:w="993" w:type="dxa"/>
            <w:vAlign w:val="center"/>
          </w:tcPr>
          <w:p w14:paraId="2BCF1B5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7.16</w:t>
            </w:r>
          </w:p>
        </w:tc>
      </w:tr>
      <w:tr w:rsidR="0084484F" w:rsidRPr="00D764E9" w14:paraId="04F03D52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3E1B8191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40467543" w14:textId="318D516F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Enterprise and public institution</w:t>
            </w:r>
            <w:r w:rsidR="007967CE">
              <w:t xml:space="preserve"> employee</w:t>
            </w:r>
          </w:p>
        </w:tc>
        <w:tc>
          <w:tcPr>
            <w:tcW w:w="992" w:type="dxa"/>
            <w:vAlign w:val="center"/>
          </w:tcPr>
          <w:p w14:paraId="6A0D602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9052</w:t>
            </w:r>
          </w:p>
        </w:tc>
        <w:tc>
          <w:tcPr>
            <w:tcW w:w="993" w:type="dxa"/>
            <w:vAlign w:val="center"/>
          </w:tcPr>
          <w:p w14:paraId="1E2ED00D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39.05</w:t>
            </w:r>
          </w:p>
        </w:tc>
      </w:tr>
      <w:tr w:rsidR="0084484F" w:rsidRPr="00D764E9" w14:paraId="7F286A54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0F6D27EB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69A10D87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Retired staff</w:t>
            </w:r>
          </w:p>
        </w:tc>
        <w:tc>
          <w:tcPr>
            <w:tcW w:w="992" w:type="dxa"/>
            <w:vAlign w:val="center"/>
          </w:tcPr>
          <w:p w14:paraId="6290E5D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1504</w:t>
            </w:r>
          </w:p>
        </w:tc>
        <w:tc>
          <w:tcPr>
            <w:tcW w:w="993" w:type="dxa"/>
            <w:vAlign w:val="center"/>
          </w:tcPr>
          <w:p w14:paraId="6BCEFF63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6.49</w:t>
            </w:r>
          </w:p>
        </w:tc>
      </w:tr>
      <w:tr w:rsidR="0084484F" w:rsidRPr="00D764E9" w14:paraId="1FDF34EA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4C8411F9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01B2683C" w14:textId="1C27042C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Freelance</w:t>
            </w:r>
            <w:r w:rsidR="007967CE">
              <w:t xml:space="preserve"> worke</w:t>
            </w:r>
            <w:r w:rsidR="008D3B06">
              <w:t>r</w:t>
            </w:r>
          </w:p>
        </w:tc>
        <w:tc>
          <w:tcPr>
            <w:tcW w:w="992" w:type="dxa"/>
            <w:vAlign w:val="center"/>
          </w:tcPr>
          <w:p w14:paraId="3455730E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4181</w:t>
            </w:r>
          </w:p>
        </w:tc>
        <w:tc>
          <w:tcPr>
            <w:tcW w:w="993" w:type="dxa"/>
            <w:vAlign w:val="center"/>
          </w:tcPr>
          <w:p w14:paraId="4D2BAED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18.04</w:t>
            </w:r>
          </w:p>
        </w:tc>
      </w:tr>
      <w:tr w:rsidR="0084484F" w:rsidRPr="00D764E9" w14:paraId="5AECE5CE" w14:textId="77777777" w:rsidTr="0084484F">
        <w:trPr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50FDC16F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F2A3A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Others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47D1FD3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1887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F3AB98C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8.14</w:t>
            </w:r>
          </w:p>
        </w:tc>
      </w:tr>
      <w:tr w:rsidR="0084484F" w:rsidRPr="00D764E9" w14:paraId="3140338A" w14:textId="77777777" w:rsidTr="0084484F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vAlign w:val="center"/>
          </w:tcPr>
          <w:p w14:paraId="4D3907A5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Trip purpose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FE72FC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Commute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32132F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5302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BAD451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22.87</w:t>
            </w:r>
          </w:p>
        </w:tc>
      </w:tr>
      <w:tr w:rsidR="0084484F" w:rsidRPr="00D764E9" w14:paraId="7927EA97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0705F7BF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0AFE2039" w14:textId="1579EE43" w:rsidR="0084484F" w:rsidRPr="00D764E9" w:rsidRDefault="0084484F" w:rsidP="007967CE">
            <w:pPr>
              <w:pStyle w:val="a1"/>
              <w:spacing w:afterLines="50" w:after="156"/>
            </w:pPr>
            <w:r w:rsidRPr="00D764E9">
              <w:t>Go</w:t>
            </w:r>
            <w:r w:rsidR="007967CE">
              <w:t>ing</w:t>
            </w:r>
            <w:r w:rsidRPr="00D764E9">
              <w:t xml:space="preserve"> to and </w:t>
            </w:r>
            <w:r w:rsidR="007967CE">
              <w:t>from</w:t>
            </w:r>
            <w:r w:rsidRPr="00D764E9">
              <w:t xml:space="preserve"> school</w:t>
            </w:r>
          </w:p>
        </w:tc>
        <w:tc>
          <w:tcPr>
            <w:tcW w:w="992" w:type="dxa"/>
            <w:vAlign w:val="center"/>
          </w:tcPr>
          <w:p w14:paraId="5226E945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2765</w:t>
            </w:r>
          </w:p>
        </w:tc>
        <w:tc>
          <w:tcPr>
            <w:tcW w:w="993" w:type="dxa"/>
            <w:vAlign w:val="center"/>
          </w:tcPr>
          <w:p w14:paraId="39CFEF9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11.93</w:t>
            </w:r>
          </w:p>
        </w:tc>
      </w:tr>
      <w:tr w:rsidR="0084484F" w:rsidRPr="00D764E9" w14:paraId="1946A0A0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0B5FA888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6FD11EAD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Public affairs</w:t>
            </w:r>
          </w:p>
        </w:tc>
        <w:tc>
          <w:tcPr>
            <w:tcW w:w="992" w:type="dxa"/>
            <w:vAlign w:val="center"/>
          </w:tcPr>
          <w:p w14:paraId="4492D8A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4349</w:t>
            </w:r>
          </w:p>
        </w:tc>
        <w:tc>
          <w:tcPr>
            <w:tcW w:w="993" w:type="dxa"/>
            <w:vAlign w:val="center"/>
          </w:tcPr>
          <w:p w14:paraId="508F01D8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18.76</w:t>
            </w:r>
          </w:p>
        </w:tc>
      </w:tr>
      <w:tr w:rsidR="0084484F" w:rsidRPr="00D764E9" w14:paraId="585DAA03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458CD5D8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46F49064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Shopping and recreation</w:t>
            </w:r>
          </w:p>
        </w:tc>
        <w:tc>
          <w:tcPr>
            <w:tcW w:w="992" w:type="dxa"/>
            <w:vAlign w:val="center"/>
          </w:tcPr>
          <w:p w14:paraId="2F542CC3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5024</w:t>
            </w:r>
          </w:p>
        </w:tc>
        <w:tc>
          <w:tcPr>
            <w:tcW w:w="993" w:type="dxa"/>
            <w:vAlign w:val="center"/>
          </w:tcPr>
          <w:p w14:paraId="4B4605E9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21.67</w:t>
            </w:r>
          </w:p>
        </w:tc>
      </w:tr>
      <w:tr w:rsidR="0084484F" w:rsidRPr="00D764E9" w14:paraId="7982052A" w14:textId="77777777" w:rsidTr="0084484F">
        <w:trPr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1C502449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98CCD4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Others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9ABDE95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5740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186C00A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24.76</w:t>
            </w:r>
          </w:p>
        </w:tc>
      </w:tr>
      <w:tr w:rsidR="0084484F" w:rsidRPr="00D764E9" w14:paraId="4DD1A253" w14:textId="77777777" w:rsidTr="0084484F">
        <w:trPr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vAlign w:val="center"/>
          </w:tcPr>
          <w:p w14:paraId="0C0D0BAE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Revenue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B85C995" w14:textId="01B63924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 xml:space="preserve">Below 2000 </w:t>
            </w:r>
            <w:r w:rsidR="00AC50EC">
              <w:t>y</w:t>
            </w:r>
            <w:r w:rsidRPr="00D764E9">
              <w:t>uan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6933BE3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4774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96D3686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20.60</w:t>
            </w:r>
          </w:p>
        </w:tc>
      </w:tr>
      <w:tr w:rsidR="0084484F" w:rsidRPr="00D764E9" w14:paraId="5F33A5C7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7E4D165A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6E5F707B" w14:textId="059AE73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2000</w:t>
            </w:r>
            <w:r w:rsidR="00AC50EC">
              <w:t>–</w:t>
            </w:r>
            <w:r w:rsidRPr="00D764E9">
              <w:t xml:space="preserve">2999 </w:t>
            </w:r>
            <w:r w:rsidR="00AC50EC">
              <w:t>y</w:t>
            </w:r>
            <w:r w:rsidRPr="00D764E9">
              <w:t>uan</w:t>
            </w:r>
          </w:p>
        </w:tc>
        <w:tc>
          <w:tcPr>
            <w:tcW w:w="992" w:type="dxa"/>
            <w:vAlign w:val="center"/>
          </w:tcPr>
          <w:p w14:paraId="5E6B0D34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4799</w:t>
            </w:r>
          </w:p>
        </w:tc>
        <w:tc>
          <w:tcPr>
            <w:tcW w:w="993" w:type="dxa"/>
            <w:vAlign w:val="center"/>
          </w:tcPr>
          <w:p w14:paraId="4BE65AB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20.70</w:t>
            </w:r>
          </w:p>
        </w:tc>
      </w:tr>
      <w:tr w:rsidR="0084484F" w:rsidRPr="00D764E9" w14:paraId="3C631954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5B6BA812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4C1BA024" w14:textId="299BE6D3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3000</w:t>
            </w:r>
            <w:r w:rsidR="00AC50EC">
              <w:t>–</w:t>
            </w:r>
            <w:r w:rsidRPr="00D764E9">
              <w:t xml:space="preserve">3999 </w:t>
            </w:r>
            <w:r w:rsidR="00AC50EC">
              <w:t>y</w:t>
            </w:r>
            <w:r w:rsidRPr="00D764E9">
              <w:t>uan</w:t>
            </w:r>
          </w:p>
        </w:tc>
        <w:tc>
          <w:tcPr>
            <w:tcW w:w="992" w:type="dxa"/>
            <w:vAlign w:val="center"/>
          </w:tcPr>
          <w:p w14:paraId="5ADB6A9B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4496</w:t>
            </w:r>
          </w:p>
        </w:tc>
        <w:tc>
          <w:tcPr>
            <w:tcW w:w="993" w:type="dxa"/>
            <w:vAlign w:val="center"/>
          </w:tcPr>
          <w:p w14:paraId="2E959ADF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19.40</w:t>
            </w:r>
          </w:p>
        </w:tc>
      </w:tr>
      <w:tr w:rsidR="0084484F" w:rsidRPr="00D764E9" w14:paraId="564C9B6D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40CF8DD2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7580971D" w14:textId="6F9260DE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4000</w:t>
            </w:r>
            <w:r w:rsidR="00AC50EC">
              <w:t>–</w:t>
            </w:r>
            <w:r w:rsidRPr="00D764E9">
              <w:t xml:space="preserve">4999 </w:t>
            </w:r>
            <w:r w:rsidR="00AC50EC">
              <w:t>y</w:t>
            </w:r>
            <w:r w:rsidRPr="00D764E9">
              <w:t>uan</w:t>
            </w:r>
          </w:p>
        </w:tc>
        <w:tc>
          <w:tcPr>
            <w:tcW w:w="992" w:type="dxa"/>
            <w:vAlign w:val="center"/>
          </w:tcPr>
          <w:p w14:paraId="61322DF7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3932</w:t>
            </w:r>
          </w:p>
        </w:tc>
        <w:tc>
          <w:tcPr>
            <w:tcW w:w="993" w:type="dxa"/>
            <w:vAlign w:val="center"/>
          </w:tcPr>
          <w:p w14:paraId="5D1A5570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16.96</w:t>
            </w:r>
          </w:p>
        </w:tc>
      </w:tr>
      <w:tr w:rsidR="0084484F" w:rsidRPr="00D764E9" w14:paraId="56F83C23" w14:textId="77777777" w:rsidTr="0084484F">
        <w:trPr>
          <w:jc w:val="center"/>
        </w:trPr>
        <w:tc>
          <w:tcPr>
            <w:tcW w:w="1555" w:type="dxa"/>
            <w:vMerge/>
            <w:vAlign w:val="center"/>
          </w:tcPr>
          <w:p w14:paraId="53F39A75" w14:textId="77777777" w:rsidR="0084484F" w:rsidRPr="00D764E9" w:rsidRDefault="0084484F" w:rsidP="00417BDA">
            <w:pPr>
              <w:pStyle w:val="a1"/>
              <w:spacing w:afterLines="50" w:after="156"/>
            </w:pPr>
          </w:p>
        </w:tc>
        <w:tc>
          <w:tcPr>
            <w:tcW w:w="1417" w:type="dxa"/>
            <w:vAlign w:val="center"/>
          </w:tcPr>
          <w:p w14:paraId="43796FFE" w14:textId="5D9B285F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 xml:space="preserve">Above 5000 </w:t>
            </w:r>
            <w:r w:rsidR="00AC50EC">
              <w:t>y</w:t>
            </w:r>
            <w:r w:rsidRPr="00D764E9">
              <w:t>uan</w:t>
            </w:r>
          </w:p>
        </w:tc>
        <w:tc>
          <w:tcPr>
            <w:tcW w:w="992" w:type="dxa"/>
            <w:vAlign w:val="center"/>
          </w:tcPr>
          <w:p w14:paraId="24CA35EC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5179</w:t>
            </w:r>
          </w:p>
        </w:tc>
        <w:tc>
          <w:tcPr>
            <w:tcW w:w="993" w:type="dxa"/>
            <w:vAlign w:val="center"/>
          </w:tcPr>
          <w:p w14:paraId="7C835F9E" w14:textId="77777777" w:rsidR="0084484F" w:rsidRPr="00D764E9" w:rsidRDefault="0084484F" w:rsidP="00417BDA">
            <w:pPr>
              <w:pStyle w:val="a1"/>
              <w:spacing w:afterLines="50" w:after="156"/>
            </w:pPr>
            <w:r w:rsidRPr="00D764E9">
              <w:t>22.34</w:t>
            </w:r>
          </w:p>
        </w:tc>
      </w:tr>
    </w:tbl>
    <w:p w14:paraId="0C2801C8" w14:textId="77777777" w:rsidR="00155E7F" w:rsidRPr="00D764E9" w:rsidRDefault="00155E7F" w:rsidP="00417BDA">
      <w:pPr>
        <w:pStyle w:val="Heading2"/>
        <w:spacing w:before="0" w:beforeAutospacing="0" w:afterLines="50" w:after="156" w:afterAutospacing="0"/>
        <w:rPr>
          <w:b w:val="0"/>
        </w:rPr>
      </w:pPr>
      <w:r w:rsidRPr="00D764E9">
        <w:rPr>
          <w:b w:val="0"/>
          <w:bCs w:val="0"/>
        </w:rPr>
        <w:t>3.2. Modeling approach</w:t>
      </w:r>
    </w:p>
    <w:p w14:paraId="75D8FAD1" w14:textId="64C88E9B" w:rsidR="007D7FC6" w:rsidRPr="00D764E9" w:rsidRDefault="007D7FC6" w:rsidP="00417BDA">
      <w:pPr>
        <w:spacing w:afterLines="50" w:after="156"/>
        <w:ind w:firstLine="480"/>
      </w:pPr>
      <w:r w:rsidRPr="00D764E9">
        <w:t xml:space="preserve">Questionnaire credibility and validity </w:t>
      </w:r>
      <w:r w:rsidR="00AC50EC">
        <w:t xml:space="preserve">were </w:t>
      </w:r>
      <w:r w:rsidRPr="00D764E9">
        <w:t xml:space="preserve">inspected through SPSS 24.0 before data analysis. </w:t>
      </w:r>
      <w:r w:rsidR="00AC50EC">
        <w:t xml:space="preserve">The </w:t>
      </w:r>
      <w:r w:rsidRPr="00D764E9">
        <w:t>Cronbach</w:t>
      </w:r>
      <w:r w:rsidR="007967CE">
        <w:t>’s</w:t>
      </w:r>
      <w:r w:rsidRPr="00D764E9">
        <w:t xml:space="preserve"> α of </w:t>
      </w:r>
      <w:r w:rsidR="008D3B06">
        <w:t>the</w:t>
      </w:r>
      <w:r w:rsidR="008D3B06" w:rsidRPr="00D764E9">
        <w:t xml:space="preserve"> </w:t>
      </w:r>
      <w:r w:rsidRPr="00D764E9">
        <w:t>questionnaire is 0.900, which indicates that the inner consistency of all indicators in the survey is relatively good.</w:t>
      </w:r>
    </w:p>
    <w:p w14:paraId="201B27BA" w14:textId="0904FB3F" w:rsidR="007D7FC6" w:rsidRPr="00D764E9" w:rsidRDefault="00431ED2" w:rsidP="00417BDA">
      <w:pPr>
        <w:spacing w:afterLines="50" w:after="156"/>
        <w:ind w:firstLine="480"/>
      </w:pPr>
      <w:r w:rsidRPr="00D764E9">
        <w:t>This research first calibrate</w:t>
      </w:r>
      <w:r w:rsidR="00EB02CA">
        <w:t>d</w:t>
      </w:r>
      <w:r w:rsidRPr="00D764E9">
        <w:t xml:space="preserve"> each indicator of the survey results through SEM. Path coefficient in the SEM analysis result </w:t>
      </w:r>
      <w:r w:rsidR="008D3B06">
        <w:t>was</w:t>
      </w:r>
      <w:r w:rsidR="008D3B06" w:rsidRPr="00D764E9">
        <w:t xml:space="preserve"> </w:t>
      </w:r>
      <w:r w:rsidRPr="00D764E9">
        <w:t xml:space="preserve">regarded as the weight of each </w:t>
      </w:r>
      <w:r w:rsidRPr="00D764E9">
        <w:lastRenderedPageBreak/>
        <w:t xml:space="preserve">indicator. IPA and </w:t>
      </w:r>
      <w:r w:rsidR="000E2630">
        <w:t>PP</w:t>
      </w:r>
      <w:r w:rsidRPr="00D764E9">
        <w:t xml:space="preserve"> analysis </w:t>
      </w:r>
      <w:r w:rsidR="008D3B06">
        <w:t>were</w:t>
      </w:r>
      <w:r w:rsidR="008D3B06" w:rsidRPr="00D764E9">
        <w:t xml:space="preserve"> </w:t>
      </w:r>
      <w:r w:rsidRPr="00D764E9">
        <w:t xml:space="preserve">implemented on </w:t>
      </w:r>
      <w:r w:rsidR="008D3B06">
        <w:t xml:space="preserve">the </w:t>
      </w:r>
      <w:r w:rsidR="007967CE">
        <w:t xml:space="preserve">basis of the </w:t>
      </w:r>
      <w:r w:rsidR="008D3B06" w:rsidRPr="00D764E9">
        <w:t xml:space="preserve">weight and score </w:t>
      </w:r>
      <w:r w:rsidR="008D3B06">
        <w:t xml:space="preserve">of </w:t>
      </w:r>
      <w:r w:rsidRPr="00D764E9">
        <w:t>each indicator</w:t>
      </w:r>
      <w:r w:rsidR="00EB02CA">
        <w:t>,</w:t>
      </w:r>
      <w:r w:rsidR="00EB02CA" w:rsidRPr="00EB02CA">
        <w:t xml:space="preserve"> </w:t>
      </w:r>
      <w:r w:rsidR="00EB02CA" w:rsidRPr="00D764E9">
        <w:t>respectively</w:t>
      </w:r>
      <w:r w:rsidRPr="00D764E9">
        <w:t xml:space="preserve">. Differences of the two results </w:t>
      </w:r>
      <w:r w:rsidR="008D3B06">
        <w:t>were</w:t>
      </w:r>
      <w:r w:rsidR="008D3B06" w:rsidRPr="00D764E9">
        <w:t xml:space="preserve"> </w:t>
      </w:r>
      <w:r w:rsidRPr="00D764E9">
        <w:t xml:space="preserve">analyzed and </w:t>
      </w:r>
      <w:r w:rsidR="007967CE">
        <w:t>noted</w:t>
      </w:r>
      <w:r w:rsidRPr="00D764E9">
        <w:t>.</w:t>
      </w:r>
    </w:p>
    <w:p w14:paraId="4CCFD187" w14:textId="77777777" w:rsidR="00431ED2" w:rsidRPr="00D764E9" w:rsidRDefault="00431ED2" w:rsidP="00417BDA">
      <w:pPr>
        <w:spacing w:afterLines="50" w:after="156"/>
        <w:ind w:firstLine="480"/>
      </w:pPr>
    </w:p>
    <w:p w14:paraId="5BA60268" w14:textId="1F274940" w:rsidR="00D34159" w:rsidRPr="00D764E9" w:rsidRDefault="00155E7F" w:rsidP="00417BDA">
      <w:pPr>
        <w:pStyle w:val="Heading3"/>
        <w:spacing w:afterLines="50" w:after="156"/>
      </w:pPr>
      <w:r w:rsidRPr="00D764E9">
        <w:rPr>
          <w:bCs w:val="0"/>
        </w:rPr>
        <w:t xml:space="preserve">3.2.1. </w:t>
      </w:r>
      <w:r w:rsidR="00EB02CA">
        <w:rPr>
          <w:bCs w:val="0"/>
        </w:rPr>
        <w:t>SEM</w:t>
      </w:r>
    </w:p>
    <w:p w14:paraId="0AB72BDF" w14:textId="77777777" w:rsidR="006576ED" w:rsidRPr="00D764E9" w:rsidRDefault="006576ED" w:rsidP="00417BDA">
      <w:pPr>
        <w:spacing w:afterLines="50" w:after="156"/>
        <w:ind w:firstLine="480"/>
      </w:pPr>
    </w:p>
    <w:p w14:paraId="301AC68E" w14:textId="2DC5677A" w:rsidR="00CF027C" w:rsidRPr="00D764E9" w:rsidRDefault="00D85956" w:rsidP="00417BDA">
      <w:pPr>
        <w:spacing w:afterLines="50" w:after="156"/>
        <w:ind w:firstLine="480"/>
      </w:pPr>
      <w:r w:rsidRPr="00D764E9">
        <w:t xml:space="preserve">SEM is </w:t>
      </w:r>
      <w:r w:rsidR="00EB02CA">
        <w:t>a</w:t>
      </w:r>
      <w:r w:rsidR="00EB02CA" w:rsidRPr="00D764E9">
        <w:t xml:space="preserve"> </w:t>
      </w:r>
      <w:r w:rsidRPr="00D764E9">
        <w:t xml:space="preserve">common method </w:t>
      </w:r>
      <w:r w:rsidR="008D3B06">
        <w:t>that</w:t>
      </w:r>
      <w:r w:rsidR="008D3B06" w:rsidRPr="00D764E9">
        <w:t xml:space="preserve"> </w:t>
      </w:r>
      <w:r w:rsidRPr="00D764E9">
        <w:t>deal</w:t>
      </w:r>
      <w:r w:rsidR="008D3B06">
        <w:t>s</w:t>
      </w:r>
      <w:r w:rsidRPr="00D764E9">
        <w:t xml:space="preserve"> with interactive </w:t>
      </w:r>
      <w:r w:rsidR="006E7C56" w:rsidRPr="00D764E9">
        <w:t>causal</w:t>
      </w:r>
      <w:r w:rsidRPr="00D764E9">
        <w:t xml:space="preserve"> relationship</w:t>
      </w:r>
      <w:r w:rsidR="007967CE">
        <w:t>s</w:t>
      </w:r>
      <w:r w:rsidRPr="00D764E9">
        <w:t xml:space="preserve"> and influen</w:t>
      </w:r>
      <w:r w:rsidR="007967CE">
        <w:t>ce</w:t>
      </w:r>
      <w:r w:rsidRPr="00D764E9">
        <w:t xml:space="preserve"> degree</w:t>
      </w:r>
      <w:r w:rsidR="007967CE">
        <w:t>s</w:t>
      </w:r>
      <w:r w:rsidRPr="00D764E9">
        <w:t xml:space="preserve"> between multiple variables </w:t>
      </w:r>
      <w:r w:rsidR="00EB02CA">
        <w:t xml:space="preserve">that cannot </w:t>
      </w:r>
      <w:r w:rsidRPr="00D764E9">
        <w:t xml:space="preserve">be directly measured. It is composed of </w:t>
      </w:r>
      <w:r w:rsidR="007967CE">
        <w:t xml:space="preserve">a </w:t>
      </w:r>
      <w:r w:rsidRPr="00D764E9">
        <w:t xml:space="preserve">structural model (1), </w:t>
      </w:r>
      <w:r w:rsidR="007967CE">
        <w:t xml:space="preserve">a </w:t>
      </w:r>
      <w:r w:rsidRPr="00D764E9">
        <w:t>measurement model (2)</w:t>
      </w:r>
      <w:r w:rsidR="00EB02CA">
        <w:t>,</w:t>
      </w:r>
      <w:r w:rsidRPr="00D764E9">
        <w:t xml:space="preserve"> and </w:t>
      </w:r>
      <w:commentRangeStart w:id="18"/>
      <w:r w:rsidRPr="00D764E9">
        <w:t>(3)</w:t>
      </w:r>
      <w:commentRangeEnd w:id="18"/>
      <w:r w:rsidR="00EB02CA">
        <w:rPr>
          <w:rStyle w:val="CommentReference"/>
        </w:rPr>
        <w:commentReference w:id="18"/>
      </w:r>
      <w:r w:rsidRPr="00D764E9">
        <w:t>.</w:t>
      </w:r>
    </w:p>
    <w:p w14:paraId="0E400670" w14:textId="091F866B" w:rsidR="00CF027C" w:rsidRPr="00D764E9" w:rsidRDefault="00CF027C" w:rsidP="00417BDA">
      <w:pPr>
        <w:spacing w:afterLines="50" w:after="156"/>
        <w:ind w:firstLine="480"/>
        <w:jc w:val="right"/>
      </w:pPr>
      <m:oMath>
        <m:r>
          <m:rPr>
            <m:sty m:val="p"/>
          </m:rPr>
          <w:rPr>
            <w:rFonts w:ascii="Cambria Math" w:hAnsi="Cambria Math"/>
          </w:rPr>
          <m:t>η=Bη+Γξ+ζ</m:t>
        </m:r>
      </m:oMath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  <w:t>(1)</w:t>
      </w:r>
    </w:p>
    <w:p w14:paraId="4943A9CA" w14:textId="19747B35" w:rsidR="00CF027C" w:rsidRPr="00D764E9" w:rsidRDefault="002214CF" w:rsidP="00417BDA">
      <w:pPr>
        <w:spacing w:afterLines="50" w:after="156"/>
        <w:ind w:firstLine="480"/>
        <w:jc w:val="right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ξ+δ</m:t>
        </m:r>
      </m:oMath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  <w:t>(2)</w:t>
      </w:r>
    </w:p>
    <w:p w14:paraId="43D57F94" w14:textId="24A76CE8" w:rsidR="00CF027C" w:rsidRPr="00D764E9" w:rsidRDefault="002214CF" w:rsidP="00417BDA">
      <w:pPr>
        <w:spacing w:afterLines="50" w:after="156"/>
        <w:ind w:firstLine="480"/>
        <w:jc w:val="right"/>
      </w:pP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η+ε</m:t>
        </m:r>
      </m:oMath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  <w:t>(3)</w:t>
      </w:r>
    </w:p>
    <w:p w14:paraId="708C1865" w14:textId="0269EBBF" w:rsidR="00CF027C" w:rsidRPr="00D764E9" w:rsidRDefault="002214CF" w:rsidP="00417BDA">
      <w:pPr>
        <w:spacing w:afterLines="50" w:after="156"/>
        <w:ind w:firstLine="480"/>
      </w:pPr>
      <w:r w:rsidRPr="00D764E9">
        <w:t xml:space="preserve">In the equation, </w:t>
      </w:r>
      <w:commentRangeStart w:id="19"/>
      <w:r w:rsidRPr="00DA2867">
        <w:rPr>
          <w:i/>
        </w:rPr>
        <w:t>η</w:t>
      </w:r>
      <w:commentRangeEnd w:id="19"/>
      <w:r w:rsidR="00EB02CA">
        <w:rPr>
          <w:rStyle w:val="CommentReference"/>
        </w:rPr>
        <w:commentReference w:id="19"/>
      </w:r>
      <w:r w:rsidRPr="00D764E9">
        <w:t xml:space="preserve"> is </w:t>
      </w:r>
      <w:r w:rsidR="00EF481F">
        <w:t xml:space="preserve">an </w:t>
      </w:r>
      <w:r w:rsidRPr="00D764E9">
        <w:t xml:space="preserve">endogenous potential variable; </w:t>
      </w:r>
      <w:r w:rsidRPr="00DA2867">
        <w:rPr>
          <w:i/>
        </w:rPr>
        <w:t>ξ</w:t>
      </w:r>
      <w:r w:rsidRPr="00D764E9">
        <w:t xml:space="preserve"> is </w:t>
      </w:r>
      <w:r w:rsidR="00EF481F">
        <w:t xml:space="preserve">an </w:t>
      </w:r>
      <w:r w:rsidRPr="00D764E9">
        <w:t xml:space="preserve">exogenous potential variable; </w:t>
      </w:r>
      <w:r w:rsidRPr="00DA2867">
        <w:rPr>
          <w:i/>
        </w:rPr>
        <w:t>ζ</w:t>
      </w:r>
      <w:r w:rsidRPr="00D764E9">
        <w:t xml:space="preserve"> is </w:t>
      </w:r>
      <w:r w:rsidR="008D3B06">
        <w:t xml:space="preserve">a </w:t>
      </w:r>
      <w:r w:rsidRPr="00D764E9">
        <w:t xml:space="preserve">random distracter, reflecting the part that </w:t>
      </w:r>
      <w:r w:rsidRPr="00DA2867">
        <w:rPr>
          <w:i/>
        </w:rPr>
        <w:t>η</w:t>
      </w:r>
      <w:r w:rsidRPr="00D764E9">
        <w:t xml:space="preserve"> cannot explain in </w:t>
      </w:r>
      <w:r w:rsidR="00EF481F">
        <w:t>E</w:t>
      </w:r>
      <w:r w:rsidRPr="00D764E9">
        <w:t xml:space="preserve">quation (1); </w:t>
      </w:r>
      <w:r w:rsidRPr="00DA2867">
        <w:rPr>
          <w:i/>
        </w:rPr>
        <w:t>B</w:t>
      </w:r>
      <w:r w:rsidRPr="00D764E9">
        <w:t xml:space="preserve"> is the coefficient matrix of </w:t>
      </w:r>
      <w:r w:rsidR="0027595D" w:rsidRPr="00685218">
        <w:rPr>
          <w:i/>
        </w:rPr>
        <w:t>η</w:t>
      </w:r>
      <w:r w:rsidRPr="00D764E9">
        <w:t xml:space="preserve">, describing the influence of </w:t>
      </w:r>
      <w:r w:rsidRPr="00DA2867">
        <w:rPr>
          <w:i/>
        </w:rPr>
        <w:t>η</w:t>
      </w:r>
      <w:r w:rsidRPr="00D764E9">
        <w:t xml:space="preserve"> on </w:t>
      </w:r>
      <w:r w:rsidR="008D3B06">
        <w:t>an</w:t>
      </w:r>
      <w:r w:rsidRPr="00D764E9">
        <w:t>other</w:t>
      </w:r>
      <w:r w:rsidR="00AE5BC5">
        <w:t xml:space="preserve"> variable</w:t>
      </w:r>
      <w:r w:rsidRPr="00D764E9">
        <w:t xml:space="preserve">; </w:t>
      </w:r>
      <w:r w:rsidRPr="00DA2867">
        <w:rPr>
          <w:i/>
        </w:rPr>
        <w:t>Γ</w:t>
      </w:r>
      <w:r w:rsidRPr="00D764E9">
        <w:t xml:space="preserve"> is the coefficient matrix of </w:t>
      </w:r>
      <w:r w:rsidR="0027595D" w:rsidRPr="00685218">
        <w:rPr>
          <w:i/>
        </w:rPr>
        <w:t>ξ</w:t>
      </w:r>
      <w:r w:rsidRPr="00D764E9">
        <w:t xml:space="preserve">, describing the influence of </w:t>
      </w:r>
      <w:commentRangeStart w:id="20"/>
      <w:r w:rsidRPr="00D764E9">
        <w:t xml:space="preserve">exogenous </w:t>
      </w:r>
      <w:commentRangeEnd w:id="20"/>
      <w:r w:rsidR="00AE5BC5">
        <w:rPr>
          <w:rStyle w:val="CommentReference"/>
        </w:rPr>
        <w:commentReference w:id="20"/>
      </w:r>
      <w:r w:rsidRPr="00D764E9">
        <w:t xml:space="preserve">potential variable </w:t>
      </w:r>
      <w:r w:rsidRPr="00DA2867">
        <w:rPr>
          <w:i/>
        </w:rPr>
        <w:t>η</w:t>
      </w:r>
      <w:r w:rsidRPr="00D764E9">
        <w:t xml:space="preserve"> on </w:t>
      </w:r>
      <w:r w:rsidR="008D3B06">
        <w:t>one an</w:t>
      </w:r>
      <w:r w:rsidRPr="00D764E9">
        <w:t xml:space="preserve">other; </w:t>
      </w:r>
      <w:r w:rsidRPr="00DA2867">
        <w:rPr>
          <w:i/>
        </w:rPr>
        <w:t>X</w:t>
      </w:r>
      <w:r w:rsidRPr="00D764E9">
        <w:t xml:space="preserve"> is the observational indicator of </w:t>
      </w:r>
      <w:r w:rsidRPr="00DA2867">
        <w:rPr>
          <w:i/>
        </w:rPr>
        <w:t>ξ</w:t>
      </w:r>
      <w:r w:rsidRPr="00D764E9">
        <w:t xml:space="preserve">; </w:t>
      </w:r>
      <w:r w:rsidRPr="00DA2867">
        <w:rPr>
          <w:i/>
        </w:rPr>
        <w:t>Y</w:t>
      </w:r>
      <w:r w:rsidRPr="00D764E9">
        <w:t xml:space="preserve"> is the observational indicator of </w:t>
      </w:r>
      <w:r w:rsidRPr="00DA2867">
        <w:rPr>
          <w:i/>
        </w:rPr>
        <w:t>η</w:t>
      </w:r>
      <w:r w:rsidRPr="00D764E9">
        <w:t xml:space="preserve">; </w:t>
      </w:r>
      <w:r w:rsidRPr="00DA2867">
        <w:rPr>
          <w:i/>
        </w:rPr>
        <w:t>δ</w:t>
      </w:r>
      <w:r w:rsidRPr="00D764E9">
        <w:t xml:space="preserve"> is the measurement error of </w:t>
      </w:r>
      <w:r w:rsidRPr="00DA2867">
        <w:rPr>
          <w:i/>
        </w:rPr>
        <w:t>X</w:t>
      </w:r>
      <w:r w:rsidRPr="00D764E9">
        <w:t xml:space="preserve">; </w:t>
      </w:r>
      <w:r w:rsidRPr="00DA2867">
        <w:rPr>
          <w:i/>
        </w:rPr>
        <w:t>ε</w:t>
      </w:r>
      <w:r w:rsidRPr="00D764E9">
        <w:t xml:space="preserve"> is the measurement error of </w:t>
      </w:r>
      <w:r w:rsidRPr="00DA2867">
        <w:rPr>
          <w:i/>
        </w:rPr>
        <w:t>Y</w:t>
      </w:r>
      <w:r w:rsidRPr="00D764E9">
        <w:t xml:space="preserve">; </w:t>
      </w:r>
      <w:r w:rsidRPr="00DA2867">
        <w:rPr>
          <w:i/>
        </w:rPr>
        <w:t>Λ</w:t>
      </w:r>
      <w:r w:rsidRPr="00DA2867">
        <w:rPr>
          <w:i/>
          <w:vertAlign w:val="subscript"/>
        </w:rPr>
        <w:t>x</w:t>
      </w:r>
      <w:r w:rsidRPr="00D764E9">
        <w:t xml:space="preserve"> is the factor loading of </w:t>
      </w:r>
      <w:r w:rsidRPr="00DA2867">
        <w:rPr>
          <w:i/>
        </w:rPr>
        <w:t>X</w:t>
      </w:r>
      <w:r w:rsidRPr="00D764E9">
        <w:t xml:space="preserve">; </w:t>
      </w:r>
      <w:r w:rsidR="00EF481F">
        <w:t xml:space="preserve">and </w:t>
      </w:r>
      <w:r w:rsidRPr="00DA2867">
        <w:rPr>
          <w:i/>
        </w:rPr>
        <w:t>Λ</w:t>
      </w:r>
      <w:r w:rsidRPr="00DA2867">
        <w:rPr>
          <w:i/>
          <w:vertAlign w:val="subscript"/>
        </w:rPr>
        <w:t>y</w:t>
      </w:r>
      <w:r w:rsidRPr="00D764E9">
        <w:rPr>
          <w:vertAlign w:val="subscript"/>
        </w:rPr>
        <w:t xml:space="preserve"> </w:t>
      </w:r>
      <w:r w:rsidRPr="00D764E9">
        <w:t xml:space="preserve">is the factor loading of </w:t>
      </w:r>
      <w:r w:rsidRPr="00DA2867">
        <w:rPr>
          <w:i/>
        </w:rPr>
        <w:t>Y</w:t>
      </w:r>
      <w:r w:rsidRPr="00D764E9">
        <w:t>.</w:t>
      </w:r>
    </w:p>
    <w:p w14:paraId="4990CD68" w14:textId="43648A1A" w:rsidR="0021464F" w:rsidRPr="00D764E9" w:rsidRDefault="008D3B06" w:rsidP="00417BDA">
      <w:pPr>
        <w:spacing w:afterLines="50" w:after="156"/>
        <w:ind w:firstLine="480"/>
      </w:pPr>
      <w:r>
        <w:t>On the basis of</w:t>
      </w:r>
      <w:r w:rsidR="00D85956" w:rsidRPr="00D764E9">
        <w:t xml:space="preserve"> the American Customer Satisfaction Index </w:t>
      </w:r>
      <w:r w:rsidR="00D90236" w:rsidRPr="00D764E9">
        <w:fldChar w:fldCharType="begin"/>
      </w:r>
      <w:r w:rsidR="00D85956" w:rsidRPr="00D764E9">
        <w:instrText xml:space="preserve"> ADDIN NE.Ref.{D0E20608-1766-430A-B97A-6B9DA7AB937C}</w:instrText>
      </w:r>
      <w:r w:rsidR="00D90236" w:rsidRPr="00D764E9">
        <w:fldChar w:fldCharType="separate"/>
      </w:r>
      <w:r w:rsidR="00D85956" w:rsidRPr="00D764E9">
        <w:rPr>
          <w:color w:val="0080FF"/>
          <w:kern w:val="0"/>
          <w:szCs w:val="24"/>
        </w:rPr>
        <w:t>(Angelova and Zekiri 2011)</w:t>
      </w:r>
      <w:r w:rsidR="00D90236" w:rsidRPr="00D764E9">
        <w:fldChar w:fldCharType="end"/>
      </w:r>
      <w:r w:rsidR="00D85956" w:rsidRPr="00D764E9">
        <w:t>, together with the operation service features of urban rail transit compan</w:t>
      </w:r>
      <w:r w:rsidR="00E16302">
        <w:t>ies</w:t>
      </w:r>
      <w:r w:rsidR="00D85956" w:rsidRPr="00D764E9">
        <w:t xml:space="preserve">, </w:t>
      </w:r>
      <w:r w:rsidR="00E16302">
        <w:t xml:space="preserve">six </w:t>
      </w:r>
      <w:r w:rsidR="00D85956" w:rsidRPr="00D764E9">
        <w:t xml:space="preserve">potential variables </w:t>
      </w:r>
      <w:r>
        <w:t>were</w:t>
      </w:r>
      <w:r w:rsidRPr="00D764E9">
        <w:t xml:space="preserve"> </w:t>
      </w:r>
      <w:r w:rsidR="00D85956" w:rsidRPr="00D764E9">
        <w:t xml:space="preserve">classified in this </w:t>
      </w:r>
      <w:r w:rsidR="0027595D">
        <w:t>work</w:t>
      </w:r>
      <w:r>
        <w:t>, which were</w:t>
      </w:r>
      <w:r w:rsidR="00D85956" w:rsidRPr="00D764E9">
        <w:t xml:space="preserve"> concluded from 12 factors</w:t>
      </w:r>
      <w:r w:rsidR="00E16302">
        <w:t>,</w:t>
      </w:r>
      <w:r w:rsidR="00D85956" w:rsidRPr="00D764E9">
        <w:t xml:space="preserve"> including overall satisfaction, in which security sense is the exogenous variable and quality awareness, convenience, comfort, reliability</w:t>
      </w:r>
      <w:r w:rsidR="00E16302">
        <w:t>,</w:t>
      </w:r>
      <w:r w:rsidR="00D85956" w:rsidRPr="00D764E9">
        <w:t xml:space="preserve"> and quickness </w:t>
      </w:r>
      <w:r w:rsidR="0027595D">
        <w:t>we</w:t>
      </w:r>
      <w:r w:rsidR="00D85956" w:rsidRPr="00D764E9">
        <w:t xml:space="preserve">re the endogenous variables. </w:t>
      </w:r>
      <w:r w:rsidR="00E16302">
        <w:t xml:space="preserve">The </w:t>
      </w:r>
      <w:r w:rsidR="00E16302" w:rsidRPr="00D764E9">
        <w:t xml:space="preserve">classification </w:t>
      </w:r>
      <w:r w:rsidR="00E16302">
        <w:t>of the m</w:t>
      </w:r>
      <w:r w:rsidR="00D85956" w:rsidRPr="00D764E9">
        <w:t xml:space="preserve">easurable and potential variables and </w:t>
      </w:r>
      <w:r w:rsidR="00E16302">
        <w:t xml:space="preserve">the </w:t>
      </w:r>
      <w:r w:rsidR="00D85956" w:rsidRPr="00D764E9">
        <w:t>satisfaction score of each indicator are shown in Table 2.</w:t>
      </w:r>
    </w:p>
    <w:p w14:paraId="5324EC37" w14:textId="45F2B142" w:rsidR="00137BA2" w:rsidRPr="00D764E9" w:rsidRDefault="00137BA2" w:rsidP="00417BDA">
      <w:pPr>
        <w:spacing w:afterLines="50" w:after="156"/>
        <w:ind w:firstLineChars="0" w:firstLine="0"/>
        <w:jc w:val="center"/>
        <w:rPr>
          <w:b/>
          <w:sz w:val="21"/>
        </w:rPr>
      </w:pPr>
      <w:r w:rsidRPr="00D764E9">
        <w:rPr>
          <w:b/>
          <w:bCs/>
          <w:sz w:val="21"/>
        </w:rPr>
        <w:t>Table 2 Corresponding measurable and potential variables in SEM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2159"/>
        <w:gridCol w:w="1400"/>
        <w:gridCol w:w="1610"/>
        <w:gridCol w:w="1610"/>
      </w:tblGrid>
      <w:tr w:rsidR="00D65004" w:rsidRPr="00D764E9" w14:paraId="69EDF72F" w14:textId="77777777" w:rsidTr="008A6DEE">
        <w:trPr>
          <w:jc w:val="center"/>
        </w:trPr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</w:tcPr>
          <w:p w14:paraId="4A86E73A" w14:textId="77777777" w:rsidR="00D65004" w:rsidRPr="00D764E9" w:rsidRDefault="00D65004" w:rsidP="00417BDA">
            <w:pPr>
              <w:pStyle w:val="a1"/>
              <w:spacing w:afterLines="50" w:after="156"/>
              <w:ind w:firstLineChars="100" w:firstLine="210"/>
              <w:jc w:val="both"/>
            </w:pPr>
            <w:r w:rsidRPr="00D764E9">
              <w:t>Potential variable</w:t>
            </w:r>
          </w:p>
        </w:tc>
        <w:tc>
          <w:tcPr>
            <w:tcW w:w="2159" w:type="dxa"/>
            <w:tcBorders>
              <w:top w:val="single" w:sz="12" w:space="0" w:color="auto"/>
              <w:bottom w:val="single" w:sz="4" w:space="0" w:color="auto"/>
            </w:tcBorders>
          </w:tcPr>
          <w:p w14:paraId="34616F77" w14:textId="77777777" w:rsidR="00D65004" w:rsidRPr="00D764E9" w:rsidRDefault="00D65004" w:rsidP="00417BDA">
            <w:pPr>
              <w:pStyle w:val="a1"/>
              <w:spacing w:afterLines="50" w:after="156"/>
              <w:ind w:firstLineChars="200" w:firstLine="420"/>
              <w:jc w:val="both"/>
            </w:pPr>
            <w:r w:rsidRPr="00D764E9">
              <w:t>Observational variable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FE0871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Score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</w:tcPr>
          <w:p w14:paraId="64969337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Score ranking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</w:tcPr>
          <w:p w14:paraId="7F9A9FB6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Weight</w:t>
            </w:r>
          </w:p>
        </w:tc>
      </w:tr>
      <w:tr w:rsidR="00D65004" w:rsidRPr="00D764E9" w14:paraId="0A072EC9" w14:textId="77777777" w:rsidTr="008A6DEE">
        <w:trPr>
          <w:jc w:val="center"/>
        </w:trPr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0BFD5" w14:textId="0A87154D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ξ1: </w:t>
            </w:r>
            <w:r w:rsidR="008D3B06">
              <w:t>S</w:t>
            </w:r>
            <w:r w:rsidRPr="00D764E9">
              <w:t>ecurity sense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C2E97" w14:textId="7B48D77A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x1: </w:t>
            </w:r>
            <w:r w:rsidR="008D3B06">
              <w:t>S</w:t>
            </w:r>
            <w:r w:rsidRPr="00D764E9">
              <w:t>afety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41306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3.77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14:paraId="23EAA18D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1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14:paraId="7B4465ED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0.195</w:t>
            </w:r>
          </w:p>
        </w:tc>
      </w:tr>
      <w:tr w:rsidR="00D65004" w:rsidRPr="00D764E9" w14:paraId="3AC97F67" w14:textId="77777777" w:rsidTr="008A6DEE">
        <w:trPr>
          <w:jc w:val="center"/>
        </w:trPr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A87E5" w14:textId="347F5F7A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η1: </w:t>
            </w:r>
            <w:r w:rsidR="008D3B06">
              <w:t>Q</w:t>
            </w:r>
            <w:r w:rsidRPr="00D764E9">
              <w:t>uality awareness</w:t>
            </w:r>
          </w:p>
        </w:tc>
        <w:tc>
          <w:tcPr>
            <w:tcW w:w="2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C42D8" w14:textId="157EA46A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y1: </w:t>
            </w:r>
            <w:r w:rsidR="008D3B06">
              <w:t>O</w:t>
            </w:r>
            <w:r w:rsidRPr="00D764E9">
              <w:t>verall satisfaction</w:t>
            </w: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D2C77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3.53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14:paraId="7E1F9C74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/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</w:tcPr>
          <w:p w14:paraId="1DC21C6F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/</w:t>
            </w:r>
          </w:p>
        </w:tc>
      </w:tr>
      <w:tr w:rsidR="00D65004" w:rsidRPr="00D764E9" w14:paraId="0BE04053" w14:textId="77777777" w:rsidTr="008A6DEE">
        <w:trPr>
          <w:jc w:val="center"/>
        </w:trPr>
        <w:tc>
          <w:tcPr>
            <w:tcW w:w="1527" w:type="dxa"/>
            <w:vMerge w:val="restart"/>
            <w:tcBorders>
              <w:top w:val="single" w:sz="4" w:space="0" w:color="auto"/>
            </w:tcBorders>
            <w:vAlign w:val="center"/>
          </w:tcPr>
          <w:p w14:paraId="5F296B48" w14:textId="367628DC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η2: </w:t>
            </w:r>
            <w:r w:rsidR="008D3B06">
              <w:t>C</w:t>
            </w:r>
            <w:r w:rsidRPr="00D764E9">
              <w:t>onvenience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53059354" w14:textId="6E0A5C28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y2: </w:t>
            </w:r>
            <w:r w:rsidR="008D3B06">
              <w:t>T</w:t>
            </w:r>
            <w:r w:rsidRPr="00D764E9">
              <w:t>ransfer shuttle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17F1E61E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3.54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3615D641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8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7EC94EC8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0.068</w:t>
            </w:r>
          </w:p>
        </w:tc>
      </w:tr>
      <w:tr w:rsidR="00D65004" w:rsidRPr="00D764E9" w14:paraId="5FC620BF" w14:textId="77777777" w:rsidTr="008A6DEE">
        <w:trPr>
          <w:jc w:val="center"/>
        </w:trPr>
        <w:tc>
          <w:tcPr>
            <w:tcW w:w="1527" w:type="dxa"/>
            <w:vMerge/>
            <w:tcBorders>
              <w:bottom w:val="single" w:sz="4" w:space="0" w:color="auto"/>
            </w:tcBorders>
            <w:vAlign w:val="center"/>
          </w:tcPr>
          <w:p w14:paraId="351078C2" w14:textId="77777777" w:rsidR="00D65004" w:rsidRPr="00D764E9" w:rsidRDefault="00D65004" w:rsidP="00417BDA">
            <w:pPr>
              <w:pStyle w:val="a1"/>
              <w:spacing w:afterLines="50" w:after="156"/>
              <w:jc w:val="both"/>
            </w:pP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53F584B0" w14:textId="1E7E5B60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y3: </w:t>
            </w:r>
            <w:r w:rsidR="008D3B06">
              <w:t>T</w:t>
            </w:r>
            <w:r w:rsidRPr="00D764E9">
              <w:t>icketing system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14:paraId="0CF04874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3.54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79184EEC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9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3498AA32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0.078</w:t>
            </w:r>
          </w:p>
        </w:tc>
      </w:tr>
      <w:tr w:rsidR="00D65004" w:rsidRPr="00D764E9" w14:paraId="6BA9C406" w14:textId="77777777" w:rsidTr="008A6DEE">
        <w:trPr>
          <w:jc w:val="center"/>
        </w:trPr>
        <w:tc>
          <w:tcPr>
            <w:tcW w:w="1527" w:type="dxa"/>
            <w:vMerge w:val="restart"/>
            <w:tcBorders>
              <w:top w:val="single" w:sz="4" w:space="0" w:color="auto"/>
            </w:tcBorders>
            <w:vAlign w:val="center"/>
          </w:tcPr>
          <w:p w14:paraId="4EE31E65" w14:textId="70843AA1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η3: </w:t>
            </w:r>
            <w:r w:rsidR="008D3B06">
              <w:lastRenderedPageBreak/>
              <w:t>C</w:t>
            </w:r>
            <w:r w:rsidRPr="00D764E9">
              <w:t>omfortable sense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7A11EED1" w14:textId="1BCA1AA4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lastRenderedPageBreak/>
              <w:t xml:space="preserve">y4: </w:t>
            </w:r>
            <w:r w:rsidR="008D3B06">
              <w:t>T</w:t>
            </w:r>
            <w:r w:rsidRPr="00D764E9">
              <w:t xml:space="preserve">rain </w:t>
            </w:r>
            <w:r w:rsidRPr="00D764E9">
              <w:lastRenderedPageBreak/>
              <w:t>comfortability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1D03B7DF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lastRenderedPageBreak/>
              <w:t>3.61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32B1A7E0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5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64820940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0.046</w:t>
            </w:r>
          </w:p>
        </w:tc>
      </w:tr>
      <w:tr w:rsidR="00D65004" w:rsidRPr="00D764E9" w14:paraId="71AB6D6C" w14:textId="77777777" w:rsidTr="008A6DEE">
        <w:trPr>
          <w:jc w:val="center"/>
        </w:trPr>
        <w:tc>
          <w:tcPr>
            <w:tcW w:w="1527" w:type="dxa"/>
            <w:vMerge/>
            <w:vAlign w:val="center"/>
          </w:tcPr>
          <w:p w14:paraId="6AD209F8" w14:textId="77777777" w:rsidR="00D65004" w:rsidRPr="00D764E9" w:rsidRDefault="00D65004" w:rsidP="00417BDA">
            <w:pPr>
              <w:pStyle w:val="a1"/>
              <w:spacing w:afterLines="50" w:after="156"/>
              <w:jc w:val="both"/>
            </w:pPr>
          </w:p>
        </w:tc>
        <w:tc>
          <w:tcPr>
            <w:tcW w:w="2159" w:type="dxa"/>
            <w:vAlign w:val="center"/>
          </w:tcPr>
          <w:p w14:paraId="16D56F99" w14:textId="336CCBA3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y5: </w:t>
            </w:r>
            <w:r w:rsidR="008D3B06">
              <w:t>P</w:t>
            </w:r>
            <w:r w:rsidRPr="00D764E9">
              <w:t>latform comfortability of the station hall</w:t>
            </w:r>
          </w:p>
        </w:tc>
        <w:tc>
          <w:tcPr>
            <w:tcW w:w="1400" w:type="dxa"/>
            <w:vAlign w:val="center"/>
          </w:tcPr>
          <w:p w14:paraId="152707D7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3.60</w:t>
            </w:r>
          </w:p>
        </w:tc>
        <w:tc>
          <w:tcPr>
            <w:tcW w:w="1610" w:type="dxa"/>
          </w:tcPr>
          <w:p w14:paraId="156492FB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6</w:t>
            </w:r>
          </w:p>
        </w:tc>
        <w:tc>
          <w:tcPr>
            <w:tcW w:w="1610" w:type="dxa"/>
          </w:tcPr>
          <w:p w14:paraId="4E6772C9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0.047</w:t>
            </w:r>
          </w:p>
        </w:tc>
      </w:tr>
      <w:tr w:rsidR="00D65004" w:rsidRPr="00D764E9" w14:paraId="033D1CE2" w14:textId="77777777" w:rsidTr="008A6DEE">
        <w:trPr>
          <w:jc w:val="center"/>
        </w:trPr>
        <w:tc>
          <w:tcPr>
            <w:tcW w:w="1527" w:type="dxa"/>
            <w:vMerge/>
            <w:vAlign w:val="center"/>
          </w:tcPr>
          <w:p w14:paraId="5891B15C" w14:textId="77777777" w:rsidR="00D65004" w:rsidRPr="00D764E9" w:rsidRDefault="00D65004" w:rsidP="00417BDA">
            <w:pPr>
              <w:pStyle w:val="a1"/>
              <w:spacing w:afterLines="50" w:after="156"/>
              <w:jc w:val="both"/>
            </w:pPr>
          </w:p>
        </w:tc>
        <w:tc>
          <w:tcPr>
            <w:tcW w:w="2159" w:type="dxa"/>
            <w:vAlign w:val="center"/>
          </w:tcPr>
          <w:p w14:paraId="684DEA44" w14:textId="6FCCFFAF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y6: </w:t>
            </w:r>
            <w:r w:rsidR="008E6D55">
              <w:t>P</w:t>
            </w:r>
            <w:r w:rsidRPr="00D764E9">
              <w:t>ersonnel service</w:t>
            </w:r>
          </w:p>
        </w:tc>
        <w:tc>
          <w:tcPr>
            <w:tcW w:w="1400" w:type="dxa"/>
            <w:vAlign w:val="center"/>
          </w:tcPr>
          <w:p w14:paraId="1021165C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3.64</w:t>
            </w:r>
          </w:p>
        </w:tc>
        <w:tc>
          <w:tcPr>
            <w:tcW w:w="1610" w:type="dxa"/>
          </w:tcPr>
          <w:p w14:paraId="60639139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4</w:t>
            </w:r>
          </w:p>
        </w:tc>
        <w:tc>
          <w:tcPr>
            <w:tcW w:w="1610" w:type="dxa"/>
          </w:tcPr>
          <w:p w14:paraId="66C734AF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0.039</w:t>
            </w:r>
          </w:p>
        </w:tc>
      </w:tr>
      <w:tr w:rsidR="00D65004" w:rsidRPr="00D764E9" w14:paraId="4F3136F7" w14:textId="77777777" w:rsidTr="008A6DEE">
        <w:trPr>
          <w:jc w:val="center"/>
        </w:trPr>
        <w:tc>
          <w:tcPr>
            <w:tcW w:w="1527" w:type="dxa"/>
            <w:vMerge/>
            <w:tcBorders>
              <w:bottom w:val="single" w:sz="4" w:space="0" w:color="auto"/>
            </w:tcBorders>
            <w:vAlign w:val="center"/>
          </w:tcPr>
          <w:p w14:paraId="5A89AE84" w14:textId="77777777" w:rsidR="00D65004" w:rsidRPr="00D764E9" w:rsidRDefault="00D65004" w:rsidP="00417BDA">
            <w:pPr>
              <w:pStyle w:val="a1"/>
              <w:spacing w:afterLines="50" w:after="156"/>
              <w:jc w:val="both"/>
            </w:pP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6EF8E26F" w14:textId="37C4C9A8" w:rsidR="00D65004" w:rsidRPr="00D764E9" w:rsidRDefault="00D65004" w:rsidP="00974292">
            <w:pPr>
              <w:pStyle w:val="a1"/>
              <w:spacing w:afterLines="50" w:after="156"/>
              <w:jc w:val="both"/>
            </w:pPr>
            <w:r w:rsidRPr="00D764E9">
              <w:t xml:space="preserve">y7: </w:t>
            </w:r>
            <w:r w:rsidR="008E6D55">
              <w:t>P</w:t>
            </w:r>
            <w:r w:rsidRPr="00D764E9">
              <w:t>assenger civilization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14:paraId="5D139D0E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3.34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547D0F1B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10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5CB963A9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0.032</w:t>
            </w:r>
          </w:p>
        </w:tc>
      </w:tr>
      <w:tr w:rsidR="00D65004" w:rsidRPr="00D764E9" w14:paraId="2A7FF8B9" w14:textId="77777777" w:rsidTr="008A6DEE">
        <w:trPr>
          <w:jc w:val="center"/>
        </w:trPr>
        <w:tc>
          <w:tcPr>
            <w:tcW w:w="1527" w:type="dxa"/>
            <w:vMerge w:val="restart"/>
            <w:tcBorders>
              <w:top w:val="single" w:sz="4" w:space="0" w:color="auto"/>
            </w:tcBorders>
            <w:vAlign w:val="center"/>
          </w:tcPr>
          <w:p w14:paraId="2E168323" w14:textId="1378F120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η4: </w:t>
            </w:r>
            <w:r w:rsidR="008E6D55">
              <w:t>R</w:t>
            </w:r>
            <w:r w:rsidRPr="00D764E9">
              <w:t>eliability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30B1B4A6" w14:textId="21C709DB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y8: </w:t>
            </w:r>
            <w:r w:rsidR="008E6D55">
              <w:t>S</w:t>
            </w:r>
            <w:r w:rsidRPr="00D764E9">
              <w:t>ervice facility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2C6C2377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3.58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4B9959EE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7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551BE729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0.188</w:t>
            </w:r>
          </w:p>
        </w:tc>
      </w:tr>
      <w:tr w:rsidR="00D65004" w:rsidRPr="00D764E9" w14:paraId="271BBA80" w14:textId="77777777" w:rsidTr="008A6DEE">
        <w:trPr>
          <w:jc w:val="center"/>
        </w:trPr>
        <w:tc>
          <w:tcPr>
            <w:tcW w:w="1527" w:type="dxa"/>
            <w:vMerge/>
            <w:tcBorders>
              <w:bottom w:val="single" w:sz="4" w:space="0" w:color="auto"/>
            </w:tcBorders>
            <w:vAlign w:val="center"/>
          </w:tcPr>
          <w:p w14:paraId="0A75891B" w14:textId="77777777" w:rsidR="00D65004" w:rsidRPr="00D764E9" w:rsidRDefault="00D65004" w:rsidP="00417BDA">
            <w:pPr>
              <w:pStyle w:val="a1"/>
              <w:spacing w:afterLines="50" w:after="156"/>
              <w:jc w:val="both"/>
            </w:pPr>
          </w:p>
        </w:tc>
        <w:tc>
          <w:tcPr>
            <w:tcW w:w="2159" w:type="dxa"/>
            <w:tcBorders>
              <w:bottom w:val="single" w:sz="4" w:space="0" w:color="auto"/>
            </w:tcBorders>
            <w:vAlign w:val="center"/>
          </w:tcPr>
          <w:p w14:paraId="5A19979D" w14:textId="6BD1D6FF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y9: </w:t>
            </w:r>
            <w:r w:rsidR="008E6D55">
              <w:t>T</w:t>
            </w:r>
            <w:r w:rsidRPr="00D764E9">
              <w:t>rain information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14:paraId="22DA54D4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3.66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2CF506FC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F19AD57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0.181</w:t>
            </w:r>
          </w:p>
        </w:tc>
      </w:tr>
      <w:tr w:rsidR="00D65004" w:rsidRPr="00D764E9" w14:paraId="490FDB91" w14:textId="77777777" w:rsidTr="008A6DEE">
        <w:trPr>
          <w:jc w:val="center"/>
        </w:trPr>
        <w:tc>
          <w:tcPr>
            <w:tcW w:w="1527" w:type="dxa"/>
            <w:vMerge w:val="restart"/>
            <w:tcBorders>
              <w:top w:val="single" w:sz="4" w:space="0" w:color="auto"/>
            </w:tcBorders>
            <w:vAlign w:val="center"/>
          </w:tcPr>
          <w:p w14:paraId="6DCE7672" w14:textId="6C31D691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η5: </w:t>
            </w:r>
            <w:r w:rsidR="008E6D55">
              <w:t>Q</w:t>
            </w:r>
            <w:r w:rsidRPr="00D764E9">
              <w:t>uickness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vAlign w:val="center"/>
          </w:tcPr>
          <w:p w14:paraId="24A2EB3A" w14:textId="4F016219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y10: </w:t>
            </w:r>
            <w:r w:rsidR="008E6D55">
              <w:t>P</w:t>
            </w:r>
            <w:r w:rsidRPr="00D764E9">
              <w:t>eak waiting time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14:paraId="1926D4A2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3.24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01B8060D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11</w:t>
            </w:r>
          </w:p>
        </w:tc>
        <w:tc>
          <w:tcPr>
            <w:tcW w:w="1610" w:type="dxa"/>
            <w:tcBorders>
              <w:top w:val="single" w:sz="4" w:space="0" w:color="auto"/>
            </w:tcBorders>
          </w:tcPr>
          <w:p w14:paraId="0BCCC0DF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0.057</w:t>
            </w:r>
          </w:p>
        </w:tc>
      </w:tr>
      <w:tr w:rsidR="00D65004" w:rsidRPr="00D764E9" w14:paraId="46440022" w14:textId="77777777" w:rsidTr="008A6DEE">
        <w:trPr>
          <w:jc w:val="center"/>
        </w:trPr>
        <w:tc>
          <w:tcPr>
            <w:tcW w:w="1527" w:type="dxa"/>
            <w:vMerge/>
            <w:tcBorders>
              <w:bottom w:val="single" w:sz="12" w:space="0" w:color="auto"/>
            </w:tcBorders>
          </w:tcPr>
          <w:p w14:paraId="00672F20" w14:textId="77777777" w:rsidR="00D65004" w:rsidRPr="00D764E9" w:rsidRDefault="00D65004" w:rsidP="00417BDA">
            <w:pPr>
              <w:pStyle w:val="a1"/>
              <w:spacing w:afterLines="50" w:after="156"/>
            </w:pPr>
          </w:p>
        </w:tc>
        <w:tc>
          <w:tcPr>
            <w:tcW w:w="2159" w:type="dxa"/>
            <w:tcBorders>
              <w:bottom w:val="single" w:sz="12" w:space="0" w:color="auto"/>
            </w:tcBorders>
            <w:vAlign w:val="center"/>
          </w:tcPr>
          <w:p w14:paraId="11878092" w14:textId="031D48CE" w:rsidR="00D65004" w:rsidRPr="00D764E9" w:rsidRDefault="00D65004" w:rsidP="00417BDA">
            <w:pPr>
              <w:pStyle w:val="a1"/>
              <w:spacing w:afterLines="50" w:after="156"/>
              <w:jc w:val="both"/>
            </w:pPr>
            <w:r w:rsidRPr="00D764E9">
              <w:t xml:space="preserve">y11: </w:t>
            </w:r>
            <w:r w:rsidR="008E6D55">
              <w:t>N</w:t>
            </w:r>
            <w:r w:rsidRPr="00D764E9">
              <w:t>ormal waiting time</w:t>
            </w:r>
          </w:p>
        </w:tc>
        <w:tc>
          <w:tcPr>
            <w:tcW w:w="1400" w:type="dxa"/>
            <w:tcBorders>
              <w:bottom w:val="single" w:sz="12" w:space="0" w:color="auto"/>
            </w:tcBorders>
            <w:vAlign w:val="center"/>
          </w:tcPr>
          <w:p w14:paraId="165C1F62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3.68</w:t>
            </w:r>
          </w:p>
        </w:tc>
        <w:tc>
          <w:tcPr>
            <w:tcW w:w="1610" w:type="dxa"/>
            <w:tcBorders>
              <w:bottom w:val="single" w:sz="12" w:space="0" w:color="auto"/>
            </w:tcBorders>
          </w:tcPr>
          <w:p w14:paraId="672CB93D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2</w:t>
            </w:r>
          </w:p>
        </w:tc>
        <w:tc>
          <w:tcPr>
            <w:tcW w:w="1610" w:type="dxa"/>
            <w:tcBorders>
              <w:bottom w:val="single" w:sz="12" w:space="0" w:color="auto"/>
            </w:tcBorders>
          </w:tcPr>
          <w:p w14:paraId="39CB45DD" w14:textId="77777777" w:rsidR="00D65004" w:rsidRPr="00D764E9" w:rsidRDefault="00D65004" w:rsidP="00417BDA">
            <w:pPr>
              <w:pStyle w:val="a1"/>
              <w:spacing w:afterLines="50" w:after="156"/>
            </w:pPr>
            <w:r w:rsidRPr="00D764E9">
              <w:t>0.068</w:t>
            </w:r>
          </w:p>
        </w:tc>
      </w:tr>
    </w:tbl>
    <w:p w14:paraId="39C5F1D1" w14:textId="77777777" w:rsidR="006576ED" w:rsidRPr="00D764E9" w:rsidRDefault="006576ED" w:rsidP="00417BDA">
      <w:pPr>
        <w:spacing w:afterLines="50" w:after="156"/>
        <w:ind w:firstLine="480"/>
      </w:pPr>
    </w:p>
    <w:p w14:paraId="79DAB41E" w14:textId="157EB3A5" w:rsidR="00C57A6A" w:rsidRPr="00D764E9" w:rsidRDefault="00C57A6A" w:rsidP="00417BDA">
      <w:pPr>
        <w:pStyle w:val="Heading3"/>
        <w:spacing w:afterLines="50" w:after="156"/>
        <w:rPr>
          <w:b/>
        </w:rPr>
      </w:pPr>
      <w:r w:rsidRPr="00D764E9">
        <w:rPr>
          <w:bCs w:val="0"/>
          <w:szCs w:val="22"/>
        </w:rPr>
        <w:t xml:space="preserve">3.2.2 </w:t>
      </w:r>
      <w:r w:rsidRPr="00D764E9">
        <w:rPr>
          <w:bCs w:val="0"/>
        </w:rPr>
        <w:t xml:space="preserve">Ranking method based on </w:t>
      </w:r>
      <w:r w:rsidR="000E2630">
        <w:t>PP</w:t>
      </w:r>
    </w:p>
    <w:p w14:paraId="563CD0E4" w14:textId="77777777" w:rsidR="00C57A6A" w:rsidRPr="00D764E9" w:rsidRDefault="00C57A6A" w:rsidP="00417BDA">
      <w:pPr>
        <w:spacing w:afterLines="50" w:after="156"/>
        <w:ind w:firstLine="480"/>
      </w:pPr>
    </w:p>
    <w:p w14:paraId="7626AD8A" w14:textId="6A15F9B5" w:rsidR="00D10B7C" w:rsidRPr="00D764E9" w:rsidRDefault="006E4443" w:rsidP="00417BDA">
      <w:pPr>
        <w:spacing w:afterLines="50" w:after="156"/>
        <w:ind w:firstLine="480"/>
      </w:pPr>
      <w:r>
        <w:t xml:space="preserve">The PP-based </w:t>
      </w:r>
      <w:r w:rsidR="00784C91" w:rsidRPr="00D764E9">
        <w:t xml:space="preserve">importance ranking method </w:t>
      </w:r>
      <w:r>
        <w:t xml:space="preserve">was created </w:t>
      </w:r>
      <w:r w:rsidR="00784C91" w:rsidRPr="00D764E9">
        <w:t xml:space="preserve">to </w:t>
      </w:r>
      <w:r>
        <w:t xml:space="preserve">compensate for </w:t>
      </w:r>
      <w:r w:rsidR="00784C91" w:rsidRPr="00D764E9">
        <w:t xml:space="preserve">the defects of </w:t>
      </w:r>
      <w:r w:rsidR="00ED4258">
        <w:t xml:space="preserve">the </w:t>
      </w:r>
      <w:r w:rsidR="00784C91" w:rsidRPr="00D764E9">
        <w:t>IPA method</w:t>
      </w:r>
      <w:r>
        <w:t>,</w:t>
      </w:r>
      <w:r w:rsidR="00784C91" w:rsidRPr="00D764E9">
        <w:t xml:space="preserve"> </w:t>
      </w:r>
      <w:r>
        <w:t>which</w:t>
      </w:r>
      <w:r w:rsidR="00784C91" w:rsidRPr="00D764E9">
        <w:t xml:space="preserve"> can only classify and sequence each improvement strateg</w:t>
      </w:r>
      <w:r w:rsidR="00ED4258">
        <w:t>y</w:t>
      </w:r>
      <w:r w:rsidR="00784C91" w:rsidRPr="00D764E9">
        <w:t xml:space="preserve"> but </w:t>
      </w:r>
      <w:r>
        <w:t>cannot easily</w:t>
      </w:r>
      <w:r w:rsidR="00784C91" w:rsidRPr="00D764E9">
        <w:t xml:space="preserve"> determine the shortcomings of classification boundaries. This </w:t>
      </w:r>
      <w:r>
        <w:t>study</w:t>
      </w:r>
      <w:r w:rsidRPr="00D764E9">
        <w:t xml:space="preserve"> </w:t>
      </w:r>
      <w:r>
        <w:t xml:space="preserve">assigns </w:t>
      </w:r>
      <w:r w:rsidR="00784C91" w:rsidRPr="00D764E9">
        <w:t xml:space="preserve">a variable as the </w:t>
      </w:r>
      <w:r w:rsidR="000E2630">
        <w:t>PP</w:t>
      </w:r>
      <w:r w:rsidR="00784C91" w:rsidRPr="00D764E9">
        <w:t xml:space="preserve">, </w:t>
      </w:r>
      <w:r>
        <w:t xml:space="preserve">thereby maintaining </w:t>
      </w:r>
      <w:r w:rsidR="00784C91" w:rsidRPr="00D764E9">
        <w:t>the inherent advantages of barrel theory (also called short</w:t>
      </w:r>
      <w:r w:rsidR="00ED4258">
        <w:t>-</w:t>
      </w:r>
      <w:r w:rsidR="00784C91" w:rsidRPr="00D764E9">
        <w:t>plate theory) in the IPA method concerning the consideration of indicator importance and improvement urgency and add</w:t>
      </w:r>
      <w:r w:rsidR="007C36F6">
        <w:t>ing</w:t>
      </w:r>
      <w:r w:rsidR="00784C91" w:rsidRPr="00D764E9">
        <w:t xml:space="preserve"> consideration indicators and </w:t>
      </w:r>
      <w:r w:rsidR="007C36F6">
        <w:t xml:space="preserve">influential </w:t>
      </w:r>
      <w:r w:rsidR="00784C91" w:rsidRPr="00D764E9">
        <w:t>improvement factors to represent the precedence of each improvement strateg</w:t>
      </w:r>
      <w:r w:rsidR="00ED4258">
        <w:t>y</w:t>
      </w:r>
      <w:r w:rsidR="00784C91" w:rsidRPr="00D764E9">
        <w:t xml:space="preserve">. The model is shown in </w:t>
      </w:r>
      <w:r w:rsidR="00151FB3">
        <w:t xml:space="preserve">Equations </w:t>
      </w:r>
      <w:r w:rsidR="00784C91" w:rsidRPr="00D764E9">
        <w:t>(4) and (5)</w:t>
      </w:r>
      <w:r w:rsidR="007C36F6">
        <w:t>.</w:t>
      </w:r>
    </w:p>
    <w:p w14:paraId="44DC8ADB" w14:textId="721AAF75" w:rsidR="0008660A" w:rsidRPr="00D764E9" w:rsidRDefault="006F20BB" w:rsidP="00417BDA">
      <w:pPr>
        <w:spacing w:afterLines="50" w:after="156"/>
        <w:ind w:firstLine="560"/>
        <w:jc w:val="right"/>
        <w:rPr>
          <w:rFonts w:ascii="SimSun" w:hAnsi="SimSun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</w:rPr>
              <m:t>d</m:t>
            </m:r>
          </m:den>
        </m:f>
      </m:oMath>
      <w:r w:rsidR="00151FB3">
        <w:rPr>
          <w:sz w:val="28"/>
        </w:rPr>
        <w:t>,</w:t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>（</w:t>
      </w:r>
      <w:r w:rsidR="006A6A82" w:rsidRPr="00D764E9">
        <w:rPr>
          <w:rFonts w:ascii="SimSun" w:hAnsi="SimSun"/>
        </w:rPr>
        <w:t>4</w:t>
      </w:r>
      <w:r w:rsidR="006A6A82" w:rsidRPr="00D764E9">
        <w:t>）</w:t>
      </w:r>
    </w:p>
    <w:p w14:paraId="5BC7D9FC" w14:textId="04CA1651" w:rsidR="00536C45" w:rsidRPr="00D764E9" w:rsidRDefault="00536C45" w:rsidP="00417BDA">
      <w:pPr>
        <w:spacing w:afterLines="50" w:after="156"/>
        <w:ind w:firstLine="560"/>
        <w:jc w:val="right"/>
        <w:rPr>
          <w:rFonts w:ascii="SimSun" w:hAnsi="SimSun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d=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</m:oMath>
      <w:commentRangeStart w:id="21"/>
      <w:r w:rsidR="00151FB3">
        <w:rPr>
          <w:sz w:val="28"/>
        </w:rPr>
        <w:t>,</w:t>
      </w:r>
      <w:commentRangeEnd w:id="21"/>
      <w:r w:rsidR="00ED4258">
        <w:rPr>
          <w:rStyle w:val="CommentReference"/>
        </w:rPr>
        <w:commentReference w:id="21"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ab/>
      </w:r>
      <w:r w:rsidRPr="00D764E9">
        <w:t>（</w:t>
      </w:r>
      <w:r w:rsidRPr="00D764E9">
        <w:rPr>
          <w:rFonts w:ascii="SimSun" w:hAnsi="SimSun"/>
        </w:rPr>
        <w:t>5</w:t>
      </w:r>
      <w:r w:rsidRPr="00D764E9">
        <w:t>）</w:t>
      </w:r>
    </w:p>
    <w:p w14:paraId="03A89D98" w14:textId="3D5F90C7" w:rsidR="00582EA8" w:rsidRPr="00D764E9" w:rsidRDefault="00151FB3" w:rsidP="00DA2867">
      <w:pPr>
        <w:spacing w:afterLines="50" w:after="156"/>
        <w:ind w:firstLineChars="0" w:firstLine="0"/>
        <w:rPr>
          <w:rFonts w:ascii="SimSun" w:hAnsi="SimSun"/>
        </w:rPr>
      </w:pPr>
      <w:r>
        <w:t>w</w:t>
      </w:r>
      <w:r w:rsidR="005C4623" w:rsidRPr="00D764E9">
        <w:t>here</w:t>
      </w:r>
      <w:r w:rsidR="00ED4258">
        <w:rPr>
          <w:i/>
        </w:rPr>
        <w:t xml:space="preserve"> </w:t>
      </w:r>
      <w:r w:rsidR="007B2D13" w:rsidRPr="00DA2867">
        <w:rPr>
          <w:i/>
        </w:rPr>
        <w:t>E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 xml:space="preserve">is the </w:t>
      </w:r>
      <w:r w:rsidR="000E2630">
        <w:t>PP</w:t>
      </w:r>
      <w:r w:rsidR="007B2D13" w:rsidRPr="00D764E9">
        <w:t xml:space="preserve"> of</w:t>
      </w:r>
      <w:r w:rsidR="007C36F6">
        <w:t xml:space="preserve"> the</w:t>
      </w:r>
      <w:r w:rsidR="007B2D13" w:rsidRPr="00D764E9">
        <w:t xml:space="preserve"> improvement indicator (strategy). The larger the </w:t>
      </w:r>
      <w:r w:rsidR="007B2D13" w:rsidRPr="00DA2867">
        <w:rPr>
          <w:i/>
        </w:rPr>
        <w:t>E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>value, the greater the potential improvement performance of</w:t>
      </w:r>
      <w:r w:rsidR="007C36F6">
        <w:t xml:space="preserve"> the</w:t>
      </w:r>
      <w:r w:rsidR="007B2D13" w:rsidRPr="00D764E9">
        <w:t xml:space="preserve"> corresponding strategy and the higher the precedence. </w:t>
      </w:r>
      <w:r w:rsidR="007B2D13" w:rsidRPr="00DA2867">
        <w:rPr>
          <w:i/>
        </w:rPr>
        <w:t>I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 xml:space="preserve">is the function coefficient of each indicator, including direct and indirect functions, which can be gained from SEM. The larger the function coefficient, the greater the indicator importance. </w:t>
      </w:r>
      <w:r w:rsidR="007B2D13" w:rsidRPr="00DA2867">
        <w:rPr>
          <w:i/>
        </w:rPr>
        <w:t>P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>is the average value of each indicator</w:t>
      </w:r>
      <w:r>
        <w:t>’</w:t>
      </w:r>
      <w:r w:rsidR="007B2D13" w:rsidRPr="00D764E9">
        <w:t>s passenger satisfaction, ranging from 1</w:t>
      </w:r>
      <w:r w:rsidR="00CD182C">
        <w:t xml:space="preserve"> to </w:t>
      </w:r>
      <w:r w:rsidR="007B2D13" w:rsidRPr="00D764E9">
        <w:t>L</w:t>
      </w:r>
      <w:r w:rsidR="007B2D13" w:rsidRPr="00D764E9">
        <w:rPr>
          <w:vertAlign w:val="subscript"/>
        </w:rPr>
        <w:t>max</w:t>
      </w:r>
      <w:r w:rsidR="007B2D13" w:rsidRPr="00DA2867">
        <w:t>,</w:t>
      </w:r>
      <w:r w:rsidR="007B2D13" w:rsidRPr="00D764E9">
        <w:t xml:space="preserve"> in which L</w:t>
      </w:r>
      <w:r w:rsidR="007B2D13" w:rsidRPr="00D764E9">
        <w:rPr>
          <w:vertAlign w:val="subscript"/>
        </w:rPr>
        <w:t>max</w:t>
      </w:r>
      <w:r w:rsidR="007B2D13" w:rsidRPr="00D764E9">
        <w:t xml:space="preserve"> is the maximum value of </w:t>
      </w:r>
      <w:r w:rsidR="00CD182C">
        <w:t xml:space="preserve">the </w:t>
      </w:r>
      <w:r w:rsidR="007B2D13" w:rsidRPr="00D764E9">
        <w:t>Likert scale. L</w:t>
      </w:r>
      <w:r w:rsidR="007B2D13" w:rsidRPr="00D764E9">
        <w:rPr>
          <w:vertAlign w:val="subscript"/>
        </w:rPr>
        <w:t>max</w:t>
      </w:r>
      <w:r>
        <w:rPr>
          <w:rFonts w:cs="Times New Roman"/>
        </w:rPr>
        <w:t>–</w:t>
      </w:r>
      <w:r w:rsidR="007B2D13" w:rsidRPr="00D764E9">
        <w:t>P</w:t>
      </w:r>
      <w:r w:rsidR="007B2D13" w:rsidRPr="00D764E9">
        <w:rPr>
          <w:vertAlign w:val="subscript"/>
        </w:rPr>
        <w:t xml:space="preserve">k </w:t>
      </w:r>
      <w:r w:rsidR="007C36F6">
        <w:t>denotes</w:t>
      </w:r>
      <w:r w:rsidR="007B2D13" w:rsidRPr="00D764E9">
        <w:t xml:space="preserve"> the improvement potential, urgency</w:t>
      </w:r>
      <w:r>
        <w:t>,</w:t>
      </w:r>
      <w:r w:rsidR="007B2D13" w:rsidRPr="00D764E9">
        <w:t xml:space="preserve"> and difficulty. </w:t>
      </w:r>
      <w:r w:rsidR="00A5054B">
        <w:t>According to</w:t>
      </w:r>
      <w:r w:rsidR="007B2D13" w:rsidRPr="00D764E9">
        <w:t xml:space="preserve"> barrel theory, the larger </w:t>
      </w:r>
      <w:r>
        <w:t xml:space="preserve">the </w:t>
      </w:r>
      <w:r w:rsidR="007B2D13" w:rsidRPr="00D764E9">
        <w:t xml:space="preserve">value, the shorter the short plate. </w:t>
      </w:r>
      <w:r w:rsidR="00A5054B">
        <w:t xml:space="preserve">Thus, </w:t>
      </w:r>
      <w:r w:rsidR="007B2D13" w:rsidRPr="00D764E9">
        <w:t xml:space="preserve">improvement is urgent. The larger the value, the </w:t>
      </w:r>
      <w:r w:rsidR="007C36F6">
        <w:t>higher</w:t>
      </w:r>
      <w:r w:rsidR="007C36F6" w:rsidRPr="00D764E9">
        <w:t xml:space="preserve"> </w:t>
      </w:r>
      <w:r w:rsidR="007B2D13" w:rsidRPr="00D764E9">
        <w:t xml:space="preserve">the potential. </w:t>
      </w:r>
      <w:r>
        <w:lastRenderedPageBreak/>
        <w:t xml:space="preserve">A small </w:t>
      </w:r>
      <w:r w:rsidR="007B2D13" w:rsidRPr="00D764E9">
        <w:t>value indicates that the indicator has a high score</w:t>
      </w:r>
      <w:r w:rsidR="00A5054B">
        <w:t>,</w:t>
      </w:r>
      <w:r w:rsidR="007B2D13" w:rsidRPr="00D764E9">
        <w:t xml:space="preserve"> is close to the maximum value</w:t>
      </w:r>
      <w:r w:rsidR="00A5054B">
        <w:t>,</w:t>
      </w:r>
      <w:r w:rsidR="007B2D13" w:rsidRPr="00D764E9">
        <w:t xml:space="preserve"> and </w:t>
      </w:r>
      <w:r w:rsidR="00A5054B">
        <w:t>has</w:t>
      </w:r>
      <w:r w:rsidR="00A5054B" w:rsidRPr="00D764E9">
        <w:t xml:space="preserve"> </w:t>
      </w:r>
      <w:r w:rsidR="007C36F6">
        <w:t>substantial</w:t>
      </w:r>
      <w:r w:rsidR="007C36F6" w:rsidRPr="00D764E9">
        <w:t xml:space="preserve"> </w:t>
      </w:r>
      <w:r w:rsidR="007B2D13" w:rsidRPr="00D764E9">
        <w:t>improvement difficulty</w:t>
      </w:r>
      <w:r w:rsidR="007C36F6">
        <w:t>. T</w:t>
      </w:r>
      <w:r w:rsidR="007B2D13" w:rsidRPr="00D764E9">
        <w:t>he higher the passenger</w:t>
      </w:r>
      <w:r w:rsidR="00A5054B">
        <w:t>’</w:t>
      </w:r>
      <w:r w:rsidR="007B2D13" w:rsidRPr="00D764E9">
        <w:t xml:space="preserve">s score on the indicators, which is close to the full score, the more difficult </w:t>
      </w:r>
      <w:r w:rsidR="007C36F6">
        <w:t>the</w:t>
      </w:r>
      <w:r w:rsidR="007B2D13" w:rsidRPr="00D764E9">
        <w:t xml:space="preserve"> improve</w:t>
      </w:r>
      <w:r w:rsidR="007C36F6">
        <w:t>ment of</w:t>
      </w:r>
      <w:r w:rsidR="007B2D13" w:rsidRPr="00D764E9">
        <w:t xml:space="preserve"> the score. </w:t>
      </w:r>
      <w:r w:rsidR="007B2D13" w:rsidRPr="00DA2867">
        <w:rPr>
          <w:i/>
        </w:rPr>
        <w:t>d</w:t>
      </w:r>
      <w:r w:rsidR="007B2D13" w:rsidRPr="00D764E9">
        <w:t xml:space="preserve"> represents the improvement uncertainty in the form of the indicator</w:t>
      </w:r>
      <w:r>
        <w:t>’</w:t>
      </w:r>
      <w:r w:rsidR="007B2D13" w:rsidRPr="00D764E9">
        <w:t>s variation coefficient</w:t>
      </w:r>
      <w:r w:rsidR="007C36F6">
        <w:t>, which is</w:t>
      </w:r>
      <w:r w:rsidR="007B2D13" w:rsidRPr="00D764E9">
        <w:t xml:space="preserve"> the ratio of the standard deviation</w:t>
      </w:r>
      <w:r w:rsidR="007B2D13" w:rsidRPr="00DA2867">
        <w:rPr>
          <w:i/>
        </w:rPr>
        <w:t xml:space="preserve"> σ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 xml:space="preserve">to the average satisfaction score </w:t>
      </w:r>
      <w:r w:rsidR="007B2D13" w:rsidRPr="00DA2867">
        <w:rPr>
          <w:i/>
        </w:rPr>
        <w:t>P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>of the indicator</w:t>
      </w:r>
      <w:r w:rsidR="00A5054B">
        <w:t>’</w:t>
      </w:r>
      <w:r w:rsidR="007B2D13" w:rsidRPr="00D764E9">
        <w:t xml:space="preserve">s service quality perception. The larger the variation coefficient, the larger the uncertainty of the improvement effect. </w:t>
      </w:r>
      <w:r w:rsidR="007B2D13" w:rsidRPr="00DA2867">
        <w:rPr>
          <w:i/>
        </w:rPr>
        <w:t>σ</w:t>
      </w:r>
      <w:r w:rsidR="007B2D13" w:rsidRPr="00DA2867">
        <w:rPr>
          <w:i/>
          <w:vertAlign w:val="subscript"/>
        </w:rPr>
        <w:t>k</w:t>
      </w:r>
      <w:r w:rsidR="007B2D13" w:rsidRPr="00D764E9">
        <w:rPr>
          <w:vertAlign w:val="subscript"/>
        </w:rPr>
        <w:t xml:space="preserve"> </w:t>
      </w:r>
      <w:r w:rsidR="007B2D13" w:rsidRPr="00D764E9">
        <w:t>is the discrete degree of the passenger</w:t>
      </w:r>
      <w:r w:rsidR="007C36F6">
        <w:t>s</w:t>
      </w:r>
      <w:r>
        <w:t>’</w:t>
      </w:r>
      <w:r w:rsidR="007B2D13" w:rsidRPr="00D764E9">
        <w:t xml:space="preserve"> subjective understanding. </w:t>
      </w:r>
      <w:r>
        <w:t xml:space="preserve">A </w:t>
      </w:r>
      <w:r w:rsidR="007B2D13" w:rsidRPr="00D764E9">
        <w:t xml:space="preserve">large value means that passengers do not reach </w:t>
      </w:r>
      <w:r w:rsidR="007C36F6">
        <w:t>a</w:t>
      </w:r>
      <w:r w:rsidR="007B2D13" w:rsidRPr="00D764E9">
        <w:t xml:space="preserve"> consensus on such indicator</w:t>
      </w:r>
      <w:r>
        <w:t>’</w:t>
      </w:r>
      <w:r w:rsidR="007B2D13" w:rsidRPr="00D764E9">
        <w:t>s satisfaction</w:t>
      </w:r>
      <w:r w:rsidR="007C36F6">
        <w:t xml:space="preserve"> and the </w:t>
      </w:r>
      <w:r w:rsidR="007B2D13" w:rsidRPr="00D764E9">
        <w:t>group</w:t>
      </w:r>
      <w:r>
        <w:t>’</w:t>
      </w:r>
      <w:r w:rsidR="007B2D13" w:rsidRPr="00D764E9">
        <w:t xml:space="preserve">s uncertainty is significant. </w:t>
      </w:r>
      <w:r w:rsidR="000E2630">
        <w:t>A d</w:t>
      </w:r>
      <w:r w:rsidR="007B2D13" w:rsidRPr="00D764E9">
        <w:t xml:space="preserve">enominator is </w:t>
      </w:r>
      <w:r w:rsidR="000E2630">
        <w:t xml:space="preserve">used </w:t>
      </w:r>
      <w:r w:rsidR="007B2D13" w:rsidRPr="00D764E9">
        <w:t xml:space="preserve">to eliminate the differences between </w:t>
      </w:r>
      <w:r w:rsidR="007C36F6" w:rsidRPr="00D764E9">
        <w:t xml:space="preserve">and increase the comparability of </w:t>
      </w:r>
      <w:r w:rsidR="007C36F6">
        <w:t>various</w:t>
      </w:r>
      <w:r w:rsidR="007C36F6" w:rsidRPr="00D764E9">
        <w:t xml:space="preserve"> </w:t>
      </w:r>
      <w:r w:rsidR="007B2D13" w:rsidRPr="00D764E9">
        <w:t>indicators.</w:t>
      </w:r>
    </w:p>
    <w:p w14:paraId="76B290A7" w14:textId="77777777" w:rsidR="00864AC5" w:rsidRPr="00D764E9" w:rsidRDefault="00864AC5" w:rsidP="00417BDA">
      <w:pPr>
        <w:spacing w:afterLines="50" w:after="156"/>
        <w:ind w:firstLine="480"/>
        <w:rPr>
          <w:rFonts w:ascii="SimSun" w:hAnsi="SimSun"/>
        </w:rPr>
      </w:pPr>
    </w:p>
    <w:p w14:paraId="3B645EF7" w14:textId="7B951FFA" w:rsidR="00864AC5" w:rsidRPr="00D764E9" w:rsidRDefault="00864AC5" w:rsidP="00417BDA">
      <w:pPr>
        <w:pStyle w:val="Heading3"/>
        <w:spacing w:afterLines="50" w:after="156"/>
        <w:rPr>
          <w:b/>
        </w:rPr>
      </w:pPr>
      <w:r w:rsidRPr="00D764E9">
        <w:rPr>
          <w:bCs w:val="0"/>
          <w:szCs w:val="22"/>
        </w:rPr>
        <w:t xml:space="preserve">3.2.3 </w:t>
      </w:r>
      <w:r w:rsidRPr="00D764E9">
        <w:rPr>
          <w:bCs w:val="0"/>
        </w:rPr>
        <w:t>Comparative analysis between IPA and PP method</w:t>
      </w:r>
      <w:r w:rsidR="007C36F6">
        <w:rPr>
          <w:bCs w:val="0"/>
        </w:rPr>
        <w:t>s</w:t>
      </w:r>
    </w:p>
    <w:p w14:paraId="149BECCB" w14:textId="77777777" w:rsidR="00864AC5" w:rsidRPr="00D764E9" w:rsidRDefault="00864AC5" w:rsidP="00417BDA">
      <w:pPr>
        <w:spacing w:afterLines="50" w:after="156"/>
        <w:ind w:firstLine="480"/>
      </w:pPr>
    </w:p>
    <w:p w14:paraId="3CD7F107" w14:textId="48FE0AD0" w:rsidR="00355D99" w:rsidRPr="00D764E9" w:rsidRDefault="004B7DBB" w:rsidP="00417BDA">
      <w:pPr>
        <w:spacing w:afterLines="50" w:after="156"/>
        <w:ind w:firstLine="480"/>
      </w:pPr>
      <w:r w:rsidRPr="00D764E9">
        <w:t xml:space="preserve">Comparative analysis </w:t>
      </w:r>
      <w:r w:rsidR="007C36F6">
        <w:t xml:space="preserve">was performed </w:t>
      </w:r>
      <w:r w:rsidRPr="00D764E9">
        <w:t xml:space="preserve">between </w:t>
      </w:r>
      <w:r w:rsidR="007C36F6">
        <w:t xml:space="preserve">the </w:t>
      </w:r>
      <w:r w:rsidRPr="00D764E9">
        <w:t>IPA and PP method</w:t>
      </w:r>
      <w:r w:rsidR="00151FB3">
        <w:t>s</w:t>
      </w:r>
      <w:r w:rsidRPr="00D764E9">
        <w:t xml:space="preserve"> to </w:t>
      </w:r>
      <w:r w:rsidR="007C36F6">
        <w:t>identify</w:t>
      </w:r>
      <w:r w:rsidRPr="00D764E9">
        <w:t xml:space="preserve"> </w:t>
      </w:r>
      <w:r w:rsidR="00151FB3">
        <w:t>the</w:t>
      </w:r>
      <w:r w:rsidR="007C36F6">
        <w:t>ir</w:t>
      </w:r>
      <w:r w:rsidR="00151FB3">
        <w:t xml:space="preserve"> </w:t>
      </w:r>
      <w:r w:rsidRPr="00D764E9">
        <w:t>advantages and shortcomings</w:t>
      </w:r>
      <w:r w:rsidR="00151FB3">
        <w:t xml:space="preserve"> </w:t>
      </w:r>
      <w:r w:rsidRPr="00D764E9">
        <w:t xml:space="preserve">and verify whether </w:t>
      </w:r>
      <w:r w:rsidR="008D000F">
        <w:t xml:space="preserve">the </w:t>
      </w:r>
      <w:r w:rsidRPr="00D764E9">
        <w:t xml:space="preserve">PP method overcomes </w:t>
      </w:r>
      <w:r w:rsidR="008D000F">
        <w:t xml:space="preserve">the </w:t>
      </w:r>
      <w:r w:rsidRPr="00D764E9">
        <w:t xml:space="preserve">defects </w:t>
      </w:r>
      <w:r w:rsidR="008D000F">
        <w:t xml:space="preserve">of </w:t>
      </w:r>
      <w:r w:rsidR="008D000F" w:rsidRPr="00D764E9">
        <w:t>IPA</w:t>
      </w:r>
      <w:r w:rsidRPr="00D764E9">
        <w:t xml:space="preserve">. </w:t>
      </w:r>
      <w:r w:rsidR="00A578EC">
        <w:t>The adopted a</w:t>
      </w:r>
      <w:r w:rsidRPr="00D764E9">
        <w:t xml:space="preserve">nalysis method </w:t>
      </w:r>
      <w:r w:rsidR="00A578EC">
        <w:t xml:space="preserve">was </w:t>
      </w:r>
      <w:r w:rsidRPr="00D764E9">
        <w:t xml:space="preserve">oriented by the model result differences of the same data. The analysis data </w:t>
      </w:r>
      <w:r w:rsidR="00A578EC">
        <w:t>used</w:t>
      </w:r>
      <w:r w:rsidRPr="00D764E9">
        <w:t xml:space="preserve"> the</w:t>
      </w:r>
      <w:r w:rsidR="00A578EC">
        <w:t xml:space="preserve"> 2017</w:t>
      </w:r>
      <w:r w:rsidRPr="00D764E9">
        <w:t xml:space="preserve"> satisfaction data of Wuhan rail transit. </w:t>
      </w:r>
      <w:r w:rsidR="00A578EC">
        <w:t>The f</w:t>
      </w:r>
      <w:r w:rsidRPr="00D764E9">
        <w:t>actor indicators</w:t>
      </w:r>
      <w:r w:rsidR="003F43E8">
        <w:t>’</w:t>
      </w:r>
      <w:r w:rsidRPr="00D764E9">
        <w:t xml:space="preserve"> weight</w:t>
      </w:r>
      <w:r w:rsidR="00A578EC">
        <w:t>s</w:t>
      </w:r>
      <w:r w:rsidRPr="00D764E9">
        <w:t xml:space="preserve"> </w:t>
      </w:r>
      <w:r w:rsidR="00A578EC">
        <w:t xml:space="preserve">under </w:t>
      </w:r>
      <w:r w:rsidRPr="00D764E9">
        <w:t>the PP and IPA method</w:t>
      </w:r>
      <w:r w:rsidR="00B27853">
        <w:t>s</w:t>
      </w:r>
      <w:r w:rsidRPr="00D764E9">
        <w:t xml:space="preserve"> </w:t>
      </w:r>
      <w:r w:rsidR="00A578EC">
        <w:t>we</w:t>
      </w:r>
      <w:r w:rsidR="00B27853">
        <w:t>re</w:t>
      </w:r>
      <w:r w:rsidR="00B27853" w:rsidRPr="00D764E9">
        <w:t xml:space="preserve"> </w:t>
      </w:r>
      <w:r w:rsidRPr="00D764E9">
        <w:t>mainly determined by SEM.</w:t>
      </w:r>
    </w:p>
    <w:p w14:paraId="434665BF" w14:textId="743D122C" w:rsidR="00864AC5" w:rsidRPr="00D764E9" w:rsidRDefault="00B82921" w:rsidP="00417BDA">
      <w:pPr>
        <w:spacing w:afterLines="50" w:after="156"/>
        <w:ind w:firstLine="480"/>
      </w:pPr>
      <w:r w:rsidRPr="00D764E9">
        <w:t>Model results adopt</w:t>
      </w:r>
      <w:r w:rsidR="00A578EC">
        <w:t>ed</w:t>
      </w:r>
      <w:r w:rsidRPr="00D764E9">
        <w:t xml:space="preserve"> the performance value predicted by SEM and the </w:t>
      </w:r>
      <w:r w:rsidR="000E2630">
        <w:t>PP</w:t>
      </w:r>
      <w:r w:rsidRPr="00D764E9">
        <w:t xml:space="preserve"> value established in this </w:t>
      </w:r>
      <w:r w:rsidR="00A578EC">
        <w:t>research</w:t>
      </w:r>
      <w:r w:rsidRPr="00D764E9">
        <w:t>.</w:t>
      </w:r>
    </w:p>
    <w:p w14:paraId="7EBA1FCF" w14:textId="77777777" w:rsidR="00700038" w:rsidRPr="00D764E9" w:rsidRDefault="00155E7F" w:rsidP="00417BDA">
      <w:pPr>
        <w:pStyle w:val="Heading1"/>
        <w:spacing w:before="0" w:beforeAutospacing="0" w:afterLines="50" w:after="156" w:afterAutospacing="0"/>
      </w:pPr>
      <w:r w:rsidRPr="00D764E9">
        <w:t xml:space="preserve">4. Results and analysis </w:t>
      </w:r>
    </w:p>
    <w:p w14:paraId="456336B8" w14:textId="65EF0CE8" w:rsidR="00700038" w:rsidRPr="00D764E9" w:rsidRDefault="00990ABD" w:rsidP="00417BDA">
      <w:pPr>
        <w:pStyle w:val="Heading2"/>
        <w:spacing w:before="0" w:beforeAutospacing="0" w:afterLines="50" w:after="156" w:afterAutospacing="0"/>
        <w:rPr>
          <w:b w:val="0"/>
        </w:rPr>
      </w:pPr>
      <w:r w:rsidRPr="00D764E9">
        <w:rPr>
          <w:b w:val="0"/>
          <w:bCs w:val="0"/>
        </w:rPr>
        <w:t>4.1. Factor weight</w:t>
      </w:r>
      <w:r w:rsidR="00A578EC">
        <w:rPr>
          <w:b w:val="0"/>
          <w:bCs w:val="0"/>
        </w:rPr>
        <w:t>s</w:t>
      </w:r>
      <w:r w:rsidRPr="00D764E9">
        <w:rPr>
          <w:b w:val="0"/>
          <w:bCs w:val="0"/>
        </w:rPr>
        <w:t xml:space="preserve"> </w:t>
      </w:r>
    </w:p>
    <w:p w14:paraId="0A3707B0" w14:textId="732F4F66" w:rsidR="00431ED2" w:rsidRPr="00D764E9" w:rsidRDefault="00431ED2" w:rsidP="00417BDA">
      <w:pPr>
        <w:spacing w:afterLines="50" w:after="156"/>
        <w:ind w:firstLine="480"/>
      </w:pPr>
      <w:r w:rsidRPr="00D764E9">
        <w:t xml:space="preserve">SEM </w:t>
      </w:r>
      <w:r w:rsidR="00B27853">
        <w:t>was</w:t>
      </w:r>
      <w:r w:rsidR="00B27853" w:rsidRPr="00D764E9">
        <w:t xml:space="preserve"> </w:t>
      </w:r>
      <w:r w:rsidRPr="00D764E9">
        <w:t xml:space="preserve">established on the </w:t>
      </w:r>
      <w:r w:rsidR="00A578EC">
        <w:t xml:space="preserve">basis of the </w:t>
      </w:r>
      <w:r w:rsidRPr="00D764E9">
        <w:t xml:space="preserve">relationship of each indicator and </w:t>
      </w:r>
      <w:r w:rsidR="00B56189">
        <w:t xml:space="preserve">the </w:t>
      </w:r>
      <w:r w:rsidRPr="00D764E9">
        <w:t xml:space="preserve">corresponding potential variables </w:t>
      </w:r>
      <w:r w:rsidR="00B56189">
        <w:t xml:space="preserve">presented </w:t>
      </w:r>
      <w:r w:rsidRPr="00D764E9">
        <w:t xml:space="preserve">in Table 2. Partial least squares estimators </w:t>
      </w:r>
      <w:r w:rsidR="00B27853">
        <w:t>were</w:t>
      </w:r>
      <w:r w:rsidR="00B27853" w:rsidRPr="00D764E9">
        <w:t xml:space="preserve"> </w:t>
      </w:r>
      <w:r w:rsidRPr="00D764E9">
        <w:t xml:space="preserve">adopted, and parameter estimation and effect inspection </w:t>
      </w:r>
      <w:r w:rsidR="00B27853">
        <w:t>were</w:t>
      </w:r>
      <w:r w:rsidR="00B27853" w:rsidRPr="00D764E9">
        <w:t xml:space="preserve"> </w:t>
      </w:r>
      <w:r w:rsidRPr="00D764E9">
        <w:t>implemented through</w:t>
      </w:r>
      <w:r w:rsidR="00A578EC">
        <w:t xml:space="preserve"> the software</w:t>
      </w:r>
      <w:r w:rsidRPr="00D764E9">
        <w:t xml:space="preserve"> IBM SPSS </w:t>
      </w:r>
      <w:r w:rsidR="00B56189">
        <w:t>Amos</w:t>
      </w:r>
      <w:r w:rsidRPr="00D764E9">
        <w:t xml:space="preserve">. SEM standardized estimation </w:t>
      </w:r>
      <w:r w:rsidR="00B27853">
        <w:t>was</w:t>
      </w:r>
      <w:r w:rsidR="00B27853" w:rsidRPr="00D764E9">
        <w:t xml:space="preserve"> </w:t>
      </w:r>
      <w:r w:rsidRPr="00D764E9">
        <w:t xml:space="preserve">then </w:t>
      </w:r>
      <w:r w:rsidR="00A578EC">
        <w:t>executed</w:t>
      </w:r>
      <w:r w:rsidR="00B27853">
        <w:t>,</w:t>
      </w:r>
      <w:r w:rsidRPr="00D764E9">
        <w:t xml:space="preserve"> </w:t>
      </w:r>
      <w:r w:rsidR="00B27853">
        <w:t xml:space="preserve">as shown in </w:t>
      </w:r>
      <w:r w:rsidRPr="00D764E9">
        <w:t>Table 1.</w:t>
      </w:r>
    </w:p>
    <w:p w14:paraId="7C2EB26A" w14:textId="5EA1A4C0" w:rsidR="00431ED2" w:rsidRPr="00D764E9" w:rsidRDefault="00431ED2" w:rsidP="00417BDA">
      <w:pPr>
        <w:spacing w:afterLines="50" w:after="156"/>
        <w:ind w:firstLine="480"/>
      </w:pPr>
      <w:r w:rsidRPr="00D764E9">
        <w:t xml:space="preserve">In the SEM, </w:t>
      </w:r>
      <w:r w:rsidR="00B56189">
        <w:t xml:space="preserve">the </w:t>
      </w:r>
      <w:r w:rsidR="00B56189" w:rsidRPr="00D764E9">
        <w:t xml:space="preserve">importance </w:t>
      </w:r>
      <w:r w:rsidR="00B56189">
        <w:t xml:space="preserve">of </w:t>
      </w:r>
      <w:r w:rsidRPr="00D764E9">
        <w:t xml:space="preserve">each factor indicator </w:t>
      </w:r>
      <w:r w:rsidR="00B27853">
        <w:t>was</w:t>
      </w:r>
      <w:r w:rsidRPr="00D764E9">
        <w:t xml:space="preserve"> concluded through </w:t>
      </w:r>
      <w:r w:rsidR="00A578EC">
        <w:t xml:space="preserve">the </w:t>
      </w:r>
      <w:r w:rsidRPr="00D764E9">
        <w:t xml:space="preserve">combination and normalization of the relationship between each factor and overall passenger satisfaction </w:t>
      </w:r>
      <w:r w:rsidR="00570AAC">
        <w:t>and</w:t>
      </w:r>
      <w:r w:rsidRPr="00D764E9">
        <w:t xml:space="preserve"> the consideration of direct and indirect impacts.</w:t>
      </w:r>
    </w:p>
    <w:p w14:paraId="267F97A7" w14:textId="77777777" w:rsidR="000A02B2" w:rsidRPr="00D764E9" w:rsidRDefault="00FD084D" w:rsidP="00417BDA">
      <w:pPr>
        <w:spacing w:afterLines="50" w:after="156"/>
        <w:ind w:firstLineChars="0" w:firstLine="0"/>
        <w:jc w:val="center"/>
      </w:pPr>
      <w:r w:rsidRPr="00D764E9">
        <w:object w:dxaOrig="15436" w:dyaOrig="10156" w14:anchorId="2D40B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3.05pt" o:ole="">
            <v:imagedata r:id="rId10" o:title=""/>
          </v:shape>
          <o:OLEObject Type="Embed" ProgID="Visio.Drawing.15" ShapeID="_x0000_i1025" DrawAspect="Content" ObjectID="_1593008405" r:id="rId11"/>
        </w:object>
      </w:r>
    </w:p>
    <w:p w14:paraId="07E9A0FC" w14:textId="77777777" w:rsidR="000A02B2" w:rsidRPr="00D764E9" w:rsidRDefault="000A02B2" w:rsidP="00417BDA">
      <w:pPr>
        <w:spacing w:afterLines="50" w:after="156"/>
        <w:ind w:firstLineChars="0" w:firstLine="0"/>
        <w:jc w:val="center"/>
        <w:rPr>
          <w:b/>
          <w:sz w:val="21"/>
        </w:rPr>
      </w:pPr>
      <w:r w:rsidRPr="00D764E9">
        <w:rPr>
          <w:b/>
          <w:bCs/>
          <w:sz w:val="21"/>
        </w:rPr>
        <w:t>Table 1</w:t>
      </w:r>
      <w:r w:rsidRPr="00D764E9">
        <w:rPr>
          <w:b/>
          <w:bCs/>
          <w:sz w:val="21"/>
        </w:rPr>
        <w:tab/>
        <w:t>SEM parameter estimation results</w:t>
      </w:r>
    </w:p>
    <w:p w14:paraId="28D1A9AE" w14:textId="7A3A2FEA" w:rsidR="0070241D" w:rsidRPr="00D764E9" w:rsidRDefault="00B56189" w:rsidP="00417BDA">
      <w:pPr>
        <w:spacing w:afterLines="50" w:after="156"/>
        <w:ind w:firstLine="480"/>
      </w:pPr>
      <w:r>
        <w:t>The m</w:t>
      </w:r>
      <w:r w:rsidR="00034BA9" w:rsidRPr="00D764E9">
        <w:t xml:space="preserve">atrix form of </w:t>
      </w:r>
      <w:r w:rsidR="00570AAC">
        <w:t xml:space="preserve">the </w:t>
      </w:r>
      <w:r w:rsidR="00034BA9" w:rsidRPr="00D764E9">
        <w:t>SEM path graph can be represented as</w:t>
      </w:r>
      <w:r>
        <w:t xml:space="preserve"> follows</w:t>
      </w:r>
      <w:r w:rsidR="00034BA9" w:rsidRPr="00D764E9">
        <w:t>:</w:t>
      </w:r>
    </w:p>
    <w:p w14:paraId="0E6752A7" w14:textId="254D1FDE" w:rsidR="0070241D" w:rsidRPr="00D764E9" w:rsidRDefault="006F20BB" w:rsidP="00417BDA">
      <w:pPr>
        <w:spacing w:afterLines="50" w:after="156"/>
        <w:ind w:firstLine="480"/>
        <w:jc w:val="right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η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</m:mr>
        </m:m>
        <m:r>
          <w:rPr>
            <w:rFonts w:ascii="Cambria Math" w:eastAsia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="Cambria Math" w:hAnsi="Cambria Math" w:cs="Cambria Math"/>
          </w:rPr>
          <m:t>+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</m:e>
              </m:mr>
              <m:mr>
                <m:e/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0.26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0.89</m:t>
                  </m:r>
                </m:e>
              </m:mr>
              <m:mr>
                <m:e/>
              </m:mr>
            </m:m>
          </m:e>
        </m:d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ξ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6A6A82" w:rsidRPr="00D764E9">
        <w:rPr>
          <w:rFonts w:eastAsia="Cambria Math" w:cs="Cambria Math"/>
        </w:rPr>
        <w:tab/>
      </w:r>
      <w:r w:rsidR="006A6A82" w:rsidRPr="00D764E9">
        <w:rPr>
          <w:rFonts w:eastAsia="Cambria Math" w:cs="Cambria Math"/>
        </w:rPr>
        <w:tab/>
      </w:r>
      <w:r w:rsidR="00570AAC">
        <w:rPr>
          <w:rFonts w:eastAsia="Cambria Math" w:cs="Cambria Math"/>
        </w:rPr>
        <w:t>,</w:t>
      </w:r>
      <w:r w:rsidR="006A6A82" w:rsidRPr="00D764E9">
        <w:rPr>
          <w:rFonts w:eastAsia="Cambria Math" w:cs="Cambria Math"/>
        </w:rPr>
        <w:tab/>
        <w:t>(6)</w:t>
      </w:r>
    </w:p>
    <w:p w14:paraId="2CDA8D5D" w14:textId="77777777" w:rsidR="00424893" w:rsidRPr="00D764E9" w:rsidRDefault="00424893" w:rsidP="00417BDA">
      <w:pPr>
        <w:spacing w:afterLines="50" w:after="156"/>
        <w:ind w:firstLine="480"/>
      </w:pPr>
    </w:p>
    <w:p w14:paraId="576DE134" w14:textId="1ACC44DE" w:rsidR="000108CC" w:rsidRPr="00D764E9" w:rsidRDefault="006F20BB" w:rsidP="00417BDA">
      <w:pPr>
        <w:spacing w:afterLines="50" w:after="156"/>
        <w:ind w:firstLine="48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70AAC">
        <w:t>,</w:t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</w:r>
      <w:r w:rsidR="006A6A82" w:rsidRPr="00D764E9">
        <w:tab/>
        <w:t>(7)</w:t>
      </w:r>
    </w:p>
    <w:p w14:paraId="2D657F7A" w14:textId="77777777" w:rsidR="00424893" w:rsidRPr="00D764E9" w:rsidRDefault="00424893" w:rsidP="00417BDA">
      <w:pPr>
        <w:spacing w:afterLines="50" w:after="156"/>
        <w:ind w:firstLine="480"/>
      </w:pPr>
    </w:p>
    <w:p w14:paraId="29D84144" w14:textId="26A35D64" w:rsidR="000108CC" w:rsidRPr="00D764E9" w:rsidRDefault="006F20BB" w:rsidP="00417BDA">
      <w:pPr>
        <w:spacing w:afterLines="50" w:after="156"/>
        <w:ind w:firstLine="480"/>
        <w:jc w:val="right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="Cambria Math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0.24</m:t>
                  </m:r>
                </m:e>
                <m:e/>
                <m:e/>
                <m:e/>
                <m:e/>
              </m:mr>
              <m:mr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0.69</m:t>
                  </m:r>
                </m:e>
                <m:e/>
                <m:e/>
                <m:e/>
              </m:mr>
              <m:mr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0.81</m:t>
                  </m:r>
                </m:e>
                <m:e/>
                <m:e/>
                <m:e/>
              </m:mr>
              <m:mr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0.85</m:t>
                  </m:r>
                </m:e>
                <m:e/>
                <m:e/>
              </m:mr>
              <m:mr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0.92</m:t>
                  </m:r>
                </m:e>
                <m:e/>
                <m:e/>
              </m:mr>
              <m:mr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0.75</m:t>
                  </m:r>
                </m:e>
                <m:e/>
                <m:e/>
              </m:mr>
              <m:mr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0.67</m:t>
                  </m:r>
                </m:e>
                <m:e/>
                <m:e/>
              </m:mr>
              <m:mr>
                <m:e/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0.87</m:t>
                  </m:r>
                </m:e>
                <m:e/>
              </m:mr>
              <m:mr>
                <m:e/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0.87</m:t>
                  </m:r>
                </m:e>
                <m:e/>
              </m:mr>
              <m:mr>
                <m:e/>
                <m:e/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0.89</m:t>
                  </m:r>
                </m:e>
              </m:mr>
              <m:mr>
                <m:e/>
                <m:e/>
                <m:e/>
                <m:e/>
                <m:e>
                  <m:r>
                    <w:rPr>
                      <w:rFonts w:ascii="Cambria Math" w:eastAsia="Cambria Math" w:hAnsi="Cambria Math" w:cs="Cambria Math"/>
                    </w:rPr>
                    <m:t>0.98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 w:rsidR="00B56189">
        <w:rPr>
          <w:rFonts w:eastAsia="Cambria Math" w:cs="Cambria Math"/>
        </w:rPr>
        <w:t>.</w:t>
      </w:r>
      <w:r w:rsidR="006A6A82" w:rsidRPr="00D764E9">
        <w:rPr>
          <w:rFonts w:eastAsia="Cambria Math" w:cs="Cambria Math"/>
        </w:rPr>
        <w:tab/>
      </w:r>
      <w:r w:rsidR="006A6A82" w:rsidRPr="00D764E9">
        <w:rPr>
          <w:rFonts w:eastAsia="Cambria Math" w:cs="Cambria Math"/>
        </w:rPr>
        <w:tab/>
      </w:r>
      <w:r w:rsidR="006A6A82" w:rsidRPr="00D764E9">
        <w:rPr>
          <w:rFonts w:eastAsia="Cambria Math" w:cs="Cambria Math"/>
        </w:rPr>
        <w:tab/>
        <w:t>(8)</w:t>
      </w:r>
    </w:p>
    <w:p w14:paraId="684C8E4A" w14:textId="77777777" w:rsidR="00A16CC6" w:rsidRPr="00D764E9" w:rsidRDefault="00A16CC6" w:rsidP="00417BDA">
      <w:pPr>
        <w:spacing w:afterLines="50" w:after="156"/>
        <w:ind w:firstLine="480"/>
      </w:pPr>
    </w:p>
    <w:p w14:paraId="5BFB9CC0" w14:textId="3EF5C8D9" w:rsidR="00A16CC6" w:rsidRPr="00D764E9" w:rsidRDefault="00570AAC" w:rsidP="00417BDA">
      <w:pPr>
        <w:spacing w:afterLines="50" w:after="156"/>
        <w:ind w:firstLine="480"/>
      </w:pPr>
      <w:r>
        <w:t>Through the combination of</w:t>
      </w:r>
      <w:r w:rsidR="00A16CC6" w:rsidRPr="00D764E9">
        <w:t xml:space="preserve"> </w:t>
      </w:r>
      <w:r w:rsidR="00B56189">
        <w:t xml:space="preserve">Equations </w:t>
      </w:r>
      <w:r w:rsidR="00A16CC6" w:rsidRPr="00D764E9">
        <w:t>(6), (7)</w:t>
      </w:r>
      <w:r>
        <w:t>,</w:t>
      </w:r>
      <w:r w:rsidR="00A16CC6" w:rsidRPr="00D764E9">
        <w:t xml:space="preserve"> and (8) without </w:t>
      </w:r>
      <w:r>
        <w:t>consideration for</w:t>
      </w:r>
      <w:r w:rsidR="00A16CC6" w:rsidRPr="00D764E9">
        <w:t xml:space="preserve"> </w:t>
      </w:r>
      <w:r w:rsidR="00A16CC6" w:rsidRPr="00D764E9">
        <w:lastRenderedPageBreak/>
        <w:t xml:space="preserve">errors, </w:t>
      </w:r>
      <w:r w:rsidR="00B56189">
        <w:t xml:space="preserve">the </w:t>
      </w:r>
      <w:r w:rsidR="00A16CC6" w:rsidRPr="00D764E9">
        <w:t xml:space="preserve">overall satisfaction </w:t>
      </w:r>
      <w:r w:rsidR="00A16CC6" w:rsidRPr="00DA2867">
        <w:rPr>
          <w:i/>
        </w:rPr>
        <w:t>y</w:t>
      </w:r>
      <w:r w:rsidR="00A16CC6" w:rsidRPr="00DA2867">
        <w:rPr>
          <w:i/>
          <w:vertAlign w:val="subscript"/>
        </w:rPr>
        <w:t>1</w:t>
      </w:r>
      <w:r w:rsidR="00A16CC6" w:rsidRPr="00D764E9">
        <w:rPr>
          <w:vertAlign w:val="subscript"/>
        </w:rPr>
        <w:t xml:space="preserve"> </w:t>
      </w:r>
      <w:r w:rsidR="00A16CC6" w:rsidRPr="00D764E9">
        <w:t xml:space="preserve">can be represented by </w:t>
      </w:r>
      <w:r w:rsidR="00A16CC6" w:rsidRPr="00DA2867">
        <w:rPr>
          <w:i/>
        </w:rPr>
        <w:t>x</w:t>
      </w:r>
      <w:r w:rsidR="00A16CC6" w:rsidRPr="00DA2867">
        <w:rPr>
          <w:i/>
          <w:vertAlign w:val="subscript"/>
        </w:rPr>
        <w:t>1</w:t>
      </w:r>
      <w:r w:rsidR="00A16CC6" w:rsidRPr="00D764E9">
        <w:rPr>
          <w:vertAlign w:val="subscript"/>
        </w:rPr>
        <w:t xml:space="preserve"> </w:t>
      </w:r>
      <w:r w:rsidR="00A16CC6" w:rsidRPr="00D764E9">
        <w:t xml:space="preserve">and </w:t>
      </w:r>
      <w:r w:rsidR="00D90236" w:rsidRPr="00DA2867">
        <w:rPr>
          <w:i/>
        </w:rPr>
        <w:fldChar w:fldCharType="begin"/>
      </w:r>
      <w:r w:rsidR="00D90236" w:rsidRPr="00DA2867">
        <w:rPr>
          <w:i/>
        </w:rPr>
        <w:fldChar w:fldCharType="end"/>
      </w:r>
      <w:r w:rsidR="00A16CC6" w:rsidRPr="00DA2867">
        <w:rPr>
          <w:i/>
        </w:rPr>
        <w:t>y</w:t>
      </w:r>
      <w:r w:rsidR="00A16CC6" w:rsidRPr="00DA2867">
        <w:rPr>
          <w:i/>
          <w:vertAlign w:val="subscript"/>
        </w:rPr>
        <w:t>i</w:t>
      </w:r>
      <w:r w:rsidR="00A16CC6" w:rsidRPr="00D764E9">
        <w:t xml:space="preserve"> in many expressions, among which </w:t>
      </w:r>
      <w:r>
        <w:t>those</w:t>
      </w:r>
      <w:r w:rsidR="00A16CC6" w:rsidRPr="00D764E9">
        <w:t xml:space="preserve"> with </w:t>
      </w:r>
      <w:r>
        <w:t>numerous</w:t>
      </w:r>
      <w:r w:rsidRPr="00D764E9">
        <w:t xml:space="preserve"> </w:t>
      </w:r>
      <w:r w:rsidR="00A16CC6" w:rsidRPr="00D764E9">
        <w:t xml:space="preserve">observational variables are </w:t>
      </w:r>
      <w:r w:rsidR="00B27853">
        <w:t xml:space="preserve">expressed in Equation </w:t>
      </w:r>
      <w:r w:rsidR="00A16CC6" w:rsidRPr="00D764E9">
        <w:t>(9)</w:t>
      </w:r>
      <w:r>
        <w:t>.</w:t>
      </w:r>
    </w:p>
    <w:p w14:paraId="5EB952DB" w14:textId="7626F18A" w:rsidR="00A16CC6" w:rsidRPr="00D764E9" w:rsidRDefault="006F20BB" w:rsidP="00417BDA">
      <w:pPr>
        <w:spacing w:afterLines="50" w:after="156"/>
        <w:ind w:firstLine="48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=0.24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1.29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+0.94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+1.1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r>
              <w:rPr>
                <w:rFonts w:ascii="Cambria Math" w:hAnsi="Cambria Math"/>
              </w:rPr>
              <m:t>+1.1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+0.2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6A6A82" w:rsidRPr="00D764E9">
        <w:tab/>
      </w:r>
      <w:r w:rsidR="006A6A82" w:rsidRPr="00D764E9">
        <w:tab/>
        <w:t>(9)</w:t>
      </w:r>
    </w:p>
    <w:p w14:paraId="06AC84FD" w14:textId="6FFC7B4A" w:rsidR="00FA3A72" w:rsidRPr="00D764E9" w:rsidRDefault="00B56189" w:rsidP="00417BDA">
      <w:pPr>
        <w:spacing w:afterLines="50" w:after="156"/>
        <w:ind w:firstLine="480"/>
      </w:pPr>
      <w:r>
        <w:t>The f</w:t>
      </w:r>
      <w:r w:rsidR="00C90A39" w:rsidRPr="00D764E9">
        <w:t xml:space="preserve">it index of SEM is </w:t>
      </w:r>
      <w:r>
        <w:t xml:space="preserve">an </w:t>
      </w:r>
      <w:r w:rsidR="00C90A39" w:rsidRPr="00D764E9">
        <w:t xml:space="preserve">important indicator </w:t>
      </w:r>
      <w:r w:rsidR="00B27853">
        <w:t xml:space="preserve">in </w:t>
      </w:r>
      <w:r w:rsidR="00570AAC">
        <w:t>evaluating</w:t>
      </w:r>
      <w:r w:rsidR="00C90A39" w:rsidRPr="00D764E9">
        <w:t xml:space="preserve"> the fitness of </w:t>
      </w:r>
      <w:r>
        <w:t xml:space="preserve">a </w:t>
      </w:r>
      <w:r w:rsidR="00C90A39" w:rsidRPr="00D764E9">
        <w:t>model and data. Five indicators</w:t>
      </w:r>
      <w:r>
        <w:t>,</w:t>
      </w:r>
      <w:r w:rsidR="00C90A39" w:rsidRPr="00D764E9">
        <w:t xml:space="preserve"> </w:t>
      </w:r>
      <w:r>
        <w:t xml:space="preserve">namely, </w:t>
      </w:r>
      <w:r w:rsidR="00B27853">
        <w:t>g</w:t>
      </w:r>
      <w:r w:rsidR="00C90A39" w:rsidRPr="00D764E9">
        <w:t>oodness</w:t>
      </w:r>
      <w:r w:rsidR="00B27853">
        <w:t>-</w:t>
      </w:r>
      <w:r w:rsidR="00C90A39" w:rsidRPr="00D764E9">
        <w:t>of</w:t>
      </w:r>
      <w:r w:rsidR="00B27853">
        <w:t>-f</w:t>
      </w:r>
      <w:r w:rsidR="00C90A39" w:rsidRPr="00D764E9">
        <w:t xml:space="preserve">it </w:t>
      </w:r>
      <w:r w:rsidR="00B27853">
        <w:t>i</w:t>
      </w:r>
      <w:r w:rsidR="00C90A39" w:rsidRPr="00D764E9">
        <w:t>ndex</w:t>
      </w:r>
      <w:r w:rsidRPr="00B56189">
        <w:t xml:space="preserve"> </w:t>
      </w:r>
      <w:r>
        <w:t>(</w:t>
      </w:r>
      <w:r w:rsidRPr="00D764E9">
        <w:t>GFI</w:t>
      </w:r>
      <w:r w:rsidR="00C90A39" w:rsidRPr="00D764E9">
        <w:t xml:space="preserve">), </w:t>
      </w:r>
      <w:commentRangeStart w:id="22"/>
      <w:r w:rsidR="00B27853">
        <w:t>r</w:t>
      </w:r>
      <w:r w:rsidR="00B27853" w:rsidRPr="00B27853">
        <w:t>oot mean square residual</w:t>
      </w:r>
      <w:r w:rsidR="00B27853" w:rsidRPr="00B27853" w:rsidDel="00B27853">
        <w:t xml:space="preserve"> </w:t>
      </w:r>
      <w:commentRangeEnd w:id="22"/>
      <w:r w:rsidR="00B27853">
        <w:rPr>
          <w:rStyle w:val="CommentReference"/>
        </w:rPr>
        <w:commentReference w:id="22"/>
      </w:r>
      <w:r>
        <w:t>(RMR</w:t>
      </w:r>
      <w:r w:rsidR="00C90A39" w:rsidRPr="00D764E9">
        <w:t>), adjusted goodness-of-fit index</w:t>
      </w:r>
      <w:r w:rsidRPr="00B56189">
        <w:t xml:space="preserve"> </w:t>
      </w:r>
      <w:r>
        <w:t>(</w:t>
      </w:r>
      <w:r w:rsidRPr="00D764E9">
        <w:t>AGFI</w:t>
      </w:r>
      <w:r w:rsidR="00C90A39" w:rsidRPr="00D764E9">
        <w:t xml:space="preserve">), </w:t>
      </w:r>
      <w:r w:rsidR="00B27853">
        <w:t>n</w:t>
      </w:r>
      <w:r w:rsidR="00C90A39" w:rsidRPr="00D764E9">
        <w:t xml:space="preserve">ormed </w:t>
      </w:r>
      <w:r w:rsidR="00B27853">
        <w:t>f</w:t>
      </w:r>
      <w:r w:rsidR="00C90A39" w:rsidRPr="00D764E9">
        <w:t xml:space="preserve">it </w:t>
      </w:r>
      <w:r w:rsidR="00B27853">
        <w:t>i</w:t>
      </w:r>
      <w:r w:rsidR="00C90A39" w:rsidRPr="00D764E9">
        <w:t>ndex</w:t>
      </w:r>
      <w:r w:rsidRPr="00B56189">
        <w:t xml:space="preserve"> </w:t>
      </w:r>
      <w:r>
        <w:t>(</w:t>
      </w:r>
      <w:r w:rsidRPr="00D764E9">
        <w:t>NFI</w:t>
      </w:r>
      <w:r w:rsidR="00C90A39" w:rsidRPr="00D764E9">
        <w:t xml:space="preserve">), </w:t>
      </w:r>
      <w:r>
        <w:t xml:space="preserve">and </w:t>
      </w:r>
      <w:r w:rsidR="00C90A39" w:rsidRPr="00D764E9">
        <w:t>relative fit index</w:t>
      </w:r>
      <w:r>
        <w:t>,</w:t>
      </w:r>
      <w:r w:rsidR="00C90A39" w:rsidRPr="00D764E9">
        <w:t xml:space="preserve"> </w:t>
      </w:r>
      <w:r w:rsidR="00570AAC">
        <w:t>we</w:t>
      </w:r>
      <w:r w:rsidR="00C90A39" w:rsidRPr="00D764E9">
        <w:t xml:space="preserve">re adopted to evaluate the model fitness with reference to relevant research </w:t>
      </w:r>
      <w:r w:rsidR="00D90236" w:rsidRPr="00D764E9">
        <w:fldChar w:fldCharType="begin"/>
      </w:r>
      <w:r w:rsidR="00C90A39" w:rsidRPr="00D764E9">
        <w:instrText xml:space="preserve"> ADDIN NE.Ref.{B9FFE527-F3E8-42EE-B773-3EBF3DDE77EE}</w:instrText>
      </w:r>
      <w:r w:rsidR="00D90236" w:rsidRPr="00D764E9">
        <w:fldChar w:fldCharType="separate"/>
      </w:r>
      <w:r w:rsidR="00C90A39" w:rsidRPr="00D764E9">
        <w:rPr>
          <w:color w:val="0080FF"/>
          <w:kern w:val="0"/>
          <w:szCs w:val="24"/>
        </w:rPr>
        <w:t>(Browne and Cudeck 1993; Hooper et al. 2008; Steiger 1990; Vandenberg and Lance 2000)</w:t>
      </w:r>
      <w:r w:rsidR="00D90236" w:rsidRPr="00D764E9">
        <w:fldChar w:fldCharType="end"/>
      </w:r>
      <w:r w:rsidR="00C90A39" w:rsidRPr="00D764E9">
        <w:t>. The results are shown in Table 3.</w:t>
      </w:r>
    </w:p>
    <w:p w14:paraId="237680D4" w14:textId="430CBB47" w:rsidR="000A02B2" w:rsidRPr="00D764E9" w:rsidRDefault="000A02B2" w:rsidP="00417BDA">
      <w:pPr>
        <w:spacing w:afterLines="50" w:after="156"/>
        <w:ind w:firstLineChars="0" w:firstLine="0"/>
        <w:jc w:val="center"/>
        <w:rPr>
          <w:b/>
          <w:sz w:val="21"/>
        </w:rPr>
      </w:pPr>
      <w:commentRangeStart w:id="23"/>
      <w:r w:rsidRPr="00D764E9">
        <w:rPr>
          <w:b/>
          <w:bCs/>
          <w:sz w:val="21"/>
        </w:rPr>
        <w:t xml:space="preserve">Table 3 SEM </w:t>
      </w:r>
      <w:r w:rsidR="00B27853">
        <w:rPr>
          <w:b/>
          <w:bCs/>
          <w:sz w:val="21"/>
        </w:rPr>
        <w:t>m</w:t>
      </w:r>
      <w:r w:rsidRPr="00D764E9">
        <w:rPr>
          <w:b/>
          <w:bCs/>
          <w:sz w:val="21"/>
        </w:rPr>
        <w:t xml:space="preserve">odel </w:t>
      </w:r>
      <w:r w:rsidR="00B27853">
        <w:rPr>
          <w:b/>
          <w:bCs/>
          <w:sz w:val="21"/>
        </w:rPr>
        <w:t>f</w:t>
      </w:r>
      <w:r w:rsidRPr="00D764E9">
        <w:rPr>
          <w:b/>
          <w:bCs/>
          <w:sz w:val="21"/>
        </w:rPr>
        <w:t xml:space="preserve">itness </w:t>
      </w:r>
      <w:r w:rsidR="00B27853">
        <w:rPr>
          <w:b/>
          <w:bCs/>
          <w:sz w:val="21"/>
        </w:rPr>
        <w:t>i</w:t>
      </w:r>
      <w:r w:rsidRPr="00D764E9">
        <w:rPr>
          <w:b/>
          <w:bCs/>
          <w:sz w:val="21"/>
        </w:rPr>
        <w:t xml:space="preserve">ndicator and </w:t>
      </w:r>
      <w:r w:rsidR="00B27853">
        <w:rPr>
          <w:b/>
          <w:bCs/>
          <w:sz w:val="21"/>
        </w:rPr>
        <w:t>i</w:t>
      </w:r>
      <w:r w:rsidRPr="00D764E9">
        <w:rPr>
          <w:b/>
          <w:bCs/>
          <w:sz w:val="21"/>
        </w:rPr>
        <w:t>nspection</w:t>
      </w:r>
      <w:commentRangeEnd w:id="23"/>
      <w:r w:rsidR="00B27853">
        <w:rPr>
          <w:rStyle w:val="CommentReference"/>
        </w:rPr>
        <w:commentReference w:id="23"/>
      </w:r>
    </w:p>
    <w:tbl>
      <w:tblPr>
        <w:tblStyle w:val="TableGrid"/>
        <w:tblW w:w="7928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</w:tblGrid>
      <w:tr w:rsidR="00620951" w:rsidRPr="00D764E9" w14:paraId="4D2131BC" w14:textId="77777777" w:rsidTr="008771FC">
        <w:trPr>
          <w:jc w:val="center"/>
        </w:trPr>
        <w:tc>
          <w:tcPr>
            <w:tcW w:w="1132" w:type="dxa"/>
            <w:tcBorders>
              <w:bottom w:val="single" w:sz="4" w:space="0" w:color="auto"/>
              <w:right w:val="nil"/>
            </w:tcBorders>
          </w:tcPr>
          <w:p w14:paraId="14391138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Indicator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5660C4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GFI</w:t>
            </w:r>
          </w:p>
        </w:tc>
        <w:tc>
          <w:tcPr>
            <w:tcW w:w="113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CB2DB9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RMR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A5E90D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AGFI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EA5F34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NFI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5332AC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IFI</w:t>
            </w:r>
          </w:p>
        </w:tc>
        <w:tc>
          <w:tcPr>
            <w:tcW w:w="1133" w:type="dxa"/>
            <w:tcBorders>
              <w:left w:val="nil"/>
              <w:bottom w:val="single" w:sz="4" w:space="0" w:color="auto"/>
            </w:tcBorders>
            <w:vAlign w:val="center"/>
          </w:tcPr>
          <w:p w14:paraId="1CCBAFBA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CFI</w:t>
            </w:r>
          </w:p>
        </w:tc>
      </w:tr>
      <w:tr w:rsidR="00620951" w:rsidRPr="00D764E9" w14:paraId="6EC5DA6E" w14:textId="77777777" w:rsidTr="008771FC">
        <w:trPr>
          <w:jc w:val="center"/>
        </w:trPr>
        <w:tc>
          <w:tcPr>
            <w:tcW w:w="1132" w:type="dxa"/>
            <w:tcBorders>
              <w:top w:val="single" w:sz="4" w:space="0" w:color="auto"/>
              <w:right w:val="nil"/>
            </w:tcBorders>
          </w:tcPr>
          <w:p w14:paraId="0D7DD7DC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Results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</w:tcPr>
          <w:p w14:paraId="2FCECF3E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0.965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right w:val="nil"/>
            </w:tcBorders>
          </w:tcPr>
          <w:p w14:paraId="2BF13978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0.020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right w:val="nil"/>
            </w:tcBorders>
          </w:tcPr>
          <w:p w14:paraId="6036700E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0.948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right w:val="nil"/>
            </w:tcBorders>
          </w:tcPr>
          <w:p w14:paraId="2375C385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0.941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right w:val="nil"/>
            </w:tcBorders>
          </w:tcPr>
          <w:p w14:paraId="77DA9782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0.942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</w:tcBorders>
          </w:tcPr>
          <w:p w14:paraId="17F36066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0.942</w:t>
            </w:r>
          </w:p>
        </w:tc>
      </w:tr>
      <w:tr w:rsidR="00620951" w:rsidRPr="00D764E9" w14:paraId="79D593EC" w14:textId="77777777" w:rsidTr="008771FC">
        <w:trPr>
          <w:jc w:val="center"/>
        </w:trPr>
        <w:tc>
          <w:tcPr>
            <w:tcW w:w="1132" w:type="dxa"/>
            <w:tcBorders>
              <w:right w:val="nil"/>
            </w:tcBorders>
          </w:tcPr>
          <w:p w14:paraId="3759A2B3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Judging standards</w:t>
            </w:r>
          </w:p>
        </w:tc>
        <w:tc>
          <w:tcPr>
            <w:tcW w:w="1132" w:type="dxa"/>
            <w:tcBorders>
              <w:left w:val="nil"/>
              <w:right w:val="nil"/>
            </w:tcBorders>
          </w:tcPr>
          <w:p w14:paraId="04C386DF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&gt;0.90</w:t>
            </w:r>
          </w:p>
        </w:tc>
        <w:tc>
          <w:tcPr>
            <w:tcW w:w="1132" w:type="dxa"/>
            <w:tcBorders>
              <w:left w:val="nil"/>
              <w:right w:val="nil"/>
            </w:tcBorders>
          </w:tcPr>
          <w:p w14:paraId="5C19C452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&lt;0.05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638D572D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&gt;0.90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40564DF0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&gt;0.90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49F8BBF1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&gt;0.90</w:t>
            </w:r>
          </w:p>
        </w:tc>
        <w:tc>
          <w:tcPr>
            <w:tcW w:w="1133" w:type="dxa"/>
            <w:tcBorders>
              <w:left w:val="nil"/>
            </w:tcBorders>
          </w:tcPr>
          <w:p w14:paraId="664ED887" w14:textId="77777777" w:rsidR="00620951" w:rsidRPr="00D764E9" w:rsidRDefault="00620951" w:rsidP="00417BDA">
            <w:pPr>
              <w:pStyle w:val="a1"/>
              <w:spacing w:afterLines="50" w:after="156"/>
            </w:pPr>
            <w:r w:rsidRPr="00D764E9">
              <w:t>&gt;0.90</w:t>
            </w:r>
          </w:p>
        </w:tc>
      </w:tr>
    </w:tbl>
    <w:p w14:paraId="1198BF9F" w14:textId="77777777" w:rsidR="00620951" w:rsidRPr="00D764E9" w:rsidRDefault="00620951" w:rsidP="00417BDA">
      <w:pPr>
        <w:spacing w:afterLines="50" w:after="156"/>
        <w:ind w:firstLine="480"/>
      </w:pPr>
    </w:p>
    <w:p w14:paraId="2BFBE60B" w14:textId="2D2EDD7B" w:rsidR="002968FF" w:rsidRPr="00D764E9" w:rsidRDefault="00B56189" w:rsidP="00417BDA">
      <w:pPr>
        <w:spacing w:afterLines="50" w:after="156"/>
        <w:ind w:firstLine="480"/>
      </w:pPr>
      <w:r>
        <w:t xml:space="preserve">As shown in </w:t>
      </w:r>
      <w:r w:rsidR="00BA4CE8" w:rsidRPr="00D764E9">
        <w:t>Table 3</w:t>
      </w:r>
      <w:r>
        <w:t>,</w:t>
      </w:r>
      <w:r w:rsidR="00BA4CE8" w:rsidRPr="00D764E9">
        <w:t xml:space="preserve"> the </w:t>
      </w:r>
      <w:r>
        <w:t xml:space="preserve">five </w:t>
      </w:r>
      <w:r w:rsidR="00BA4CE8" w:rsidRPr="00D764E9">
        <w:t xml:space="preserve">model fitness indicators all satisfy the </w:t>
      </w:r>
      <w:r w:rsidR="00570AAC">
        <w:t>evaluation</w:t>
      </w:r>
      <w:r w:rsidR="00570AAC" w:rsidRPr="00D764E9">
        <w:t xml:space="preserve"> </w:t>
      </w:r>
      <w:r w:rsidR="00BA4CE8" w:rsidRPr="00D764E9">
        <w:t xml:space="preserve">standards. Therefore, such model and observational data are </w:t>
      </w:r>
      <w:r w:rsidR="00570AAC">
        <w:t>important</w:t>
      </w:r>
      <w:r w:rsidR="00BA4CE8" w:rsidRPr="00D764E9">
        <w:t>.</w:t>
      </w:r>
    </w:p>
    <w:p w14:paraId="79B4FF12" w14:textId="316673E4" w:rsidR="00FA5518" w:rsidRPr="00D764E9" w:rsidRDefault="00990ABD" w:rsidP="00417BDA">
      <w:pPr>
        <w:pStyle w:val="Heading2"/>
        <w:spacing w:before="0" w:beforeAutospacing="0" w:afterLines="50" w:after="156" w:afterAutospacing="0"/>
        <w:rPr>
          <w:b w:val="0"/>
        </w:rPr>
      </w:pPr>
      <w:commentRangeStart w:id="24"/>
      <w:r w:rsidRPr="00D764E9">
        <w:rPr>
          <w:b w:val="0"/>
          <w:bCs w:val="0"/>
        </w:rPr>
        <w:t>4.2.</w:t>
      </w:r>
      <w:r w:rsidR="006E7C56">
        <w:rPr>
          <w:b w:val="0"/>
          <w:bCs w:val="0"/>
        </w:rPr>
        <w:t xml:space="preserve"> </w:t>
      </w:r>
      <w:r w:rsidRPr="00D764E9">
        <w:rPr>
          <w:b w:val="0"/>
          <w:bCs w:val="0"/>
        </w:rPr>
        <w:t xml:space="preserve">Strategic </w:t>
      </w:r>
      <w:r w:rsidR="00B56189">
        <w:rPr>
          <w:b w:val="0"/>
          <w:bCs w:val="0"/>
        </w:rPr>
        <w:t>r</w:t>
      </w:r>
      <w:r w:rsidRPr="00D764E9">
        <w:rPr>
          <w:b w:val="0"/>
          <w:bCs w:val="0"/>
        </w:rPr>
        <w:t xml:space="preserve">anking and </w:t>
      </w:r>
      <w:r w:rsidR="00B56189">
        <w:rPr>
          <w:b w:val="0"/>
          <w:bCs w:val="0"/>
        </w:rPr>
        <w:t>a</w:t>
      </w:r>
      <w:r w:rsidRPr="00D764E9">
        <w:rPr>
          <w:b w:val="0"/>
          <w:bCs w:val="0"/>
        </w:rPr>
        <w:t xml:space="preserve">nalysis based on </w:t>
      </w:r>
      <w:r w:rsidR="000E2630">
        <w:rPr>
          <w:b w:val="0"/>
          <w:bCs w:val="0"/>
        </w:rPr>
        <w:t>PP</w:t>
      </w:r>
      <w:r w:rsidRPr="00D764E9">
        <w:rPr>
          <w:b w:val="0"/>
          <w:bCs w:val="0"/>
        </w:rPr>
        <w:t xml:space="preserve"> </w:t>
      </w:r>
      <w:commentRangeEnd w:id="24"/>
      <w:r w:rsidR="00FC15D2">
        <w:rPr>
          <w:rStyle w:val="CommentReference"/>
          <w:rFonts w:cstheme="minorBidi"/>
          <w:b w:val="0"/>
          <w:bCs w:val="0"/>
        </w:rPr>
        <w:commentReference w:id="24"/>
      </w:r>
    </w:p>
    <w:p w14:paraId="2FAA55E4" w14:textId="2AFED533" w:rsidR="00D65004" w:rsidRPr="00D764E9" w:rsidRDefault="00884A4C" w:rsidP="00417BDA">
      <w:pPr>
        <w:spacing w:afterLines="50" w:after="156"/>
        <w:ind w:firstLine="480"/>
      </w:pPr>
      <w:r w:rsidRPr="00D764E9">
        <w:t xml:space="preserve">In </w:t>
      </w:r>
      <w:r w:rsidR="00B56189">
        <w:t xml:space="preserve">the </w:t>
      </w:r>
      <w:r w:rsidRPr="00D764E9">
        <w:t xml:space="preserve">IPA method, each satisfaction indicator is distributed in different quadrants, which can serve as the classification basis of service quality improvement strategies. However, </w:t>
      </w:r>
      <w:r w:rsidR="00B56189">
        <w:t xml:space="preserve">the </w:t>
      </w:r>
      <w:r w:rsidRPr="00D764E9">
        <w:t xml:space="preserve">improvement precedence </w:t>
      </w:r>
      <w:r w:rsidR="00B56189">
        <w:t>of each indicator</w:t>
      </w:r>
      <w:r w:rsidR="00B56189" w:rsidRPr="00D764E9">
        <w:t xml:space="preserve"> </w:t>
      </w:r>
      <w:r w:rsidRPr="00D764E9">
        <w:t xml:space="preserve">in the same quadrant cannot be </w:t>
      </w:r>
      <w:r w:rsidR="00C17376">
        <w:t>evaluated</w:t>
      </w:r>
      <w:r w:rsidR="00C17376" w:rsidRPr="00D764E9">
        <w:t xml:space="preserve"> </w:t>
      </w:r>
      <w:r w:rsidRPr="00D764E9">
        <w:t xml:space="preserve">through </w:t>
      </w:r>
      <w:r w:rsidR="00B56189">
        <w:t xml:space="preserve">the </w:t>
      </w:r>
      <w:r w:rsidRPr="00D764E9">
        <w:t xml:space="preserve">IPA method. </w:t>
      </w:r>
      <w:r w:rsidR="00B56189">
        <w:t>The</w:t>
      </w:r>
      <w:r w:rsidR="00C17376">
        <w:t xml:space="preserve"> PP-based</w:t>
      </w:r>
      <w:r w:rsidR="00B56189">
        <w:t xml:space="preserve"> i</w:t>
      </w:r>
      <w:r w:rsidRPr="00D764E9">
        <w:t xml:space="preserve">mprovement strategy ranking method </w:t>
      </w:r>
      <w:r w:rsidR="00C17376">
        <w:t>proposed in this work</w:t>
      </w:r>
      <w:r w:rsidRPr="00D764E9">
        <w:t xml:space="preserve"> is based on the average evaluation value of </w:t>
      </w:r>
      <w:r w:rsidR="00B56189">
        <w:t xml:space="preserve">the </w:t>
      </w:r>
      <w:r w:rsidR="00B56189" w:rsidRPr="00D764E9">
        <w:t xml:space="preserve">satisfaction </w:t>
      </w:r>
      <w:r w:rsidR="00B56189">
        <w:t xml:space="preserve">of </w:t>
      </w:r>
      <w:r w:rsidRPr="00D764E9">
        <w:t xml:space="preserve">each indicator and </w:t>
      </w:r>
      <w:r w:rsidR="00C17376">
        <w:t>proposes</w:t>
      </w:r>
      <w:r w:rsidRPr="00D764E9">
        <w:t xml:space="preserve"> the </w:t>
      </w:r>
      <w:r w:rsidR="000E2630">
        <w:t xml:space="preserve">PP </w:t>
      </w:r>
      <w:r w:rsidRPr="00D764E9">
        <w:t xml:space="preserve">concept. </w:t>
      </w:r>
      <w:r w:rsidR="000E2630">
        <w:t>The PP</w:t>
      </w:r>
      <w:r w:rsidRPr="00D764E9">
        <w:t xml:space="preserve"> value is determined through </w:t>
      </w:r>
      <w:r w:rsidR="00B56189">
        <w:t xml:space="preserve">the </w:t>
      </w:r>
      <w:r w:rsidRPr="00D764E9">
        <w:t>importance and correlations</w:t>
      </w:r>
      <w:r w:rsidR="00B56189">
        <w:t xml:space="preserve"> of each indicator</w:t>
      </w:r>
      <w:r w:rsidRPr="00D764E9">
        <w:t xml:space="preserve">. </w:t>
      </w:r>
      <w:r w:rsidR="00B56189">
        <w:t xml:space="preserve">The </w:t>
      </w:r>
      <w:r w:rsidR="00C17376">
        <w:t>evaluation</w:t>
      </w:r>
      <w:r w:rsidRPr="00D764E9">
        <w:t xml:space="preserve"> standards of a single composite variable </w:t>
      </w:r>
      <w:r w:rsidR="00B56189">
        <w:t xml:space="preserve">are also </w:t>
      </w:r>
      <w:r w:rsidRPr="00D764E9">
        <w:t xml:space="preserve">determined. </w:t>
      </w:r>
      <w:r w:rsidR="00B56189">
        <w:t xml:space="preserve">The </w:t>
      </w:r>
      <w:r w:rsidR="000E2630">
        <w:t>PP</w:t>
      </w:r>
      <w:r w:rsidRPr="00D764E9">
        <w:t xml:space="preserve"> analysis figure shown in Figure 4 </w:t>
      </w:r>
      <w:r w:rsidR="00C17376">
        <w:t xml:space="preserve">was </w:t>
      </w:r>
      <w:r w:rsidRPr="00D764E9">
        <w:t xml:space="preserve">established with the </w:t>
      </w:r>
      <w:r w:rsidR="000E2630">
        <w:t>PP</w:t>
      </w:r>
      <w:r w:rsidRPr="00D764E9">
        <w:t xml:space="preserve"> value of each satisfaction indicator ranking from the highest to the lowest </w:t>
      </w:r>
      <w:r w:rsidR="00C17376">
        <w:t>for an enhanced</w:t>
      </w:r>
      <w:r w:rsidRPr="00D764E9">
        <w:t xml:space="preserve"> comparison with </w:t>
      </w:r>
      <w:r w:rsidR="00B56189">
        <w:t xml:space="preserve">the </w:t>
      </w:r>
      <w:r w:rsidRPr="00D764E9">
        <w:t>IPA results. We divide</w:t>
      </w:r>
      <w:r w:rsidR="00FC15D2">
        <w:t>d</w:t>
      </w:r>
      <w:r w:rsidRPr="00D764E9">
        <w:t xml:space="preserve"> the indicator into three sections </w:t>
      </w:r>
      <w:r w:rsidR="00A866FD">
        <w:t xml:space="preserve">through </w:t>
      </w:r>
      <w:r w:rsidRPr="00D764E9">
        <w:t>the inflexion of the potential utility value curve.</w:t>
      </w:r>
      <w:r w:rsidRPr="00D764E9">
        <w:rPr>
          <w:rStyle w:val="FootnoteReference"/>
          <w:vertAlign w:val="baseline"/>
        </w:rPr>
        <w:sym w:font="Symbol" w:char="F02A"/>
      </w:r>
    </w:p>
    <w:p w14:paraId="34ADEB83" w14:textId="30D199B1" w:rsidR="00030424" w:rsidRPr="00D764E9" w:rsidRDefault="00C17376" w:rsidP="00417BDA">
      <w:pPr>
        <w:spacing w:afterLines="50" w:after="156"/>
        <w:ind w:firstLine="480"/>
      </w:pPr>
      <w:r>
        <w:t>S</w:t>
      </w:r>
      <w:r w:rsidR="00D65004" w:rsidRPr="00D764E9">
        <w:t>ection</w:t>
      </w:r>
      <w:r>
        <w:t>s I (three indicators included), II (four indicators included), and III</w:t>
      </w:r>
      <w:r w:rsidR="00D65004" w:rsidRPr="00D764E9">
        <w:t xml:space="preserve"> </w:t>
      </w:r>
      <w:r>
        <w:t>were named “</w:t>
      </w:r>
      <w:r w:rsidR="00D65004" w:rsidRPr="00D764E9">
        <w:t>improvements in dire need</w:t>
      </w:r>
      <w:r>
        <w:t>,</w:t>
      </w:r>
      <w:r w:rsidR="00D65004" w:rsidRPr="00D764E9">
        <w:t xml:space="preserve">” </w:t>
      </w:r>
      <w:r>
        <w:t>”</w:t>
      </w:r>
      <w:r w:rsidR="00D65004" w:rsidRPr="00D764E9">
        <w:t>improvements in secondary need</w:t>
      </w:r>
      <w:r>
        <w:t>,” and ”</w:t>
      </w:r>
      <w:r w:rsidR="00D65004" w:rsidRPr="00D764E9">
        <w:t>improvements with no need</w:t>
      </w:r>
      <w:r>
        <w:t>.”</w:t>
      </w:r>
    </w:p>
    <w:p w14:paraId="0F30D8B5" w14:textId="5FA83ABB" w:rsidR="0030757D" w:rsidRPr="00D764E9" w:rsidRDefault="0030757D" w:rsidP="00417BDA">
      <w:pPr>
        <w:spacing w:afterLines="50" w:after="156"/>
        <w:ind w:firstLineChars="0" w:firstLine="0"/>
        <w:jc w:val="center"/>
        <w:rPr>
          <w:b/>
          <w:sz w:val="21"/>
        </w:rPr>
      </w:pPr>
      <w:r w:rsidRPr="00D764E9">
        <w:rPr>
          <w:b/>
          <w:bCs/>
          <w:sz w:val="21"/>
        </w:rPr>
        <w:t>Table 4</w:t>
      </w:r>
      <w:r w:rsidRPr="00D764E9">
        <w:rPr>
          <w:b/>
          <w:bCs/>
          <w:sz w:val="21"/>
        </w:rPr>
        <w:tab/>
      </w:r>
      <w:r w:rsidR="000E2630">
        <w:rPr>
          <w:b/>
          <w:bCs/>
          <w:sz w:val="21"/>
        </w:rPr>
        <w:t>PP</w:t>
      </w:r>
      <w:r w:rsidRPr="00D764E9">
        <w:rPr>
          <w:b/>
          <w:bCs/>
          <w:sz w:val="21"/>
        </w:rPr>
        <w:t xml:space="preserve"> calculation of satisfaction indicator</w:t>
      </w:r>
      <w:r w:rsidR="00790F67">
        <w:rPr>
          <w:b/>
          <w:bCs/>
          <w:sz w:val="21"/>
        </w:rPr>
        <w:t>s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8"/>
        <w:gridCol w:w="1209"/>
        <w:gridCol w:w="1160"/>
        <w:gridCol w:w="1192"/>
        <w:gridCol w:w="1192"/>
        <w:gridCol w:w="1511"/>
      </w:tblGrid>
      <w:tr w:rsidR="006668B4" w:rsidRPr="00D764E9" w14:paraId="42F46112" w14:textId="77777777" w:rsidTr="005E3B4A">
        <w:trPr>
          <w:trHeight w:val="301"/>
          <w:jc w:val="center"/>
        </w:trPr>
        <w:tc>
          <w:tcPr>
            <w:tcW w:w="2136" w:type="dxa"/>
            <w:tcBorders>
              <w:bottom w:val="single" w:sz="4" w:space="0" w:color="auto"/>
              <w:right w:val="nil"/>
            </w:tcBorders>
          </w:tcPr>
          <w:p w14:paraId="5FF6629B" w14:textId="77777777" w:rsidR="006668B4" w:rsidRPr="00D764E9" w:rsidRDefault="006668B4" w:rsidP="00417BDA">
            <w:pPr>
              <w:pStyle w:val="a1"/>
              <w:spacing w:afterLines="50" w:after="156"/>
            </w:pPr>
            <w:r w:rsidRPr="00D764E9">
              <w:t>Satisfaction indicator</w:t>
            </w:r>
          </w:p>
        </w:tc>
        <w:tc>
          <w:tcPr>
            <w:tcW w:w="1213" w:type="dxa"/>
            <w:tcBorders>
              <w:left w:val="nil"/>
              <w:bottom w:val="single" w:sz="4" w:space="0" w:color="auto"/>
            </w:tcBorders>
          </w:tcPr>
          <w:p w14:paraId="0A31BFC2" w14:textId="77777777" w:rsidR="006668B4" w:rsidRPr="00D764E9" w:rsidRDefault="006668B4" w:rsidP="00417BDA">
            <w:pPr>
              <w:pStyle w:val="a1"/>
              <w:spacing w:afterLines="50" w:after="156"/>
            </w:pPr>
            <w:r w:rsidRPr="00D764E9">
              <w:t>Importance</w:t>
            </w:r>
          </w:p>
        </w:tc>
        <w:tc>
          <w:tcPr>
            <w:tcW w:w="1210" w:type="dxa"/>
            <w:tcBorders>
              <w:left w:val="nil"/>
              <w:bottom w:val="single" w:sz="4" w:space="0" w:color="auto"/>
            </w:tcBorders>
          </w:tcPr>
          <w:p w14:paraId="31963B16" w14:textId="77777777" w:rsidR="006668B4" w:rsidRPr="00D764E9" w:rsidRDefault="006668B4" w:rsidP="00417BDA">
            <w:pPr>
              <w:pStyle w:val="a1"/>
              <w:spacing w:afterLines="50" w:after="156"/>
            </w:pPr>
            <w:r w:rsidRPr="00D764E9">
              <w:t>Score</w:t>
            </w:r>
          </w:p>
        </w:tc>
        <w:tc>
          <w:tcPr>
            <w:tcW w:w="1213" w:type="dxa"/>
            <w:tcBorders>
              <w:left w:val="nil"/>
              <w:bottom w:val="single" w:sz="4" w:space="0" w:color="auto"/>
            </w:tcBorders>
          </w:tcPr>
          <w:p w14:paraId="6B658B03" w14:textId="77777777" w:rsidR="006668B4" w:rsidRPr="00D764E9" w:rsidRDefault="006668B4" w:rsidP="00417BDA">
            <w:pPr>
              <w:pStyle w:val="a1"/>
              <w:spacing w:afterLines="50" w:after="156"/>
            </w:pPr>
            <w:r w:rsidRPr="00D764E9">
              <w:t>Standard deviation</w:t>
            </w:r>
          </w:p>
        </w:tc>
        <w:tc>
          <w:tcPr>
            <w:tcW w:w="1121" w:type="dxa"/>
            <w:tcBorders>
              <w:left w:val="nil"/>
              <w:bottom w:val="single" w:sz="4" w:space="0" w:color="auto"/>
            </w:tcBorders>
          </w:tcPr>
          <w:p w14:paraId="3192F1FE" w14:textId="77777777" w:rsidR="006668B4" w:rsidRPr="00D764E9" w:rsidRDefault="006668B4" w:rsidP="00417BDA">
            <w:pPr>
              <w:pStyle w:val="a1"/>
              <w:spacing w:afterLines="50" w:after="156"/>
            </w:pPr>
            <w:r w:rsidRPr="00D764E9">
              <w:t>Variable coefficients</w:t>
            </w:r>
          </w:p>
        </w:tc>
        <w:tc>
          <w:tcPr>
            <w:tcW w:w="1109" w:type="dxa"/>
            <w:tcBorders>
              <w:left w:val="nil"/>
              <w:bottom w:val="single" w:sz="4" w:space="0" w:color="auto"/>
            </w:tcBorders>
          </w:tcPr>
          <w:p w14:paraId="6D5A7982" w14:textId="53E1FCC9" w:rsidR="006668B4" w:rsidRPr="00D764E9" w:rsidRDefault="000E2630" w:rsidP="00417BDA">
            <w:pPr>
              <w:pStyle w:val="a1"/>
              <w:spacing w:afterLines="50" w:after="156"/>
            </w:pPr>
            <w:r>
              <w:t>PP</w:t>
            </w:r>
          </w:p>
        </w:tc>
      </w:tr>
      <w:tr w:rsidR="00C80AB0" w:rsidRPr="00D764E9" w14:paraId="764E3F5F" w14:textId="77777777" w:rsidTr="00C940CD">
        <w:trPr>
          <w:trHeight w:val="301"/>
          <w:jc w:val="center"/>
        </w:trPr>
        <w:tc>
          <w:tcPr>
            <w:tcW w:w="2136" w:type="dxa"/>
            <w:tcBorders>
              <w:top w:val="single" w:sz="4" w:space="0" w:color="auto"/>
              <w:right w:val="nil"/>
            </w:tcBorders>
          </w:tcPr>
          <w:p w14:paraId="343CB84C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lastRenderedPageBreak/>
              <w:t>Service facility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</w:tcBorders>
          </w:tcPr>
          <w:p w14:paraId="1876FD66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0.188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</w:tcBorders>
          </w:tcPr>
          <w:p w14:paraId="27E3F7F7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3.58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</w:tcBorders>
          </w:tcPr>
          <w:p w14:paraId="6FAC8443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0.721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</w:tcBorders>
          </w:tcPr>
          <w:p w14:paraId="485AEDC2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0.201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</w:tcBorders>
          </w:tcPr>
          <w:p w14:paraId="63600936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1.325</w:t>
            </w:r>
          </w:p>
        </w:tc>
      </w:tr>
      <w:tr w:rsidR="00C80AB0" w:rsidRPr="00D764E9" w14:paraId="555864C2" w14:textId="77777777" w:rsidTr="00C940CD">
        <w:trPr>
          <w:trHeight w:val="310"/>
          <w:jc w:val="center"/>
        </w:trPr>
        <w:tc>
          <w:tcPr>
            <w:tcW w:w="2136" w:type="dxa"/>
            <w:tcBorders>
              <w:right w:val="nil"/>
            </w:tcBorders>
          </w:tcPr>
          <w:p w14:paraId="32E208C9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Safety</w:t>
            </w:r>
          </w:p>
        </w:tc>
        <w:tc>
          <w:tcPr>
            <w:tcW w:w="1213" w:type="dxa"/>
            <w:tcBorders>
              <w:left w:val="nil"/>
            </w:tcBorders>
          </w:tcPr>
          <w:p w14:paraId="2477E8CE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0.195</w:t>
            </w:r>
          </w:p>
        </w:tc>
        <w:tc>
          <w:tcPr>
            <w:tcW w:w="1210" w:type="dxa"/>
            <w:tcBorders>
              <w:left w:val="nil"/>
            </w:tcBorders>
          </w:tcPr>
          <w:p w14:paraId="272ADBE3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3.77</w:t>
            </w:r>
          </w:p>
        </w:tc>
        <w:tc>
          <w:tcPr>
            <w:tcW w:w="1213" w:type="dxa"/>
            <w:tcBorders>
              <w:left w:val="nil"/>
            </w:tcBorders>
          </w:tcPr>
          <w:p w14:paraId="32425E05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0.726</w:t>
            </w:r>
          </w:p>
        </w:tc>
        <w:tc>
          <w:tcPr>
            <w:tcW w:w="1121" w:type="dxa"/>
            <w:tcBorders>
              <w:left w:val="nil"/>
            </w:tcBorders>
          </w:tcPr>
          <w:p w14:paraId="371DB564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0.193</w:t>
            </w:r>
          </w:p>
        </w:tc>
        <w:tc>
          <w:tcPr>
            <w:tcW w:w="1109" w:type="dxa"/>
            <w:tcBorders>
              <w:left w:val="nil"/>
            </w:tcBorders>
          </w:tcPr>
          <w:p w14:paraId="09C4936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1.241</w:t>
            </w:r>
          </w:p>
        </w:tc>
      </w:tr>
      <w:tr w:rsidR="00C80AB0" w:rsidRPr="00D764E9" w14:paraId="73083C93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3B1E4E1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Train information</w:t>
            </w:r>
          </w:p>
        </w:tc>
        <w:tc>
          <w:tcPr>
            <w:tcW w:w="1213" w:type="dxa"/>
            <w:tcBorders>
              <w:left w:val="nil"/>
            </w:tcBorders>
          </w:tcPr>
          <w:p w14:paraId="14A71D4E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0.181</w:t>
            </w:r>
          </w:p>
        </w:tc>
        <w:tc>
          <w:tcPr>
            <w:tcW w:w="1210" w:type="dxa"/>
            <w:tcBorders>
              <w:left w:val="nil"/>
            </w:tcBorders>
          </w:tcPr>
          <w:p w14:paraId="6A1BF55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3.66</w:t>
            </w:r>
          </w:p>
        </w:tc>
        <w:tc>
          <w:tcPr>
            <w:tcW w:w="1213" w:type="dxa"/>
            <w:tcBorders>
              <w:left w:val="nil"/>
            </w:tcBorders>
          </w:tcPr>
          <w:p w14:paraId="4DA06A7E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0.750</w:t>
            </w:r>
          </w:p>
        </w:tc>
        <w:tc>
          <w:tcPr>
            <w:tcW w:w="1121" w:type="dxa"/>
            <w:tcBorders>
              <w:left w:val="nil"/>
            </w:tcBorders>
          </w:tcPr>
          <w:p w14:paraId="1E2233B9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0.205</w:t>
            </w:r>
          </w:p>
        </w:tc>
        <w:tc>
          <w:tcPr>
            <w:tcW w:w="1109" w:type="dxa"/>
            <w:tcBorders>
              <w:left w:val="nil"/>
            </w:tcBorders>
          </w:tcPr>
          <w:p w14:paraId="212712C8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1.182</w:t>
            </w:r>
          </w:p>
        </w:tc>
      </w:tr>
      <w:tr w:rsidR="00C80AB0" w:rsidRPr="00D764E9" w14:paraId="0C953396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1E08BCE7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Ticketing system</w:t>
            </w:r>
          </w:p>
        </w:tc>
        <w:tc>
          <w:tcPr>
            <w:tcW w:w="1213" w:type="dxa"/>
            <w:tcBorders>
              <w:left w:val="nil"/>
            </w:tcBorders>
          </w:tcPr>
          <w:p w14:paraId="5043BA2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0.078</w:t>
            </w:r>
          </w:p>
        </w:tc>
        <w:tc>
          <w:tcPr>
            <w:tcW w:w="1210" w:type="dxa"/>
            <w:tcBorders>
              <w:left w:val="nil"/>
            </w:tcBorders>
          </w:tcPr>
          <w:p w14:paraId="5149CBB4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3.54</w:t>
            </w:r>
          </w:p>
        </w:tc>
        <w:tc>
          <w:tcPr>
            <w:tcW w:w="1213" w:type="dxa"/>
            <w:tcBorders>
              <w:left w:val="nil"/>
            </w:tcBorders>
          </w:tcPr>
          <w:p w14:paraId="17188831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0.750</w:t>
            </w:r>
          </w:p>
        </w:tc>
        <w:tc>
          <w:tcPr>
            <w:tcW w:w="1121" w:type="dxa"/>
            <w:tcBorders>
              <w:left w:val="nil"/>
            </w:tcBorders>
          </w:tcPr>
          <w:p w14:paraId="232D8470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0.212</w:t>
            </w:r>
          </w:p>
        </w:tc>
        <w:tc>
          <w:tcPr>
            <w:tcW w:w="1109" w:type="dxa"/>
            <w:tcBorders>
              <w:left w:val="nil"/>
            </w:tcBorders>
          </w:tcPr>
          <w:p w14:paraId="243E7ED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0.541</w:t>
            </w:r>
          </w:p>
        </w:tc>
      </w:tr>
      <w:tr w:rsidR="00C80AB0" w:rsidRPr="00D764E9" w14:paraId="00398300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52E8B26B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Transfer shuttle</w:t>
            </w:r>
          </w:p>
        </w:tc>
        <w:tc>
          <w:tcPr>
            <w:tcW w:w="1213" w:type="dxa"/>
            <w:tcBorders>
              <w:left w:val="nil"/>
            </w:tcBorders>
          </w:tcPr>
          <w:p w14:paraId="4411A42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0.068</w:t>
            </w:r>
          </w:p>
        </w:tc>
        <w:tc>
          <w:tcPr>
            <w:tcW w:w="1210" w:type="dxa"/>
            <w:tcBorders>
              <w:left w:val="nil"/>
            </w:tcBorders>
          </w:tcPr>
          <w:p w14:paraId="73D3AB4F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3.54</w:t>
            </w:r>
          </w:p>
        </w:tc>
        <w:tc>
          <w:tcPr>
            <w:tcW w:w="1213" w:type="dxa"/>
            <w:tcBorders>
              <w:left w:val="nil"/>
            </w:tcBorders>
          </w:tcPr>
          <w:p w14:paraId="1A5FDD8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0.745</w:t>
            </w:r>
          </w:p>
        </w:tc>
        <w:tc>
          <w:tcPr>
            <w:tcW w:w="1121" w:type="dxa"/>
            <w:tcBorders>
              <w:left w:val="nil"/>
            </w:tcBorders>
          </w:tcPr>
          <w:p w14:paraId="6AC33AC5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0.211</w:t>
            </w:r>
          </w:p>
        </w:tc>
        <w:tc>
          <w:tcPr>
            <w:tcW w:w="1109" w:type="dxa"/>
            <w:tcBorders>
              <w:left w:val="nil"/>
            </w:tcBorders>
          </w:tcPr>
          <w:p w14:paraId="5EB27B85" w14:textId="77777777" w:rsidR="00C80AB0" w:rsidRPr="00D764E9" w:rsidRDefault="00C80AB0" w:rsidP="00417BDA">
            <w:pPr>
              <w:pStyle w:val="a1"/>
              <w:spacing w:afterLines="50" w:after="156"/>
              <w:rPr>
                <w:color w:val="FF0000"/>
              </w:rPr>
            </w:pPr>
            <w:r w:rsidRPr="00D764E9">
              <w:t>0.469</w:t>
            </w:r>
          </w:p>
        </w:tc>
      </w:tr>
      <w:tr w:rsidR="00C80AB0" w:rsidRPr="00D764E9" w14:paraId="62BA8C62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396336C5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Normal waiting time</w:t>
            </w:r>
          </w:p>
        </w:tc>
        <w:tc>
          <w:tcPr>
            <w:tcW w:w="1213" w:type="dxa"/>
            <w:tcBorders>
              <w:left w:val="nil"/>
            </w:tcBorders>
          </w:tcPr>
          <w:p w14:paraId="2E38FE02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0.068</w:t>
            </w:r>
          </w:p>
        </w:tc>
        <w:tc>
          <w:tcPr>
            <w:tcW w:w="1210" w:type="dxa"/>
            <w:tcBorders>
              <w:left w:val="nil"/>
            </w:tcBorders>
          </w:tcPr>
          <w:p w14:paraId="5B755DCE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3.68</w:t>
            </w:r>
          </w:p>
        </w:tc>
        <w:tc>
          <w:tcPr>
            <w:tcW w:w="1213" w:type="dxa"/>
            <w:tcBorders>
              <w:left w:val="nil"/>
            </w:tcBorders>
          </w:tcPr>
          <w:p w14:paraId="409C81D3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0.788</w:t>
            </w:r>
          </w:p>
        </w:tc>
        <w:tc>
          <w:tcPr>
            <w:tcW w:w="1121" w:type="dxa"/>
            <w:tcBorders>
              <w:left w:val="nil"/>
            </w:tcBorders>
          </w:tcPr>
          <w:p w14:paraId="4F2D5B43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0.214</w:t>
            </w:r>
          </w:p>
        </w:tc>
        <w:tc>
          <w:tcPr>
            <w:tcW w:w="1109" w:type="dxa"/>
            <w:tcBorders>
              <w:left w:val="nil"/>
            </w:tcBorders>
          </w:tcPr>
          <w:p w14:paraId="1A12EA7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0.423</w:t>
            </w:r>
          </w:p>
        </w:tc>
      </w:tr>
      <w:tr w:rsidR="00C80AB0" w:rsidRPr="00D764E9" w14:paraId="640A63CE" w14:textId="77777777" w:rsidTr="00C940CD">
        <w:trPr>
          <w:trHeight w:val="310"/>
          <w:jc w:val="center"/>
        </w:trPr>
        <w:tc>
          <w:tcPr>
            <w:tcW w:w="2136" w:type="dxa"/>
            <w:tcBorders>
              <w:right w:val="nil"/>
            </w:tcBorders>
          </w:tcPr>
          <w:p w14:paraId="29A876A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Peak waiting time</w:t>
            </w:r>
          </w:p>
        </w:tc>
        <w:tc>
          <w:tcPr>
            <w:tcW w:w="1213" w:type="dxa"/>
            <w:tcBorders>
              <w:left w:val="nil"/>
            </w:tcBorders>
          </w:tcPr>
          <w:p w14:paraId="3EDD93F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0.057</w:t>
            </w:r>
          </w:p>
        </w:tc>
        <w:tc>
          <w:tcPr>
            <w:tcW w:w="1210" w:type="dxa"/>
            <w:tcBorders>
              <w:left w:val="nil"/>
            </w:tcBorders>
          </w:tcPr>
          <w:p w14:paraId="5582C273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3.24</w:t>
            </w:r>
          </w:p>
        </w:tc>
        <w:tc>
          <w:tcPr>
            <w:tcW w:w="1213" w:type="dxa"/>
            <w:tcBorders>
              <w:left w:val="nil"/>
            </w:tcBorders>
          </w:tcPr>
          <w:p w14:paraId="146A8D72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0.865</w:t>
            </w:r>
          </w:p>
        </w:tc>
        <w:tc>
          <w:tcPr>
            <w:tcW w:w="1121" w:type="dxa"/>
            <w:tcBorders>
              <w:left w:val="nil"/>
            </w:tcBorders>
          </w:tcPr>
          <w:p w14:paraId="56C115D2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0.267</w:t>
            </w:r>
          </w:p>
        </w:tc>
        <w:tc>
          <w:tcPr>
            <w:tcW w:w="1109" w:type="dxa"/>
            <w:tcBorders>
              <w:left w:val="nil"/>
            </w:tcBorders>
          </w:tcPr>
          <w:p w14:paraId="486EF719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0.378</w:t>
            </w:r>
          </w:p>
        </w:tc>
      </w:tr>
      <w:tr w:rsidR="00C80AB0" w:rsidRPr="00D764E9" w14:paraId="304AEED5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7DA3BAFC" w14:textId="1FAB9798" w:rsidR="00C80AB0" w:rsidRPr="00D764E9" w:rsidRDefault="00C17376" w:rsidP="00C17376">
            <w:pPr>
              <w:pStyle w:val="a1"/>
              <w:spacing w:afterLines="50" w:after="156"/>
            </w:pPr>
            <w:r>
              <w:t>Passenger comfort in train</w:t>
            </w:r>
          </w:p>
        </w:tc>
        <w:tc>
          <w:tcPr>
            <w:tcW w:w="1213" w:type="dxa"/>
            <w:tcBorders>
              <w:left w:val="nil"/>
            </w:tcBorders>
          </w:tcPr>
          <w:p w14:paraId="0D495DFF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0.046</w:t>
            </w:r>
          </w:p>
        </w:tc>
        <w:tc>
          <w:tcPr>
            <w:tcW w:w="1210" w:type="dxa"/>
            <w:tcBorders>
              <w:left w:val="nil"/>
            </w:tcBorders>
          </w:tcPr>
          <w:p w14:paraId="52A7AA45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3.61</w:t>
            </w:r>
          </w:p>
        </w:tc>
        <w:tc>
          <w:tcPr>
            <w:tcW w:w="1213" w:type="dxa"/>
            <w:tcBorders>
              <w:left w:val="nil"/>
            </w:tcBorders>
          </w:tcPr>
          <w:p w14:paraId="053C0079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0.696</w:t>
            </w:r>
          </w:p>
        </w:tc>
        <w:tc>
          <w:tcPr>
            <w:tcW w:w="1121" w:type="dxa"/>
            <w:tcBorders>
              <w:left w:val="nil"/>
            </w:tcBorders>
          </w:tcPr>
          <w:p w14:paraId="69EAC88B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0.193</w:t>
            </w:r>
          </w:p>
        </w:tc>
        <w:tc>
          <w:tcPr>
            <w:tcW w:w="1109" w:type="dxa"/>
            <w:tcBorders>
              <w:left w:val="nil"/>
            </w:tcBorders>
          </w:tcPr>
          <w:p w14:paraId="6F1C6B3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0.332</w:t>
            </w:r>
          </w:p>
        </w:tc>
      </w:tr>
      <w:tr w:rsidR="00C80AB0" w:rsidRPr="00D764E9" w14:paraId="3140E234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45B93BF8" w14:textId="717DB245" w:rsidR="00C80AB0" w:rsidRPr="00D764E9" w:rsidRDefault="00C17376" w:rsidP="0059095E">
            <w:pPr>
              <w:pStyle w:val="a1"/>
              <w:spacing w:afterLines="50" w:after="156"/>
            </w:pPr>
            <w:r>
              <w:t xml:space="preserve">Passenger comfort in </w:t>
            </w:r>
            <w:r w:rsidRPr="00D764E9">
              <w:t>station hall</w:t>
            </w:r>
            <w:r w:rsidRPr="00D764E9" w:rsidDel="00C17376">
              <w:t xml:space="preserve"> </w:t>
            </w:r>
            <w:r>
              <w:t>p</w:t>
            </w:r>
            <w:r w:rsidR="00C80AB0" w:rsidRPr="00D764E9">
              <w:t xml:space="preserve">latform and passage </w:t>
            </w:r>
          </w:p>
        </w:tc>
        <w:tc>
          <w:tcPr>
            <w:tcW w:w="1213" w:type="dxa"/>
            <w:tcBorders>
              <w:left w:val="nil"/>
            </w:tcBorders>
          </w:tcPr>
          <w:p w14:paraId="6E3E63B8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0.047</w:t>
            </w:r>
          </w:p>
        </w:tc>
        <w:tc>
          <w:tcPr>
            <w:tcW w:w="1210" w:type="dxa"/>
            <w:tcBorders>
              <w:left w:val="nil"/>
            </w:tcBorders>
          </w:tcPr>
          <w:p w14:paraId="6A8486BF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3.60</w:t>
            </w:r>
          </w:p>
        </w:tc>
        <w:tc>
          <w:tcPr>
            <w:tcW w:w="1213" w:type="dxa"/>
            <w:tcBorders>
              <w:left w:val="nil"/>
            </w:tcBorders>
          </w:tcPr>
          <w:p w14:paraId="793245CB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0.740</w:t>
            </w:r>
          </w:p>
        </w:tc>
        <w:tc>
          <w:tcPr>
            <w:tcW w:w="1121" w:type="dxa"/>
            <w:tcBorders>
              <w:left w:val="nil"/>
            </w:tcBorders>
          </w:tcPr>
          <w:p w14:paraId="18AC78FB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0.206</w:t>
            </w:r>
          </w:p>
        </w:tc>
        <w:tc>
          <w:tcPr>
            <w:tcW w:w="1109" w:type="dxa"/>
            <w:tcBorders>
              <w:left w:val="nil"/>
            </w:tcBorders>
          </w:tcPr>
          <w:p w14:paraId="2BA9EEF4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0.321</w:t>
            </w:r>
          </w:p>
        </w:tc>
      </w:tr>
      <w:tr w:rsidR="00C80AB0" w:rsidRPr="00D764E9" w14:paraId="187115BB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2132BD62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Personnel service</w:t>
            </w:r>
          </w:p>
        </w:tc>
        <w:tc>
          <w:tcPr>
            <w:tcW w:w="1213" w:type="dxa"/>
            <w:tcBorders>
              <w:left w:val="nil"/>
            </w:tcBorders>
          </w:tcPr>
          <w:p w14:paraId="32981FEF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0.039</w:t>
            </w:r>
          </w:p>
        </w:tc>
        <w:tc>
          <w:tcPr>
            <w:tcW w:w="1210" w:type="dxa"/>
            <w:tcBorders>
              <w:left w:val="nil"/>
            </w:tcBorders>
          </w:tcPr>
          <w:p w14:paraId="110DEAAB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3.64</w:t>
            </w:r>
          </w:p>
        </w:tc>
        <w:tc>
          <w:tcPr>
            <w:tcW w:w="1213" w:type="dxa"/>
            <w:tcBorders>
              <w:left w:val="nil"/>
            </w:tcBorders>
          </w:tcPr>
          <w:p w14:paraId="5DF0699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0.724</w:t>
            </w:r>
          </w:p>
        </w:tc>
        <w:tc>
          <w:tcPr>
            <w:tcW w:w="1121" w:type="dxa"/>
            <w:tcBorders>
              <w:left w:val="nil"/>
            </w:tcBorders>
          </w:tcPr>
          <w:p w14:paraId="6B101DB9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0.199</w:t>
            </w:r>
          </w:p>
        </w:tc>
        <w:tc>
          <w:tcPr>
            <w:tcW w:w="1109" w:type="dxa"/>
            <w:tcBorders>
              <w:left w:val="nil"/>
            </w:tcBorders>
          </w:tcPr>
          <w:p w14:paraId="645127CF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0.269</w:t>
            </w:r>
          </w:p>
        </w:tc>
      </w:tr>
      <w:tr w:rsidR="00C80AB0" w:rsidRPr="00D764E9" w14:paraId="19DC764F" w14:textId="77777777" w:rsidTr="00C940CD">
        <w:trPr>
          <w:trHeight w:val="301"/>
          <w:jc w:val="center"/>
        </w:trPr>
        <w:tc>
          <w:tcPr>
            <w:tcW w:w="2136" w:type="dxa"/>
            <w:tcBorders>
              <w:right w:val="nil"/>
            </w:tcBorders>
          </w:tcPr>
          <w:p w14:paraId="455B5F21" w14:textId="7E2D0696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Passenger civilization</w:t>
            </w:r>
          </w:p>
        </w:tc>
        <w:tc>
          <w:tcPr>
            <w:tcW w:w="1213" w:type="dxa"/>
            <w:tcBorders>
              <w:left w:val="nil"/>
            </w:tcBorders>
          </w:tcPr>
          <w:p w14:paraId="5D5D57AB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0.032</w:t>
            </w:r>
          </w:p>
        </w:tc>
        <w:tc>
          <w:tcPr>
            <w:tcW w:w="1210" w:type="dxa"/>
            <w:tcBorders>
              <w:left w:val="nil"/>
            </w:tcBorders>
          </w:tcPr>
          <w:p w14:paraId="60F91D6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3.34</w:t>
            </w:r>
          </w:p>
        </w:tc>
        <w:tc>
          <w:tcPr>
            <w:tcW w:w="1213" w:type="dxa"/>
            <w:tcBorders>
              <w:left w:val="nil"/>
            </w:tcBorders>
          </w:tcPr>
          <w:p w14:paraId="4FEAC46D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0.798</w:t>
            </w:r>
          </w:p>
        </w:tc>
        <w:tc>
          <w:tcPr>
            <w:tcW w:w="1121" w:type="dxa"/>
            <w:tcBorders>
              <w:left w:val="nil"/>
            </w:tcBorders>
          </w:tcPr>
          <w:p w14:paraId="7C7E5DAA" w14:textId="77777777" w:rsidR="00C80AB0" w:rsidRPr="00D764E9" w:rsidRDefault="00C80AB0" w:rsidP="00417BDA">
            <w:pPr>
              <w:pStyle w:val="a1"/>
              <w:spacing w:afterLines="50" w:after="156"/>
            </w:pPr>
            <w:r w:rsidRPr="00D764E9">
              <w:t>0.239</w:t>
            </w:r>
          </w:p>
        </w:tc>
        <w:tc>
          <w:tcPr>
            <w:tcW w:w="1109" w:type="dxa"/>
            <w:tcBorders>
              <w:left w:val="nil"/>
            </w:tcBorders>
          </w:tcPr>
          <w:p w14:paraId="16DC3B52" w14:textId="77777777" w:rsidR="00C80AB0" w:rsidRPr="00D764E9" w:rsidRDefault="00C80AB0" w:rsidP="00417BDA">
            <w:pPr>
              <w:pStyle w:val="a1"/>
              <w:spacing w:afterLines="50" w:after="156"/>
              <w:rPr>
                <w:color w:val="FF0000"/>
              </w:rPr>
            </w:pPr>
            <w:r w:rsidRPr="00D764E9">
              <w:t>0.224</w:t>
            </w:r>
          </w:p>
        </w:tc>
      </w:tr>
    </w:tbl>
    <w:p w14:paraId="39B36D0C" w14:textId="77777777" w:rsidR="00CE6F5F" w:rsidRPr="00D764E9" w:rsidRDefault="00CE6F5F" w:rsidP="00417BDA">
      <w:pPr>
        <w:spacing w:afterLines="50" w:after="156"/>
        <w:ind w:firstLineChars="0" w:firstLine="0"/>
        <w:jc w:val="center"/>
        <w:rPr>
          <w:noProof/>
        </w:rPr>
      </w:pPr>
    </w:p>
    <w:p w14:paraId="336B2F9D" w14:textId="77777777" w:rsidR="00D80935" w:rsidRPr="00D764E9" w:rsidRDefault="00CE6F5F" w:rsidP="00417BDA">
      <w:pPr>
        <w:spacing w:afterLines="50" w:after="156"/>
        <w:ind w:firstLineChars="0" w:firstLine="0"/>
        <w:jc w:val="center"/>
      </w:pPr>
      <w:r w:rsidRPr="00D764E9">
        <w:rPr>
          <w:noProof/>
          <w:lang w:eastAsia="en-US"/>
        </w:rPr>
        <w:drawing>
          <wp:inline distT="0" distB="0" distL="0" distR="0" wp14:anchorId="5A048038" wp14:editId="79B7BBEF">
            <wp:extent cx="3848100" cy="2527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89"/>
                    <a:stretch/>
                  </pic:blipFill>
                  <pic:spPr bwMode="auto">
                    <a:xfrm>
                      <a:off x="0" y="0"/>
                      <a:ext cx="3868108" cy="254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E741A" w14:textId="20629CB5" w:rsidR="00D80935" w:rsidRPr="00D764E9" w:rsidRDefault="00D80935" w:rsidP="00417BDA">
      <w:pPr>
        <w:spacing w:afterLines="50" w:after="156"/>
        <w:ind w:firstLineChars="0" w:firstLine="0"/>
        <w:jc w:val="center"/>
        <w:rPr>
          <w:b/>
          <w:sz w:val="21"/>
        </w:rPr>
      </w:pPr>
      <w:r w:rsidRPr="00D764E9">
        <w:rPr>
          <w:b/>
          <w:bCs/>
          <w:sz w:val="21"/>
        </w:rPr>
        <w:t xml:space="preserve">Figure 2 </w:t>
      </w:r>
      <w:r w:rsidR="000E2630">
        <w:rPr>
          <w:b/>
          <w:bCs/>
          <w:sz w:val="21"/>
        </w:rPr>
        <w:t>PP</w:t>
      </w:r>
      <w:r w:rsidRPr="00D764E9">
        <w:rPr>
          <w:b/>
          <w:bCs/>
          <w:sz w:val="21"/>
        </w:rPr>
        <w:t xml:space="preserve"> analysis of rail transit improvement strategies</w:t>
      </w:r>
    </w:p>
    <w:p w14:paraId="6F88C9A8" w14:textId="64498140" w:rsidR="007D651E" w:rsidRPr="00D764E9" w:rsidRDefault="007D651E" w:rsidP="00417BDA">
      <w:pPr>
        <w:pStyle w:val="Heading2"/>
        <w:spacing w:before="0" w:beforeAutospacing="0" w:afterLines="50" w:after="156" w:afterAutospacing="0"/>
        <w:rPr>
          <w:b w:val="0"/>
        </w:rPr>
      </w:pPr>
      <w:r w:rsidRPr="00D764E9">
        <w:rPr>
          <w:b w:val="0"/>
          <w:bCs w:val="0"/>
        </w:rPr>
        <w:t>4.2.</w:t>
      </w:r>
      <w:r w:rsidR="006E7C56">
        <w:rPr>
          <w:b w:val="0"/>
          <w:bCs w:val="0"/>
        </w:rPr>
        <w:t xml:space="preserve"> </w:t>
      </w:r>
      <w:r w:rsidRPr="00D764E9">
        <w:rPr>
          <w:b w:val="0"/>
          <w:bCs w:val="0"/>
        </w:rPr>
        <w:t>Results and analysis of classification for IPA</w:t>
      </w:r>
    </w:p>
    <w:p w14:paraId="6DAD256B" w14:textId="4D2FE087" w:rsidR="007D651E" w:rsidRPr="00D764E9" w:rsidRDefault="00FC15D2" w:rsidP="00417BDA">
      <w:pPr>
        <w:spacing w:afterLines="50" w:after="156"/>
        <w:ind w:firstLine="480"/>
      </w:pPr>
      <w:r>
        <w:t xml:space="preserve">The </w:t>
      </w:r>
      <w:r w:rsidR="007D651E" w:rsidRPr="00D764E9">
        <w:t xml:space="preserve">IPA figure </w:t>
      </w:r>
      <w:r w:rsidR="00C17376">
        <w:t>wa</w:t>
      </w:r>
      <w:r w:rsidR="007D651E" w:rsidRPr="00D764E9">
        <w:t xml:space="preserve">s drawn through the general consideration of the average score value </w:t>
      </w:r>
      <w:r w:rsidR="006D7969">
        <w:t>of each indicator</w:t>
      </w:r>
      <w:r w:rsidR="006D7969" w:rsidRPr="00D764E9">
        <w:t xml:space="preserve"> </w:t>
      </w:r>
      <w:r w:rsidR="007D651E" w:rsidRPr="00D764E9">
        <w:t>and the weight gained from SEM, as shown in Figure 3.</w:t>
      </w:r>
    </w:p>
    <w:p w14:paraId="26816F96" w14:textId="77777777" w:rsidR="007D651E" w:rsidRPr="00D764E9" w:rsidRDefault="007D651E" w:rsidP="00417BDA">
      <w:pPr>
        <w:spacing w:afterLines="50" w:after="156"/>
        <w:ind w:firstLineChars="0" w:firstLine="0"/>
        <w:jc w:val="center"/>
      </w:pPr>
      <w:r w:rsidRPr="00D764E9">
        <w:rPr>
          <w:noProof/>
          <w:lang w:eastAsia="en-US"/>
        </w:rPr>
        <w:lastRenderedPageBreak/>
        <w:drawing>
          <wp:inline distT="0" distB="0" distL="0" distR="0" wp14:anchorId="18B1A6A1" wp14:editId="72522A0E">
            <wp:extent cx="4591050" cy="27546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28EC1" w14:textId="40C5722D" w:rsidR="007D651E" w:rsidRPr="00D764E9" w:rsidRDefault="007D651E" w:rsidP="00417BDA">
      <w:pPr>
        <w:spacing w:afterLines="50" w:after="156"/>
        <w:ind w:firstLineChars="0" w:firstLine="0"/>
        <w:jc w:val="center"/>
      </w:pPr>
      <w:r w:rsidRPr="00D764E9">
        <w:rPr>
          <w:b/>
          <w:bCs/>
          <w:sz w:val="21"/>
        </w:rPr>
        <w:t>Figure 3 IPA of rail transit improvement strategies</w:t>
      </w:r>
    </w:p>
    <w:p w14:paraId="4D4B63F8" w14:textId="1E5A1A0A" w:rsidR="007D651E" w:rsidRPr="00D764E9" w:rsidRDefault="0059095E" w:rsidP="00417BDA">
      <w:pPr>
        <w:spacing w:afterLines="50" w:after="156"/>
        <w:ind w:firstLine="480"/>
      </w:pPr>
      <w:r>
        <w:t>In t</w:t>
      </w:r>
      <w:r w:rsidR="007D651E" w:rsidRPr="00D764E9">
        <w:t>he IPA figure</w:t>
      </w:r>
      <w:r>
        <w:t>,</w:t>
      </w:r>
      <w:r w:rsidR="007D651E" w:rsidRPr="00D764E9">
        <w:t xml:space="preserve"> 11 satisfaction indicators </w:t>
      </w:r>
      <w:r>
        <w:t>a</w:t>
      </w:r>
      <w:r w:rsidR="007D651E" w:rsidRPr="00D764E9">
        <w:t xml:space="preserve">re divided into </w:t>
      </w:r>
      <w:r w:rsidR="006D7969">
        <w:t xml:space="preserve">four </w:t>
      </w:r>
      <w:r w:rsidR="007D651E" w:rsidRPr="00D764E9">
        <w:t>quadrants</w:t>
      </w:r>
      <w:r>
        <w:t>,</w:t>
      </w:r>
      <w:r w:rsidR="007D651E" w:rsidRPr="00D764E9">
        <w:t xml:space="preserve"> with the boundaries </w:t>
      </w:r>
      <w:r>
        <w:t>being</w:t>
      </w:r>
      <w:r w:rsidR="007D651E" w:rsidRPr="00D764E9">
        <w:t xml:space="preserve"> the average score of</w:t>
      </w:r>
      <w:r>
        <w:t xml:space="preserve"> the</w:t>
      </w:r>
      <w:r w:rsidR="007D651E" w:rsidRPr="00D764E9">
        <w:t xml:space="preserve"> indicators (3.563) and </w:t>
      </w:r>
      <w:r>
        <w:t xml:space="preserve">the </w:t>
      </w:r>
      <w:r w:rsidR="007D651E" w:rsidRPr="00D764E9">
        <w:t xml:space="preserve">average importance of </w:t>
      </w:r>
      <w:r>
        <w:t xml:space="preserve">the </w:t>
      </w:r>
      <w:r w:rsidR="007D651E" w:rsidRPr="00D764E9">
        <w:t xml:space="preserve">indicators (0.091). </w:t>
      </w:r>
      <w:r w:rsidR="006D7969">
        <w:t xml:space="preserve">Three </w:t>
      </w:r>
      <w:r w:rsidR="007D651E" w:rsidRPr="00D764E9">
        <w:t>indicators are in the advantage</w:t>
      </w:r>
      <w:r w:rsidR="00FC15D2">
        <w:t>-</w:t>
      </w:r>
      <w:r w:rsidR="007D651E" w:rsidRPr="00D764E9">
        <w:t xml:space="preserve">impacted quadrant, and </w:t>
      </w:r>
      <w:r w:rsidR="006D7969">
        <w:t xml:space="preserve">four </w:t>
      </w:r>
      <w:r w:rsidR="007D651E" w:rsidRPr="00D764E9">
        <w:t>indicators are in the status quo</w:t>
      </w:r>
      <w:r w:rsidR="00FC15D2">
        <w:t>-</w:t>
      </w:r>
      <w:r w:rsidR="007D651E" w:rsidRPr="00D764E9">
        <w:t>held and secondary improvement quadrant</w:t>
      </w:r>
      <w:r w:rsidR="006D7969">
        <w:t>s</w:t>
      </w:r>
      <w:r w:rsidR="007D651E" w:rsidRPr="00D764E9">
        <w:t xml:space="preserve">. No indicator </w:t>
      </w:r>
      <w:r>
        <w:t xml:space="preserve">is </w:t>
      </w:r>
      <w:r w:rsidR="007D651E" w:rsidRPr="00D764E9">
        <w:t>in the prior improvement quadrant.</w:t>
      </w:r>
    </w:p>
    <w:p w14:paraId="60470379" w14:textId="76CAAA1B" w:rsidR="007D651E" w:rsidRPr="00D764E9" w:rsidRDefault="006D7969" w:rsidP="00417BDA">
      <w:pPr>
        <w:spacing w:afterLines="50" w:after="156"/>
        <w:ind w:firstLine="480"/>
      </w:pPr>
      <w:r>
        <w:t xml:space="preserve">The </w:t>
      </w:r>
      <w:r w:rsidR="007D651E" w:rsidRPr="00D764E9">
        <w:t>IPA method establish</w:t>
      </w:r>
      <w:r>
        <w:t>es</w:t>
      </w:r>
      <w:r w:rsidR="007D651E" w:rsidRPr="00D764E9">
        <w:t xml:space="preserve"> </w:t>
      </w:r>
      <w:r>
        <w:t xml:space="preserve">a </w:t>
      </w:r>
      <w:r w:rsidR="007D651E" w:rsidRPr="00D764E9">
        <w:t>reference system according to the indicator scores and weight and divide</w:t>
      </w:r>
      <w:r>
        <w:t>s</w:t>
      </w:r>
      <w:r w:rsidR="007D651E" w:rsidRPr="00D764E9">
        <w:t xml:space="preserve"> the quadrants according to the average values </w:t>
      </w:r>
      <w:r w:rsidR="0059095E">
        <w:t>in a</w:t>
      </w:r>
      <w:r w:rsidR="007D651E" w:rsidRPr="00D764E9">
        <w:t xml:space="preserve"> simple and clear</w:t>
      </w:r>
      <w:r w:rsidR="0059095E">
        <w:t xml:space="preserve"> manner</w:t>
      </w:r>
      <w:r w:rsidR="007D651E" w:rsidRPr="00D764E9">
        <w:t xml:space="preserve">. However, imprecise loopholes </w:t>
      </w:r>
      <w:r w:rsidR="0059095E">
        <w:t xml:space="preserve">are present, wherein </w:t>
      </w:r>
      <w:r w:rsidR="007D651E" w:rsidRPr="00D764E9">
        <w:t>indicators in the same quadrant cannot be ranked and the average value serves as the boundaries.</w:t>
      </w:r>
    </w:p>
    <w:p w14:paraId="1F5D25C1" w14:textId="3CD4ABD6" w:rsidR="007D651E" w:rsidRPr="00D764E9" w:rsidRDefault="00C07BC8" w:rsidP="00417BDA">
      <w:pPr>
        <w:spacing w:afterLines="50" w:after="156"/>
        <w:ind w:firstLine="480"/>
      </w:pPr>
      <w:r w:rsidRPr="00D764E9">
        <w:t>First, indicators in the same quadrant cannot be ranked</w:t>
      </w:r>
      <w:r w:rsidR="0059095E">
        <w:t xml:space="preserve"> due to</w:t>
      </w:r>
      <w:r w:rsidRPr="00D764E9">
        <w:t xml:space="preserve"> the unclear indicator scores and weight precedence without composite rules. </w:t>
      </w:r>
      <w:r w:rsidR="006D7969">
        <w:t xml:space="preserve">This situation </w:t>
      </w:r>
      <w:r w:rsidRPr="00D764E9">
        <w:t xml:space="preserve">is explained by the </w:t>
      </w:r>
      <w:r w:rsidR="006D7969">
        <w:t>“</w:t>
      </w:r>
      <w:r w:rsidRPr="00D764E9">
        <w:t>secondary improvement</w:t>
      </w:r>
      <w:r w:rsidR="006D7969">
        <w:t>”</w:t>
      </w:r>
      <w:r w:rsidRPr="00D764E9">
        <w:t xml:space="preserve"> in Figure 3. This quadrant has four indicators</w:t>
      </w:r>
      <w:r w:rsidR="006D7969">
        <w:t>,</w:t>
      </w:r>
      <w:r w:rsidRPr="00D764E9">
        <w:t xml:space="preserve"> </w:t>
      </w:r>
      <w:r w:rsidR="006D7969">
        <w:t>namely, “</w:t>
      </w:r>
      <w:r w:rsidRPr="00D764E9">
        <w:t>peak waiting time,</w:t>
      </w:r>
      <w:r w:rsidR="006D7969">
        <w:t>”</w:t>
      </w:r>
      <w:r w:rsidRPr="00D764E9">
        <w:t xml:space="preserve"> </w:t>
      </w:r>
      <w:r w:rsidR="006D7969">
        <w:t>“</w:t>
      </w:r>
      <w:r w:rsidRPr="00D764E9">
        <w:t>passenger civilization,</w:t>
      </w:r>
      <w:r w:rsidR="006D7969">
        <w:t>”</w:t>
      </w:r>
      <w:r w:rsidRPr="00D764E9">
        <w:t xml:space="preserve"> </w:t>
      </w:r>
      <w:r w:rsidR="006D7969">
        <w:t>“</w:t>
      </w:r>
      <w:r w:rsidRPr="00D764E9">
        <w:t>ticketing system</w:t>
      </w:r>
      <w:r w:rsidR="006D7969">
        <w:t>,”</w:t>
      </w:r>
      <w:r w:rsidRPr="00D764E9">
        <w:t xml:space="preserve"> and </w:t>
      </w:r>
      <w:r w:rsidR="006D7969">
        <w:t>“</w:t>
      </w:r>
      <w:r w:rsidRPr="00D764E9">
        <w:t>transfer shuttle,</w:t>
      </w:r>
      <w:r w:rsidR="006D7969">
        <w:t>”</w:t>
      </w:r>
      <w:r w:rsidRPr="00D764E9">
        <w:t xml:space="preserve"> all of which need to be improved in </w:t>
      </w:r>
      <w:r w:rsidR="00FC15D2">
        <w:t xml:space="preserve">the </w:t>
      </w:r>
      <w:r w:rsidRPr="00D764E9">
        <w:t>service</w:t>
      </w:r>
      <w:r w:rsidR="00FC15D2">
        <w:t>s</w:t>
      </w:r>
      <w:r w:rsidRPr="00D764E9">
        <w:t xml:space="preserve"> </w:t>
      </w:r>
      <w:r w:rsidR="00FC15D2">
        <w:t xml:space="preserve">of </w:t>
      </w:r>
      <w:r w:rsidRPr="00D764E9">
        <w:t xml:space="preserve">rail operation units. However, </w:t>
      </w:r>
      <w:r w:rsidR="00FC15D2">
        <w:t>with</w:t>
      </w:r>
      <w:r w:rsidRPr="00D764E9">
        <w:t xml:space="preserve"> limited fund</w:t>
      </w:r>
      <w:r w:rsidR="00FC15D2">
        <w:t>s</w:t>
      </w:r>
      <w:r w:rsidRPr="00D764E9">
        <w:t xml:space="preserve"> and resources that </w:t>
      </w:r>
      <w:r w:rsidR="0059095E">
        <w:t xml:space="preserve">can improve </w:t>
      </w:r>
      <w:r w:rsidRPr="00D764E9">
        <w:t xml:space="preserve">only part of the indicators, </w:t>
      </w:r>
      <w:r w:rsidR="00EF2B91">
        <w:t xml:space="preserve">enhancing </w:t>
      </w:r>
      <w:r w:rsidRPr="00D764E9">
        <w:t xml:space="preserve">overall service quality to satisfy passengers as much as possible </w:t>
      </w:r>
      <w:r w:rsidR="00EF2B91">
        <w:t>while</w:t>
      </w:r>
      <w:r w:rsidRPr="00D764E9">
        <w:t xml:space="preserve"> </w:t>
      </w:r>
      <w:r w:rsidR="00EF2B91">
        <w:t>minimizing spending is a challenge.</w:t>
      </w:r>
      <w:r w:rsidRPr="00D764E9">
        <w:t xml:space="preserve"> Among the </w:t>
      </w:r>
      <w:r w:rsidR="006D7969">
        <w:t xml:space="preserve">four </w:t>
      </w:r>
      <w:r w:rsidRPr="00D764E9">
        <w:t xml:space="preserve">indicators, whether the utmost improvement precedence should </w:t>
      </w:r>
      <w:r w:rsidR="00EF2B91">
        <w:t>emphasize</w:t>
      </w:r>
      <w:r w:rsidRPr="00D764E9">
        <w:t xml:space="preserve"> </w:t>
      </w:r>
      <w:r w:rsidR="006D7969">
        <w:t>“</w:t>
      </w:r>
      <w:r w:rsidRPr="00D764E9">
        <w:t>passenger civilization</w:t>
      </w:r>
      <w:r w:rsidR="006D7969">
        <w:t>”</w:t>
      </w:r>
      <w:r w:rsidRPr="00D764E9">
        <w:t xml:space="preserve"> on the </w:t>
      </w:r>
      <w:r w:rsidR="00EF2B91">
        <w:t xml:space="preserve">basis of </w:t>
      </w:r>
      <w:r w:rsidRPr="00D764E9">
        <w:t xml:space="preserve">service score (lowest service score) or </w:t>
      </w:r>
      <w:r w:rsidR="006D7969">
        <w:t>“</w:t>
      </w:r>
      <w:r w:rsidRPr="00D764E9">
        <w:t>ticketing system</w:t>
      </w:r>
      <w:r w:rsidR="006D7969">
        <w:t>”</w:t>
      </w:r>
      <w:r w:rsidRPr="00D764E9">
        <w:t xml:space="preserve"> on the </w:t>
      </w:r>
      <w:r w:rsidR="00EF2B91">
        <w:t xml:space="preserve">basis of </w:t>
      </w:r>
      <w:r w:rsidRPr="00D764E9">
        <w:t>indicator weight (highest indicator weight)</w:t>
      </w:r>
      <w:r w:rsidR="00EF2B91">
        <w:t xml:space="preserve"> Must be decided.</w:t>
      </w:r>
      <w:r w:rsidRPr="00D764E9">
        <w:t xml:space="preserve"> </w:t>
      </w:r>
      <w:commentRangeStart w:id="25"/>
      <w:r w:rsidR="00EF2B91">
        <w:t xml:space="preserve">An arbitrary assignment of the improvement precedence to one out </w:t>
      </w:r>
      <w:r w:rsidRPr="00D764E9">
        <w:t xml:space="preserve">of the </w:t>
      </w:r>
      <w:r w:rsidR="00EF2B91">
        <w:t>four</w:t>
      </w:r>
      <w:r w:rsidRPr="00D764E9">
        <w:t xml:space="preserve"> indicators </w:t>
      </w:r>
      <w:r w:rsidR="00EF2B91">
        <w:t>is impossible;</w:t>
      </w:r>
      <w:r w:rsidRPr="00D764E9">
        <w:t xml:space="preserve"> </w:t>
      </w:r>
      <w:commentRangeEnd w:id="25"/>
      <w:r w:rsidR="00EF2B91">
        <w:rPr>
          <w:rStyle w:val="CommentReference"/>
        </w:rPr>
        <w:commentReference w:id="25"/>
      </w:r>
      <w:commentRangeStart w:id="26"/>
      <w:r w:rsidRPr="00D764E9">
        <w:t>others</w:t>
      </w:r>
      <w:commentRangeEnd w:id="26"/>
      <w:r w:rsidR="00EF2B91">
        <w:rPr>
          <w:rStyle w:val="CommentReference"/>
        </w:rPr>
        <w:commentReference w:id="26"/>
      </w:r>
      <w:r w:rsidRPr="00D764E9">
        <w:t xml:space="preserve"> can be temporarily ignored </w:t>
      </w:r>
      <w:r w:rsidR="00EF2B91">
        <w:t xml:space="preserve">in this process </w:t>
      </w:r>
      <w:r w:rsidRPr="00D764E9">
        <w:t xml:space="preserve">because such behavior is neither precise nor </w:t>
      </w:r>
      <w:commentRangeStart w:id="27"/>
      <w:r w:rsidRPr="00D764E9">
        <w:t>responsible</w:t>
      </w:r>
      <w:commentRangeEnd w:id="27"/>
      <w:r w:rsidR="00EF2B91">
        <w:rPr>
          <w:rStyle w:val="CommentReference"/>
        </w:rPr>
        <w:commentReference w:id="27"/>
      </w:r>
      <w:r w:rsidRPr="00D764E9">
        <w:t>.</w:t>
      </w:r>
    </w:p>
    <w:p w14:paraId="537E2D10" w14:textId="66A8D9FC" w:rsidR="007D651E" w:rsidRPr="00D764E9" w:rsidRDefault="007D651E" w:rsidP="00417BDA">
      <w:pPr>
        <w:spacing w:afterLines="50" w:after="156"/>
        <w:ind w:firstLine="480"/>
      </w:pPr>
      <w:r w:rsidRPr="00D764E9">
        <w:t xml:space="preserve">Another shortcoming of IPA is the </w:t>
      </w:r>
      <w:r w:rsidR="00F331DF">
        <w:t>use of</w:t>
      </w:r>
      <w:r w:rsidRPr="00D764E9">
        <w:t xml:space="preserve"> the average value as the boundaries. The </w:t>
      </w:r>
      <w:r w:rsidR="00F331DF">
        <w:t>division of</w:t>
      </w:r>
      <w:r w:rsidRPr="00D764E9">
        <w:t xml:space="preserve"> the quadrants by the average value is subjective and lack</w:t>
      </w:r>
      <w:r w:rsidR="00F331DF">
        <w:t>s</w:t>
      </w:r>
      <w:r w:rsidRPr="00D764E9">
        <w:t xml:space="preserve"> persuasiveness. </w:t>
      </w:r>
      <w:r w:rsidR="00F331DF">
        <w:t>The adoption of</w:t>
      </w:r>
      <w:r w:rsidRPr="00D764E9">
        <w:t xml:space="preserve"> the average value </w:t>
      </w:r>
      <w:r w:rsidR="00F331DF">
        <w:t>as</w:t>
      </w:r>
      <w:r w:rsidRPr="00D764E9">
        <w:t xml:space="preserve"> the boundaries</w:t>
      </w:r>
      <w:r w:rsidR="00F331DF">
        <w:t xml:space="preserve"> raises the question of whether</w:t>
      </w:r>
      <w:r w:rsidRPr="00D764E9">
        <w:t xml:space="preserve"> the median, geometric mean, harmonic mean</w:t>
      </w:r>
      <w:r w:rsidR="00F331DF">
        <w:t>,</w:t>
      </w:r>
      <w:r w:rsidRPr="00D764E9">
        <w:t xml:space="preserve"> or any other </w:t>
      </w:r>
      <w:commentRangeStart w:id="28"/>
      <w:r w:rsidRPr="00D764E9">
        <w:t>one</w:t>
      </w:r>
      <w:commentRangeEnd w:id="28"/>
      <w:r w:rsidR="00F331DF">
        <w:rPr>
          <w:rStyle w:val="CommentReference"/>
        </w:rPr>
        <w:commentReference w:id="28"/>
      </w:r>
      <w:r w:rsidRPr="00D764E9">
        <w:t xml:space="preserve"> </w:t>
      </w:r>
      <w:r w:rsidRPr="00D764E9">
        <w:lastRenderedPageBreak/>
        <w:t>can also be</w:t>
      </w:r>
      <w:r w:rsidR="00F331DF">
        <w:t>come</w:t>
      </w:r>
      <w:r w:rsidRPr="00D764E9">
        <w:t xml:space="preserve"> the basis for boundaries</w:t>
      </w:r>
      <w:r w:rsidR="00F331DF">
        <w:t>.</w:t>
      </w:r>
      <w:r w:rsidRPr="00D764E9">
        <w:t xml:space="preserve"> Such division basis will lead to </w:t>
      </w:r>
      <w:r w:rsidR="008B44EF">
        <w:t>an</w:t>
      </w:r>
      <w:r w:rsidR="008B44EF" w:rsidRPr="00D764E9">
        <w:t xml:space="preserve"> </w:t>
      </w:r>
      <w:r w:rsidRPr="00D764E9">
        <w:t xml:space="preserve">entirely different classification, </w:t>
      </w:r>
      <w:r w:rsidR="00E000A5">
        <w:t xml:space="preserve">and the accuracy of </w:t>
      </w:r>
      <w:r w:rsidRPr="00D764E9">
        <w:t xml:space="preserve">such division basis is </w:t>
      </w:r>
      <w:r w:rsidR="00E000A5">
        <w:t>undetermined</w:t>
      </w:r>
      <w:r w:rsidRPr="00D764E9">
        <w:t xml:space="preserve">. </w:t>
      </w:r>
      <w:r w:rsidR="00E000A5">
        <w:t xml:space="preserve">With </w:t>
      </w:r>
      <w:r w:rsidRPr="00D764E9">
        <w:t xml:space="preserve">Figure 3 as </w:t>
      </w:r>
      <w:r w:rsidR="00E000A5">
        <w:t>an</w:t>
      </w:r>
      <w:r w:rsidR="00E000A5" w:rsidRPr="00D764E9">
        <w:t xml:space="preserve"> </w:t>
      </w:r>
      <w:r w:rsidRPr="00D764E9">
        <w:t xml:space="preserve">example, we slightly lower the boundaries of </w:t>
      </w:r>
      <w:r w:rsidR="00E000A5">
        <w:t xml:space="preserve">the </w:t>
      </w:r>
      <w:r w:rsidRPr="00D764E9">
        <w:t>indicator scores and indicator weight</w:t>
      </w:r>
      <w:r w:rsidR="00E000A5">
        <w:t>s</w:t>
      </w:r>
      <w:r w:rsidRPr="00D764E9">
        <w:t xml:space="preserve">. </w:t>
      </w:r>
      <w:r w:rsidR="003D13B5">
        <w:t>“</w:t>
      </w:r>
      <w:r w:rsidRPr="00D764E9">
        <w:t>Ticketing system</w:t>
      </w:r>
      <w:r w:rsidR="00E000A5">
        <w:t>,</w:t>
      </w:r>
      <w:r w:rsidR="003D13B5">
        <w:t>”</w:t>
      </w:r>
      <w:r w:rsidRPr="00D764E9">
        <w:t xml:space="preserve"> </w:t>
      </w:r>
      <w:r w:rsidR="00E000A5">
        <w:t xml:space="preserve">which </w:t>
      </w:r>
      <w:r w:rsidRPr="00D764E9">
        <w:t>originally belong</w:t>
      </w:r>
      <w:r w:rsidR="00E000A5">
        <w:t>ed</w:t>
      </w:r>
      <w:r w:rsidRPr="00D764E9">
        <w:t xml:space="preserve"> to the indicator need</w:t>
      </w:r>
      <w:r w:rsidR="00E000A5">
        <w:t xml:space="preserve">ing </w:t>
      </w:r>
      <w:r w:rsidRPr="00D764E9">
        <w:t>to be improved</w:t>
      </w:r>
      <w:r w:rsidR="00E000A5">
        <w:t>,</w:t>
      </w:r>
      <w:r w:rsidRPr="00D764E9">
        <w:t xml:space="preserve"> </w:t>
      </w:r>
      <w:r w:rsidR="00E000A5">
        <w:t xml:space="preserve">is </w:t>
      </w:r>
      <w:r w:rsidRPr="00D764E9">
        <w:t xml:space="preserve">now </w:t>
      </w:r>
      <w:r w:rsidR="00E000A5">
        <w:t>under</w:t>
      </w:r>
      <w:r w:rsidRPr="00D764E9">
        <w:t xml:space="preserve"> the </w:t>
      </w:r>
      <w:r w:rsidR="003D13B5">
        <w:t>“</w:t>
      </w:r>
      <w:r w:rsidRPr="00D764E9">
        <w:t>advantage</w:t>
      </w:r>
      <w:r w:rsidR="008B44EF">
        <w:t>-</w:t>
      </w:r>
      <w:r w:rsidRPr="00D764E9">
        <w:t>impacted</w:t>
      </w:r>
      <w:r w:rsidR="003D13B5">
        <w:t>”</w:t>
      </w:r>
      <w:r w:rsidRPr="00D764E9">
        <w:t xml:space="preserve"> indicator (red dash in Figure 3).</w:t>
      </w:r>
    </w:p>
    <w:p w14:paraId="2A939163" w14:textId="77777777" w:rsidR="00417B55" w:rsidRPr="00D764E9" w:rsidRDefault="00990ABD" w:rsidP="00417BDA">
      <w:pPr>
        <w:pStyle w:val="Heading2"/>
        <w:spacing w:before="0" w:beforeAutospacing="0" w:afterLines="50" w:after="156" w:afterAutospacing="0"/>
      </w:pPr>
      <w:r w:rsidRPr="00D764E9">
        <w:rPr>
          <w:b w:val="0"/>
          <w:bCs w:val="0"/>
        </w:rPr>
        <w:t>4.4 Comparative analysis between PP and IPA</w:t>
      </w:r>
    </w:p>
    <w:p w14:paraId="7A3D3CE2" w14:textId="4584352B" w:rsidR="005D0ABE" w:rsidRPr="00D764E9" w:rsidRDefault="003B4E75" w:rsidP="00417BDA">
      <w:pPr>
        <w:spacing w:afterLines="50" w:after="156"/>
        <w:ind w:firstLine="480"/>
      </w:pPr>
      <w:r>
        <w:t xml:space="preserve">As shown in </w:t>
      </w:r>
      <w:r w:rsidR="00D80935" w:rsidRPr="00D764E9">
        <w:t xml:space="preserve">Figure 2, </w:t>
      </w:r>
      <w:r w:rsidR="0052480A">
        <w:t xml:space="preserve">the </w:t>
      </w:r>
      <w:r w:rsidR="00D80935" w:rsidRPr="00D764E9">
        <w:t xml:space="preserve">11 factor indicators can be divided into </w:t>
      </w:r>
      <w:r>
        <w:t xml:space="preserve">three </w:t>
      </w:r>
      <w:r w:rsidR="00D80935" w:rsidRPr="00D764E9">
        <w:t>sections according to their respective inflection point</w:t>
      </w:r>
      <w:r w:rsidR="00E000A5">
        <w:t>s</w:t>
      </w:r>
      <w:r w:rsidR="00D80935" w:rsidRPr="00D764E9">
        <w:t xml:space="preserve"> of </w:t>
      </w:r>
      <w:r w:rsidR="00E000A5">
        <w:t xml:space="preserve">the </w:t>
      </w:r>
      <w:r w:rsidR="000E2630">
        <w:t>PP</w:t>
      </w:r>
      <w:r w:rsidR="00D80935" w:rsidRPr="00D764E9">
        <w:t xml:space="preserve"> curve. Each factor has its own </w:t>
      </w:r>
      <w:r w:rsidR="000E2630">
        <w:t>PP</w:t>
      </w:r>
      <w:r w:rsidR="00D80935" w:rsidRPr="00D764E9">
        <w:t xml:space="preserve"> value ranking from the largest to the smallest, </w:t>
      </w:r>
      <w:r w:rsidR="00EB0D07">
        <w:t xml:space="preserve">thereby overcoming </w:t>
      </w:r>
      <w:r w:rsidR="00D80935" w:rsidRPr="00D764E9">
        <w:t xml:space="preserve">the shortcomings </w:t>
      </w:r>
      <w:r w:rsidR="00EB0D07">
        <w:t xml:space="preserve">stated </w:t>
      </w:r>
      <w:r w:rsidR="00D80935" w:rsidRPr="00D764E9">
        <w:t xml:space="preserve">in Chapter 4.3. </w:t>
      </w:r>
      <w:r>
        <w:t>The r</w:t>
      </w:r>
      <w:r w:rsidR="00D80935" w:rsidRPr="00D764E9">
        <w:t xml:space="preserve">esult differences of the two methods </w:t>
      </w:r>
      <w:r w:rsidR="00EB0D07">
        <w:t>are</w:t>
      </w:r>
      <w:r w:rsidR="00D80935" w:rsidRPr="00D764E9">
        <w:t xml:space="preserve"> further analyzed in the following</w:t>
      </w:r>
      <w:r>
        <w:t xml:space="preserve"> sections</w:t>
      </w:r>
      <w:r w:rsidR="00D80935" w:rsidRPr="00D764E9">
        <w:t>.</w:t>
      </w:r>
    </w:p>
    <w:p w14:paraId="1A55939A" w14:textId="5813DE1C" w:rsidR="0022429F" w:rsidRPr="00D764E9" w:rsidRDefault="00EB0D07" w:rsidP="00417BDA">
      <w:pPr>
        <w:spacing w:afterLines="50" w:after="156"/>
        <w:ind w:firstLine="480"/>
      </w:pPr>
      <w:r>
        <w:t>The first difference between</w:t>
      </w:r>
      <w:r w:rsidR="00861AB3" w:rsidRPr="00D764E9">
        <w:t xml:space="preserve"> </w:t>
      </w:r>
      <w:r w:rsidR="003B4E75">
        <w:t xml:space="preserve">the </w:t>
      </w:r>
      <w:r w:rsidR="00861AB3" w:rsidRPr="00D764E9">
        <w:t xml:space="preserve">IPA </w:t>
      </w:r>
      <w:r>
        <w:t xml:space="preserve">and PP </w:t>
      </w:r>
      <w:r w:rsidR="00861AB3" w:rsidRPr="00D764E9">
        <w:t>method results</w:t>
      </w:r>
      <w:r>
        <w:t xml:space="preserve"> is that</w:t>
      </w:r>
      <w:r w:rsidR="00861AB3" w:rsidRPr="00D764E9">
        <w:t xml:space="preserve"> </w:t>
      </w:r>
      <w:r w:rsidR="003B4E75">
        <w:t xml:space="preserve">the three </w:t>
      </w:r>
      <w:r w:rsidR="00861AB3" w:rsidRPr="00D764E9">
        <w:t xml:space="preserve">indicators </w:t>
      </w:r>
      <w:r w:rsidR="003B4E75">
        <w:t xml:space="preserve">with </w:t>
      </w:r>
      <w:r w:rsidR="00861AB3" w:rsidRPr="00D764E9">
        <w:t xml:space="preserve">the utmost improvement precedence in the </w:t>
      </w:r>
      <w:r>
        <w:t>latter</w:t>
      </w:r>
      <w:r w:rsidR="00861AB3" w:rsidRPr="00D764E9">
        <w:t xml:space="preserve"> method</w:t>
      </w:r>
      <w:r>
        <w:t>, namely,</w:t>
      </w:r>
      <w:r w:rsidR="00861AB3" w:rsidRPr="00D764E9">
        <w:t xml:space="preserve"> </w:t>
      </w:r>
      <w:r w:rsidR="003B4E75">
        <w:t>“</w:t>
      </w:r>
      <w:r w:rsidR="00861AB3" w:rsidRPr="00D764E9">
        <w:t>service facility,</w:t>
      </w:r>
      <w:r w:rsidR="003B4E75">
        <w:t>”</w:t>
      </w:r>
      <w:r w:rsidR="00861AB3" w:rsidRPr="00D764E9">
        <w:t xml:space="preserve"> </w:t>
      </w:r>
      <w:r w:rsidR="003B4E75">
        <w:t>“</w:t>
      </w:r>
      <w:r w:rsidR="00861AB3" w:rsidRPr="00D764E9">
        <w:t>safety</w:t>
      </w:r>
      <w:r w:rsidR="003B4E75">
        <w:t>,”</w:t>
      </w:r>
      <w:r w:rsidR="00861AB3" w:rsidRPr="00D764E9">
        <w:t xml:space="preserve"> and </w:t>
      </w:r>
      <w:r w:rsidR="003B4E75">
        <w:t>“</w:t>
      </w:r>
      <w:r w:rsidR="00861AB3" w:rsidRPr="00D764E9">
        <w:t>train information</w:t>
      </w:r>
      <w:r w:rsidR="003B4E75">
        <w:t>,”</w:t>
      </w:r>
      <w:r w:rsidR="00861AB3" w:rsidRPr="00D764E9">
        <w:t xml:space="preserve"> </w:t>
      </w:r>
      <w:r>
        <w:t>are classified by</w:t>
      </w:r>
      <w:r w:rsidR="00861AB3" w:rsidRPr="00D764E9">
        <w:t xml:space="preserve"> IPA </w:t>
      </w:r>
      <w:r>
        <w:t>in</w:t>
      </w:r>
      <w:r w:rsidRPr="00D764E9">
        <w:t xml:space="preserve"> </w:t>
      </w:r>
      <w:r w:rsidR="0052480A">
        <w:t xml:space="preserve">the </w:t>
      </w:r>
      <w:r w:rsidR="003B4E75">
        <w:t>“</w:t>
      </w:r>
      <w:r w:rsidR="00861AB3" w:rsidRPr="00D764E9">
        <w:t>advantage</w:t>
      </w:r>
      <w:r w:rsidR="0052480A">
        <w:t>-</w:t>
      </w:r>
      <w:r w:rsidR="00861AB3" w:rsidRPr="00D764E9">
        <w:t>impacted</w:t>
      </w:r>
      <w:r w:rsidR="003B4E75">
        <w:t>”</w:t>
      </w:r>
      <w:r w:rsidR="0052480A">
        <w:t xml:space="preserve"> quadrant</w:t>
      </w:r>
      <w:r w:rsidR="00861AB3" w:rsidRPr="00D764E9">
        <w:t>.</w:t>
      </w:r>
    </w:p>
    <w:p w14:paraId="600C4B31" w14:textId="1230A636" w:rsidR="0083201B" w:rsidRPr="00D764E9" w:rsidRDefault="007C3D85" w:rsidP="00417BDA">
      <w:pPr>
        <w:spacing w:afterLines="50" w:after="156"/>
        <w:ind w:firstLine="480"/>
      </w:pPr>
      <w:r w:rsidRPr="00D764E9">
        <w:t>Th</w:t>
      </w:r>
      <w:r w:rsidR="00EB0D07">
        <w:t xml:space="preserve">is disparity and the </w:t>
      </w:r>
      <w:r w:rsidRPr="00D764E9">
        <w:t xml:space="preserve">classification division </w:t>
      </w:r>
      <w:r w:rsidR="00EB0D07">
        <w:t>are</w:t>
      </w:r>
      <w:r w:rsidR="00457EC9" w:rsidRPr="00D764E9">
        <w:t xml:space="preserve"> </w:t>
      </w:r>
      <w:r w:rsidRPr="00D764E9">
        <w:t xml:space="preserve">analyzed in the following </w:t>
      </w:r>
      <w:r w:rsidR="003B4E75">
        <w:t>section</w:t>
      </w:r>
      <w:r w:rsidRPr="00D764E9">
        <w:t>. In China, satisfaction survey</w:t>
      </w:r>
      <w:r w:rsidR="00EB0D07">
        <w:t>s</w:t>
      </w:r>
      <w:r w:rsidRPr="00D764E9">
        <w:t xml:space="preserve"> </w:t>
      </w:r>
      <w:r w:rsidR="00EB0D07">
        <w:t>are administered</w:t>
      </w:r>
      <w:r w:rsidR="00457EC9" w:rsidRPr="00D764E9">
        <w:t xml:space="preserve"> </w:t>
      </w:r>
      <w:r w:rsidR="00EB0D07">
        <w:t>every day</w:t>
      </w:r>
      <w:r w:rsidRPr="00D764E9">
        <w:t xml:space="preserve"> to diagnose service levels. </w:t>
      </w:r>
      <w:r w:rsidR="003B4E75">
        <w:t xml:space="preserve">A short </w:t>
      </w:r>
      <w:r w:rsidRPr="00D764E9">
        <w:t>survey analysis period lead</w:t>
      </w:r>
      <w:r w:rsidR="00457EC9">
        <w:t>s</w:t>
      </w:r>
      <w:r w:rsidRPr="00D764E9">
        <w:t xml:space="preserve"> to small improvement effects o</w:t>
      </w:r>
      <w:r w:rsidR="00EB0D07">
        <w:t>n</w:t>
      </w:r>
      <w:r w:rsidRPr="00D764E9">
        <w:t xml:space="preserve"> passenger satisfaction. In the short term, the interactive relationship between one indicator</w:t>
      </w:r>
      <w:r w:rsidR="003B4E75">
        <w:t>’</w:t>
      </w:r>
      <w:r w:rsidRPr="00D764E9">
        <w:t>s importance and its score can be unchanged. Suppose that the improvement</w:t>
      </w:r>
      <w:r w:rsidR="00CE12D0">
        <w:t xml:space="preserve"> goal</w:t>
      </w:r>
      <w:r w:rsidRPr="00D764E9">
        <w:t xml:space="preserve"> is to </w:t>
      </w:r>
      <w:r w:rsidR="00CE12D0">
        <w:t>increase</w:t>
      </w:r>
      <w:r w:rsidR="00CE12D0" w:rsidRPr="00D764E9">
        <w:t xml:space="preserve"> </w:t>
      </w:r>
      <w:r w:rsidRPr="00D764E9">
        <w:t xml:space="preserve">satisfaction, which is analyzed with the examples of </w:t>
      </w:r>
      <w:r w:rsidR="003B4E75">
        <w:t>“</w:t>
      </w:r>
      <w:r w:rsidRPr="00D764E9">
        <w:t>safety</w:t>
      </w:r>
      <w:r w:rsidR="003B4E75">
        <w:t>”</w:t>
      </w:r>
      <w:r w:rsidRPr="00D764E9">
        <w:t xml:space="preserve"> and </w:t>
      </w:r>
      <w:r w:rsidR="003B4E75">
        <w:t>“</w:t>
      </w:r>
      <w:r w:rsidRPr="00D764E9">
        <w:t>ticketing system</w:t>
      </w:r>
      <w:r w:rsidR="003B4E75">
        <w:t>”</w:t>
      </w:r>
      <w:r w:rsidRPr="00D764E9">
        <w:t xml:space="preserve"> indicators. Suppose </w:t>
      </w:r>
      <w:r w:rsidR="003B4E75">
        <w:t xml:space="preserve">that </w:t>
      </w:r>
      <w:r w:rsidRPr="00D764E9">
        <w:t xml:space="preserve">the </w:t>
      </w:r>
      <w:r w:rsidR="000E2630">
        <w:t>PP</w:t>
      </w:r>
      <w:r w:rsidR="003B4E75">
        <w:t>s</w:t>
      </w:r>
      <w:r w:rsidRPr="00D764E9">
        <w:t xml:space="preserve"> of improvement are E</w:t>
      </w:r>
      <w:r w:rsidRPr="00D764E9">
        <w:rPr>
          <w:vertAlign w:val="subscript"/>
        </w:rPr>
        <w:t>1</w:t>
      </w:r>
      <w:r w:rsidRPr="00D764E9">
        <w:t xml:space="preserve"> and E</w:t>
      </w:r>
      <w:r w:rsidRPr="00D764E9">
        <w:rPr>
          <w:vertAlign w:val="subscript"/>
        </w:rPr>
        <w:t>2</w:t>
      </w:r>
      <w:r w:rsidRPr="00D764E9">
        <w:t>, and set ∆P</w:t>
      </w:r>
      <w:r w:rsidRPr="00D764E9">
        <w:rPr>
          <w:vertAlign w:val="subscript"/>
        </w:rPr>
        <w:t>1</w:t>
      </w:r>
      <w:r w:rsidRPr="00D764E9">
        <w:t>, ∆P</w:t>
      </w:r>
      <w:r w:rsidRPr="00D764E9">
        <w:rPr>
          <w:vertAlign w:val="subscript"/>
        </w:rPr>
        <w:t>2</w:t>
      </w:r>
      <w:r w:rsidRPr="00D764E9">
        <w:t xml:space="preserve">&gt;0 to represent their increase impacts. </w:t>
      </w:r>
      <w:r w:rsidR="00CE12D0">
        <w:t>Assume</w:t>
      </w:r>
      <w:r w:rsidRPr="00D764E9">
        <w:t xml:space="preserve"> that the improvement impacts ∆P</w:t>
      </w:r>
      <w:r w:rsidRPr="00D764E9">
        <w:rPr>
          <w:vertAlign w:val="subscript"/>
        </w:rPr>
        <w:t xml:space="preserve">1 </w:t>
      </w:r>
      <w:r w:rsidRPr="00D764E9">
        <w:t>and ∆P</w:t>
      </w:r>
      <w:r w:rsidRPr="00D764E9">
        <w:rPr>
          <w:vertAlign w:val="subscript"/>
        </w:rPr>
        <w:t xml:space="preserve">2 </w:t>
      </w:r>
      <w:r w:rsidRPr="00D764E9">
        <w:t>are few and equal.</w:t>
      </w:r>
    </w:p>
    <w:p w14:paraId="52AD853F" w14:textId="6F6510B3" w:rsidR="0083201B" w:rsidRPr="00D764E9" w:rsidRDefault="00E30AB3" w:rsidP="00417BDA">
      <w:pPr>
        <w:spacing w:afterLines="50" w:after="156"/>
        <w:ind w:firstLine="480"/>
        <w:jc w:val="left"/>
      </w:pPr>
      <w:r w:rsidRPr="00D764E9">
        <w:t xml:space="preserve">According to </w:t>
      </w:r>
      <w:r w:rsidR="003B4E75">
        <w:t xml:space="preserve">Equation </w:t>
      </w:r>
      <w:r w:rsidRPr="00D764E9">
        <w:t xml:space="preserve">(9), </w:t>
      </w:r>
      <w:r w:rsidR="003B4E75">
        <w:t xml:space="preserve">the </w:t>
      </w:r>
      <w:r w:rsidRPr="00D764E9">
        <w:t xml:space="preserve">overall impacts after improvement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3B4E75">
        <w:t xml:space="preserve"> </w:t>
      </w:r>
      <w:r w:rsidRPr="00D764E9">
        <w:t>and</w:t>
      </w:r>
      <w:r w:rsidR="003B4E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D764E9">
        <w:t xml:space="preserve"> can be compared.</w:t>
      </w:r>
    </w:p>
    <w:p w14:paraId="65DD91AF" w14:textId="24250DBF" w:rsidR="0083201B" w:rsidRPr="00D764E9" w:rsidRDefault="00457EC9" w:rsidP="00417BDA">
      <w:pPr>
        <w:spacing w:afterLines="50" w:after="156"/>
        <w:ind w:firstLine="480"/>
      </w:pPr>
      <w:r>
        <w:t>The following</w:t>
      </w:r>
      <w:r w:rsidRPr="00D764E9">
        <w:t xml:space="preserve"> </w:t>
      </w:r>
      <w:r w:rsidR="0083201B" w:rsidRPr="00D764E9">
        <w:t>can be gained through data substitution</w:t>
      </w:r>
      <w:r>
        <w:t>:</w:t>
      </w:r>
    </w:p>
    <w:p w14:paraId="002AD193" w14:textId="67729FD5" w:rsidR="00993276" w:rsidRPr="00D764E9" w:rsidRDefault="006F20BB" w:rsidP="00417BDA">
      <w:pPr>
        <w:spacing w:afterLines="50" w:after="156"/>
        <w:ind w:firstLineChars="767" w:firstLine="1841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=0.459+0.117∆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6A82" w:rsidRPr="00D764E9">
        <w:tab/>
      </w:r>
      <w:r w:rsidR="003B4E75">
        <w:t>.</w:t>
      </w:r>
      <w:r w:rsidR="006A6A82" w:rsidRPr="00D764E9">
        <w:tab/>
        <w:t xml:space="preserve">  (10)</w:t>
      </w:r>
    </w:p>
    <w:p w14:paraId="05B6B691" w14:textId="63E534CD" w:rsidR="0083201B" w:rsidRPr="00D764E9" w:rsidRDefault="00CE12D0" w:rsidP="00417BDA">
      <w:pPr>
        <w:spacing w:afterLines="50" w:after="156"/>
        <w:ind w:firstLine="480"/>
      </w:pPr>
      <w:r>
        <w:t>T</w:t>
      </w:r>
      <w:r w:rsidR="003B4E75">
        <w:t xml:space="preserve">he </w:t>
      </w:r>
      <w:r w:rsidR="00993276" w:rsidRPr="00D764E9">
        <w:t xml:space="preserve">satisfaction of improving </w:t>
      </w:r>
      <w:r w:rsidR="003B4E75">
        <w:t>“</w:t>
      </w:r>
      <w:r w:rsidR="00993276" w:rsidRPr="00D764E9">
        <w:t>safety</w:t>
      </w:r>
      <w:r w:rsidR="003B4E75">
        <w:t>”</w:t>
      </w:r>
      <w:r w:rsidR="00993276" w:rsidRPr="00D764E9">
        <w:t xml:space="preserve"> is higher than that of improving </w:t>
      </w:r>
      <w:r w:rsidR="003B4E75">
        <w:t>“</w:t>
      </w:r>
      <w:r w:rsidR="00993276" w:rsidRPr="00D764E9">
        <w:t>ticketing system.</w:t>
      </w:r>
      <w:r w:rsidR="003B4E75">
        <w:t>”</w:t>
      </w:r>
      <w:r w:rsidR="00993276" w:rsidRPr="00D764E9">
        <w:t xml:space="preserve"> Therefore, </w:t>
      </w:r>
      <w:r w:rsidR="003B4E75">
        <w:t>“</w:t>
      </w:r>
      <w:r w:rsidR="00993276" w:rsidRPr="00D764E9">
        <w:t>safety</w:t>
      </w:r>
      <w:r w:rsidR="003B4E75">
        <w:t>”</w:t>
      </w:r>
      <w:r w:rsidR="00993276" w:rsidRPr="00D764E9">
        <w:t xml:space="preserve"> cannot be included in the </w:t>
      </w:r>
      <w:r w:rsidR="003B4E75">
        <w:t>“</w:t>
      </w:r>
      <w:r w:rsidR="00993276" w:rsidRPr="00D764E9">
        <w:t>advantage</w:t>
      </w:r>
      <w:r w:rsidR="00EE0714">
        <w:t>-</w:t>
      </w:r>
      <w:r w:rsidR="00993276" w:rsidRPr="00D764E9">
        <w:t>impacted</w:t>
      </w:r>
      <w:r w:rsidR="003B4E75">
        <w:t>”</w:t>
      </w:r>
      <w:r w:rsidR="00993276" w:rsidRPr="00D764E9">
        <w:t xml:space="preserve"> category.</w:t>
      </w:r>
    </w:p>
    <w:p w14:paraId="4D869B10" w14:textId="0F451248" w:rsidR="00972FC1" w:rsidRPr="00D764E9" w:rsidRDefault="00E30AB3" w:rsidP="00417BDA">
      <w:pPr>
        <w:spacing w:afterLines="50" w:after="156"/>
        <w:ind w:firstLine="480"/>
      </w:pPr>
      <w:r w:rsidRPr="00D764E9">
        <w:t xml:space="preserve">According to </w:t>
      </w:r>
      <w:r w:rsidR="003B4E75">
        <w:t xml:space="preserve">Equations </w:t>
      </w:r>
      <w:r w:rsidRPr="00D764E9">
        <w:t xml:space="preserve">(4) and (5), the </w:t>
      </w:r>
      <w:r w:rsidR="000E2630">
        <w:t>PP</w:t>
      </w:r>
      <w:r w:rsidRPr="00D764E9">
        <w:t xml:space="preserve"> values are further compared</w:t>
      </w:r>
      <w:r w:rsidR="00CE12D0">
        <w:t xml:space="preserve">. </w:t>
      </w:r>
    </w:p>
    <w:p w14:paraId="3FF79A7A" w14:textId="77777777" w:rsidR="00C940CD" w:rsidRPr="00D764E9" w:rsidRDefault="00C940CD" w:rsidP="00417BDA">
      <w:pPr>
        <w:spacing w:afterLines="50" w:after="156"/>
        <w:ind w:firstLine="480"/>
        <w:jc w:val="right"/>
      </w:pPr>
    </w:p>
    <w:p w14:paraId="18EE0FF7" w14:textId="67DB0BAD" w:rsidR="00584EB0" w:rsidRPr="00D764E9" w:rsidRDefault="00C940CD" w:rsidP="00417BDA">
      <w:pPr>
        <w:spacing w:afterLines="50" w:after="156"/>
        <w:ind w:firstLineChars="59" w:firstLine="142"/>
        <w:jc w:val="right"/>
      </w:pPr>
      <w:r w:rsidRPr="00D764E9">
        <w:object w:dxaOrig="6660" w:dyaOrig="620" w14:anchorId="3424B4E5">
          <v:shape id="_x0000_i1026" type="#_x0000_t75" style="width:332.85pt;height:29.9pt" o:ole="">
            <v:imagedata r:id="rId14" o:title=""/>
          </v:shape>
          <o:OLEObject Type="Embed" ProgID="Equation.DSMT4" ShapeID="_x0000_i1026" DrawAspect="Content" ObjectID="_1593008406" r:id="rId15"/>
        </w:object>
      </w:r>
      <w:r w:rsidRPr="00D764E9">
        <w:t xml:space="preserve"> (11)</w:t>
      </w:r>
    </w:p>
    <w:p w14:paraId="7FE741CE" w14:textId="28D2BCFC" w:rsidR="00584EB0" w:rsidRPr="00D764E9" w:rsidRDefault="001A742D" w:rsidP="00417BDA">
      <w:pPr>
        <w:spacing w:afterLines="50" w:after="156"/>
        <w:ind w:firstLine="480"/>
      </w:pPr>
      <w:r w:rsidRPr="00D764E9">
        <w:t xml:space="preserve">When </w:t>
      </w:r>
      <w:r w:rsidRPr="00D764E9">
        <w:object w:dxaOrig="1260" w:dyaOrig="360" w14:anchorId="7F3C78C6">
          <v:shape id="_x0000_i1027" type="#_x0000_t75" style="width:62.5pt;height:18.35pt" o:ole="">
            <v:imagedata r:id="rId16" o:title=""/>
          </v:shape>
          <o:OLEObject Type="Embed" ProgID="Equation.DSMT4" ShapeID="_x0000_i1027" DrawAspect="Content" ObjectID="_1593008407" r:id="rId17"/>
        </w:object>
      </w:r>
      <w:r w:rsidRPr="00D764E9">
        <w:t xml:space="preserve"> (</w:t>
      </w:r>
      <w:r w:rsidR="0022739D">
        <w:t>Setting</w:t>
      </w:r>
      <w:r w:rsidRPr="00D764E9">
        <w:t xml:space="preserve"> the improvement value </w:t>
      </w:r>
      <w:r w:rsidR="0022739D">
        <w:t xml:space="preserve">to be </w:t>
      </w:r>
      <w:r w:rsidRPr="00D764E9">
        <w:t>over 1</w:t>
      </w:r>
      <w:r w:rsidR="00CE12D0">
        <w:t xml:space="preserve"> is generally </w:t>
      </w:r>
      <w:r w:rsidR="00CE12D0">
        <w:lastRenderedPageBreak/>
        <w:t>difficult.</w:t>
      </w:r>
      <w:r w:rsidRPr="00D764E9">
        <w:t>), E</w:t>
      </w:r>
      <w:r w:rsidRPr="00D764E9">
        <w:rPr>
          <w:vertAlign w:val="subscript"/>
        </w:rPr>
        <w:t>1</w:t>
      </w:r>
      <w:r w:rsidR="00CE12D0">
        <w:t>−</w:t>
      </w:r>
      <w:r w:rsidRPr="00D764E9">
        <w:t>E</w:t>
      </w:r>
      <w:r w:rsidRPr="00D764E9">
        <w:rPr>
          <w:vertAlign w:val="subscript"/>
        </w:rPr>
        <w:t>2</w:t>
      </w:r>
      <w:r w:rsidRPr="00D764E9">
        <w:t>&gt;0</w:t>
      </w:r>
      <w:r w:rsidR="00CE12D0">
        <w:t xml:space="preserve"> and</w:t>
      </w:r>
      <w:r w:rsidRPr="00D764E9">
        <w:t xml:space="preserve"> </w:t>
      </w:r>
      <w:r w:rsidR="003B4E75">
        <w:t xml:space="preserve">the </w:t>
      </w:r>
      <w:r w:rsidR="000E2630">
        <w:t>PP</w:t>
      </w:r>
      <w:r w:rsidRPr="00D764E9">
        <w:t xml:space="preserve"> value of </w:t>
      </w:r>
      <w:r w:rsidR="003B4E75">
        <w:t>“</w:t>
      </w:r>
      <w:r w:rsidRPr="00D764E9">
        <w:t>safety</w:t>
      </w:r>
      <w:r w:rsidR="003B4E75">
        <w:t>”</w:t>
      </w:r>
      <w:r w:rsidRPr="00D764E9">
        <w:t xml:space="preserve"> is higher than that of </w:t>
      </w:r>
      <w:r w:rsidR="003B4E75">
        <w:t>“</w:t>
      </w:r>
      <w:r w:rsidRPr="00D764E9">
        <w:t>ticketing system.</w:t>
      </w:r>
      <w:r w:rsidR="003B4E75">
        <w:t>”</w:t>
      </w:r>
      <w:r w:rsidRPr="00D764E9">
        <w:t xml:space="preserve"> Correspondingly, the improvement precedence is </w:t>
      </w:r>
      <w:r w:rsidR="00CE12D0">
        <w:t>increased,</w:t>
      </w:r>
      <w:r w:rsidRPr="00D764E9">
        <w:t xml:space="preserve"> and </w:t>
      </w:r>
      <w:r w:rsidR="003B4E75">
        <w:t>“</w:t>
      </w:r>
      <w:r w:rsidRPr="00D764E9">
        <w:t>safety</w:t>
      </w:r>
      <w:r w:rsidR="003B4E75">
        <w:t>”</w:t>
      </w:r>
      <w:r w:rsidRPr="00D764E9">
        <w:t xml:space="preserve"> should be concluded in the </w:t>
      </w:r>
      <w:r w:rsidR="003B4E75">
        <w:t>“</w:t>
      </w:r>
      <w:r w:rsidRPr="00D764E9">
        <w:t>prior improvement</w:t>
      </w:r>
      <w:r w:rsidR="003B4E75">
        <w:t>”</w:t>
      </w:r>
      <w:r w:rsidRPr="00D764E9">
        <w:t xml:space="preserve"> category. Therefore, division according to</w:t>
      </w:r>
      <w:r w:rsidR="00CE12D0">
        <w:t xml:space="preserve"> the</w:t>
      </w:r>
      <w:r w:rsidRPr="00D764E9">
        <w:t xml:space="preserve"> </w:t>
      </w:r>
      <w:r w:rsidR="000E2630">
        <w:t>PP</w:t>
      </w:r>
      <w:r w:rsidR="00CE12D0">
        <w:t>-based</w:t>
      </w:r>
      <w:r w:rsidRPr="00D764E9">
        <w:t xml:space="preserve"> method is more reasonable</w:t>
      </w:r>
      <w:r w:rsidR="00CE12D0">
        <w:t xml:space="preserve"> </w:t>
      </w:r>
      <w:commentRangeStart w:id="29"/>
      <w:r w:rsidR="00CE12D0">
        <w:t>than that according to IPA</w:t>
      </w:r>
      <w:commentRangeEnd w:id="29"/>
      <w:r w:rsidR="00CE12D0">
        <w:rPr>
          <w:rStyle w:val="CommentReference"/>
        </w:rPr>
        <w:commentReference w:id="29"/>
      </w:r>
      <w:r w:rsidRPr="00D764E9">
        <w:t>.</w:t>
      </w:r>
    </w:p>
    <w:p w14:paraId="65D47C30" w14:textId="07747991" w:rsidR="00861AB3" w:rsidRPr="00D764E9" w:rsidRDefault="00595941" w:rsidP="00417BDA">
      <w:pPr>
        <w:spacing w:afterLines="50" w:after="156"/>
        <w:ind w:firstLine="480"/>
      </w:pPr>
      <w:commentRangeStart w:id="30"/>
      <w:r w:rsidRPr="00D764E9">
        <w:t xml:space="preserve">According to </w:t>
      </w:r>
      <w:r w:rsidR="003B4E75">
        <w:t xml:space="preserve">the </w:t>
      </w:r>
      <w:r w:rsidRPr="00D764E9">
        <w:t>regulations in</w:t>
      </w:r>
      <w:r w:rsidR="003B4E75">
        <w:t xml:space="preserve"> </w:t>
      </w:r>
      <w:r w:rsidRPr="00D764E9">
        <w:t xml:space="preserve">IPA theory, </w:t>
      </w:r>
      <w:r w:rsidR="00CE12D0">
        <w:t>the “</w:t>
      </w:r>
      <w:r w:rsidR="00CE12D0" w:rsidRPr="00D764E9">
        <w:t>secondary improvement</w:t>
      </w:r>
      <w:r w:rsidR="00CE12D0">
        <w:t>”</w:t>
      </w:r>
      <w:r w:rsidR="00CE12D0" w:rsidRPr="00D764E9">
        <w:t xml:space="preserve"> quadrant is of relatively higher improvement precedence</w:t>
      </w:r>
      <w:r w:rsidR="00CE12D0">
        <w:t xml:space="preserve"> than</w:t>
      </w:r>
      <w:r w:rsidR="00CE12D0" w:rsidRPr="00D764E9">
        <w:t xml:space="preserve"> </w:t>
      </w:r>
      <w:r w:rsidRPr="00D764E9">
        <w:t xml:space="preserve">the </w:t>
      </w:r>
      <w:r w:rsidR="003B4E75">
        <w:t>“</w:t>
      </w:r>
      <w:r w:rsidRPr="00D764E9">
        <w:t>secondary improvement</w:t>
      </w:r>
      <w:r w:rsidR="003B4E75">
        <w:t>”</w:t>
      </w:r>
      <w:r w:rsidRPr="00D764E9">
        <w:t xml:space="preserve"> and </w:t>
      </w:r>
      <w:r w:rsidR="003B4E75">
        <w:t>“</w:t>
      </w:r>
      <w:r w:rsidRPr="00D764E9">
        <w:t>status quo</w:t>
      </w:r>
      <w:r w:rsidR="00EE0714">
        <w:t>-</w:t>
      </w:r>
      <w:r w:rsidRPr="00D764E9">
        <w:t>held</w:t>
      </w:r>
      <w:r w:rsidR="003B4E75">
        <w:t>”</w:t>
      </w:r>
      <w:r w:rsidRPr="00D764E9">
        <w:t xml:space="preserve"> quadrant</w:t>
      </w:r>
      <w:r w:rsidR="003B4E75">
        <w:t>s</w:t>
      </w:r>
      <w:r w:rsidR="00CE12D0">
        <w:t>,</w:t>
      </w:r>
      <w:r w:rsidRPr="00D764E9">
        <w:t xml:space="preserve"> </w:t>
      </w:r>
      <w:r w:rsidR="00CE12D0">
        <w:t>which</w:t>
      </w:r>
      <w:r w:rsidR="00CE12D0" w:rsidRPr="00D764E9">
        <w:t xml:space="preserve"> </w:t>
      </w:r>
      <w:r w:rsidRPr="00D764E9">
        <w:t>both have relative weight</w:t>
      </w:r>
      <w:r w:rsidR="00CE12D0">
        <w:t>s</w:t>
      </w:r>
      <w:r w:rsidRPr="00D764E9">
        <w:t>, due to the lower indicator scores</w:t>
      </w:r>
      <w:r w:rsidR="00CE12D0">
        <w:t xml:space="preserve"> of the former</w:t>
      </w:r>
      <w:r w:rsidRPr="00D764E9">
        <w:t>. In the PP</w:t>
      </w:r>
      <w:r w:rsidR="00CE12D0">
        <w:t>-based</w:t>
      </w:r>
      <w:r w:rsidRPr="00D764E9">
        <w:t xml:space="preserve"> method, </w:t>
      </w:r>
      <w:r w:rsidR="003B4E75">
        <w:t>“</w:t>
      </w:r>
      <w:r w:rsidRPr="00D764E9">
        <w:t>ticketing system,</w:t>
      </w:r>
      <w:r w:rsidR="003B4E75">
        <w:t>”</w:t>
      </w:r>
      <w:r w:rsidRPr="00D764E9">
        <w:t xml:space="preserve"> </w:t>
      </w:r>
      <w:r w:rsidR="003B4E75">
        <w:t>“</w:t>
      </w:r>
      <w:r w:rsidRPr="00D764E9">
        <w:t>transfer shuttle</w:t>
      </w:r>
      <w:r w:rsidR="003B4E75">
        <w:t>,”</w:t>
      </w:r>
      <w:r w:rsidRPr="00D764E9">
        <w:t xml:space="preserve"> and </w:t>
      </w:r>
      <w:r w:rsidR="003B4E75">
        <w:t>“</w:t>
      </w:r>
      <w:r w:rsidRPr="00D764E9">
        <w:t>peak waiting time</w:t>
      </w:r>
      <w:r w:rsidR="004677A4">
        <w:t>,</w:t>
      </w:r>
      <w:r w:rsidR="003B4E75">
        <w:t>”</w:t>
      </w:r>
      <w:r w:rsidRPr="00D764E9">
        <w:t xml:space="preserve"> </w:t>
      </w:r>
      <w:r w:rsidR="004677A4">
        <w:t>which are in</w:t>
      </w:r>
      <w:r w:rsidRPr="00D764E9">
        <w:t xml:space="preserve"> the </w:t>
      </w:r>
      <w:r w:rsidR="003B4E75">
        <w:t>“</w:t>
      </w:r>
      <w:r w:rsidRPr="00D764E9">
        <w:t>secondary improvement</w:t>
      </w:r>
      <w:r w:rsidR="003B4E75">
        <w:t>”</w:t>
      </w:r>
      <w:r w:rsidRPr="00D764E9">
        <w:t xml:space="preserve"> quadrant in IPA</w:t>
      </w:r>
      <w:r w:rsidR="004677A4">
        <w:t>,</w:t>
      </w:r>
      <w:r w:rsidRPr="00D764E9">
        <w:t xml:space="preserve"> are of higher improvement precedence than </w:t>
      </w:r>
      <w:r w:rsidR="003B4E75">
        <w:t>“</w:t>
      </w:r>
      <w:r w:rsidR="00CE12D0">
        <w:t xml:space="preserve">passenger comfort in </w:t>
      </w:r>
      <w:r w:rsidRPr="00D764E9">
        <w:t>train,</w:t>
      </w:r>
      <w:r w:rsidR="003B4E75">
        <w:t>”</w:t>
      </w:r>
      <w:r w:rsidRPr="00D764E9">
        <w:t xml:space="preserve"> </w:t>
      </w:r>
      <w:r w:rsidR="003B4E75">
        <w:t>“</w:t>
      </w:r>
      <w:r w:rsidR="00CE12D0">
        <w:t xml:space="preserve">passenger comfort in station hall </w:t>
      </w:r>
      <w:r w:rsidRPr="00D764E9">
        <w:t>platform</w:t>
      </w:r>
      <w:r w:rsidR="004677A4">
        <w:t xml:space="preserve"> and passage</w:t>
      </w:r>
      <w:r w:rsidR="003B4E75">
        <w:t>,”</w:t>
      </w:r>
      <w:r w:rsidRPr="00D764E9">
        <w:t xml:space="preserve"> and </w:t>
      </w:r>
      <w:r w:rsidR="003B4E75">
        <w:t>“</w:t>
      </w:r>
      <w:r w:rsidRPr="00D764E9">
        <w:t>personnel service</w:t>
      </w:r>
      <w:r w:rsidR="004677A4">
        <w:t>,</w:t>
      </w:r>
      <w:r w:rsidR="003B4E75">
        <w:t>”</w:t>
      </w:r>
      <w:r w:rsidRPr="00D764E9">
        <w:t xml:space="preserve"> </w:t>
      </w:r>
      <w:r w:rsidR="004677A4">
        <w:t>which are in</w:t>
      </w:r>
      <w:r w:rsidRPr="00D764E9">
        <w:t xml:space="preserve"> the </w:t>
      </w:r>
      <w:r w:rsidR="003B4E75">
        <w:t>“</w:t>
      </w:r>
      <w:r w:rsidRPr="00D764E9">
        <w:t>status quo</w:t>
      </w:r>
      <w:r w:rsidR="00EE0714">
        <w:t>-</w:t>
      </w:r>
      <w:r w:rsidRPr="00D764E9">
        <w:t>held</w:t>
      </w:r>
      <w:r w:rsidR="003B4E75">
        <w:t>”</w:t>
      </w:r>
      <w:r w:rsidRPr="00D764E9">
        <w:t xml:space="preserve"> quadrant in IPA</w:t>
      </w:r>
      <w:r w:rsidR="004677A4">
        <w:t xml:space="preserve">. These findings are </w:t>
      </w:r>
      <w:r w:rsidRPr="00D764E9">
        <w:t xml:space="preserve">consistent </w:t>
      </w:r>
      <w:r w:rsidR="004677A4">
        <w:t>between</w:t>
      </w:r>
      <w:r w:rsidRPr="00D764E9">
        <w:t xml:space="preserve"> </w:t>
      </w:r>
      <w:r w:rsidR="003B4E75">
        <w:t xml:space="preserve">the </w:t>
      </w:r>
      <w:r w:rsidRPr="00D764E9">
        <w:t>two methods.</w:t>
      </w:r>
      <w:commentRangeEnd w:id="30"/>
      <w:r w:rsidR="004677A4">
        <w:rPr>
          <w:rStyle w:val="CommentReference"/>
        </w:rPr>
        <w:commentReference w:id="30"/>
      </w:r>
    </w:p>
    <w:p w14:paraId="23AD1D1F" w14:textId="617AC01C" w:rsidR="00BF35A6" w:rsidRPr="00D764E9" w:rsidRDefault="00BF35A6" w:rsidP="00417BDA">
      <w:pPr>
        <w:spacing w:afterLines="50" w:after="156"/>
        <w:ind w:firstLine="480"/>
      </w:pPr>
      <w:r w:rsidRPr="00D764E9">
        <w:t>In IPA,</w:t>
      </w:r>
      <w:r w:rsidR="004677A4">
        <w:t xml:space="preserve"> the</w:t>
      </w:r>
      <w:r w:rsidRPr="00D764E9">
        <w:t xml:space="preserve"> </w:t>
      </w:r>
      <w:r w:rsidR="00671BA6">
        <w:t>“</w:t>
      </w:r>
      <w:r w:rsidRPr="00D764E9">
        <w:t>passenger civilization</w:t>
      </w:r>
      <w:r w:rsidR="00671BA6">
        <w:t>”</w:t>
      </w:r>
      <w:r w:rsidRPr="00D764E9">
        <w:t xml:space="preserve"> indicator is in the secondary improvement quadrant and </w:t>
      </w:r>
      <w:r w:rsidR="00671BA6">
        <w:t>“</w:t>
      </w:r>
      <w:r w:rsidRPr="00D764E9">
        <w:t>normal waiting time</w:t>
      </w:r>
      <w:r w:rsidR="00671BA6">
        <w:t>”</w:t>
      </w:r>
      <w:r w:rsidRPr="00D764E9">
        <w:t xml:space="preserve"> indicator is in the status quo</w:t>
      </w:r>
      <w:r w:rsidR="009F5118">
        <w:t>-</w:t>
      </w:r>
      <w:r w:rsidRPr="00D764E9">
        <w:t xml:space="preserve">held quadrant. The former is of higher precedence than the latter according to IPA regulations. </w:t>
      </w:r>
      <w:r w:rsidR="004677A4">
        <w:t>By contrast</w:t>
      </w:r>
      <w:r w:rsidRPr="00D764E9">
        <w:t xml:space="preserve">, in </w:t>
      </w:r>
      <w:r w:rsidR="00671BA6">
        <w:t xml:space="preserve">the </w:t>
      </w:r>
      <w:r w:rsidRPr="00D764E9">
        <w:t>PP</w:t>
      </w:r>
      <w:r w:rsidR="004677A4">
        <w:t>-based</w:t>
      </w:r>
      <w:r w:rsidRPr="00D764E9">
        <w:t xml:space="preserve"> method, the improvement precedence is reversed, which is the second difference between the new method and </w:t>
      </w:r>
      <w:r w:rsidR="004677A4">
        <w:t xml:space="preserve">the </w:t>
      </w:r>
      <w:r w:rsidRPr="00D764E9">
        <w:t xml:space="preserve">IPA method. Similar to the above analysis </w:t>
      </w:r>
      <w:r w:rsidR="009F5118">
        <w:t>on</w:t>
      </w:r>
      <w:r w:rsidR="009F5118" w:rsidRPr="00D764E9">
        <w:t xml:space="preserve"> </w:t>
      </w:r>
      <w:r w:rsidR="00D70B9C">
        <w:t>“</w:t>
      </w:r>
      <w:r w:rsidRPr="00D764E9">
        <w:t>safety</w:t>
      </w:r>
      <w:r w:rsidR="00D70B9C">
        <w:t>”</w:t>
      </w:r>
      <w:r w:rsidRPr="00D764E9">
        <w:t xml:space="preserve"> and </w:t>
      </w:r>
      <w:r w:rsidR="00D70B9C">
        <w:t>“</w:t>
      </w:r>
      <w:r w:rsidRPr="00D764E9">
        <w:t>ticketing system,</w:t>
      </w:r>
      <w:r w:rsidR="00D70B9C">
        <w:t>”</w:t>
      </w:r>
      <w:r w:rsidRPr="00D764E9">
        <w:t xml:space="preserve"> </w:t>
      </w:r>
      <w:r w:rsidR="00D70B9C">
        <w:t xml:space="preserve">the </w:t>
      </w:r>
      <w:r w:rsidRPr="00D764E9">
        <w:t xml:space="preserve">classification of </w:t>
      </w:r>
      <w:r w:rsidR="00D70B9C">
        <w:t>“</w:t>
      </w:r>
      <w:r w:rsidRPr="00D764E9">
        <w:t>passenger civilization</w:t>
      </w:r>
      <w:r w:rsidR="00D70B9C">
        <w:t>”</w:t>
      </w:r>
      <w:r w:rsidRPr="00D764E9">
        <w:t xml:space="preserve"> and </w:t>
      </w:r>
      <w:r w:rsidR="00D70B9C">
        <w:t>“</w:t>
      </w:r>
      <w:r w:rsidRPr="00D764E9">
        <w:t>normal waiting time</w:t>
      </w:r>
      <w:r w:rsidR="00D70B9C">
        <w:t>”</w:t>
      </w:r>
      <w:r w:rsidRPr="00D764E9">
        <w:t xml:space="preserve"> is more reasonable in </w:t>
      </w:r>
      <w:r w:rsidR="00D70B9C">
        <w:t xml:space="preserve">the </w:t>
      </w:r>
      <w:r w:rsidRPr="00D764E9">
        <w:t>PP</w:t>
      </w:r>
      <w:r w:rsidR="004677A4">
        <w:t>-based</w:t>
      </w:r>
      <w:r w:rsidRPr="00D764E9">
        <w:t xml:space="preserve"> method</w:t>
      </w:r>
      <w:r w:rsidR="004677A4">
        <w:t xml:space="preserve"> than in IPA</w:t>
      </w:r>
      <w:r w:rsidRPr="00D764E9">
        <w:t xml:space="preserve">. According to </w:t>
      </w:r>
      <w:r w:rsidR="004677A4">
        <w:t xml:space="preserve">the </w:t>
      </w:r>
      <w:r w:rsidRPr="00D764E9">
        <w:t>PP definition model, such differen</w:t>
      </w:r>
      <w:r w:rsidR="00950B7F">
        <w:t>ce</w:t>
      </w:r>
      <w:r w:rsidRPr="00D764E9">
        <w:t xml:space="preserve"> can be well explained. Compared with </w:t>
      </w:r>
      <w:r w:rsidR="00950B7F">
        <w:t>“</w:t>
      </w:r>
      <w:r w:rsidRPr="00D764E9">
        <w:t>passenger civilization,</w:t>
      </w:r>
      <w:r w:rsidR="00950B7F">
        <w:t>”</w:t>
      </w:r>
      <w:r w:rsidRPr="00D764E9">
        <w:t xml:space="preserve"> </w:t>
      </w:r>
      <w:r w:rsidR="00950B7F">
        <w:t>“</w:t>
      </w:r>
      <w:r w:rsidRPr="00D764E9">
        <w:t>normal waiting time</w:t>
      </w:r>
      <w:r w:rsidR="00950B7F">
        <w:t>”</w:t>
      </w:r>
      <w:r w:rsidRPr="00D764E9">
        <w:t xml:space="preserve"> has </w:t>
      </w:r>
      <w:r w:rsidR="00950B7F">
        <w:t xml:space="preserve">a </w:t>
      </w:r>
      <w:r w:rsidRPr="00D764E9">
        <w:t xml:space="preserve">lower indicator variable coefficient, which can </w:t>
      </w:r>
      <w:r w:rsidR="004677A4">
        <w:t xml:space="preserve">mean </w:t>
      </w:r>
      <w:r w:rsidRPr="00D764E9">
        <w:t xml:space="preserve">that passengers reach a higher consensus on improvement of </w:t>
      </w:r>
      <w:r w:rsidR="00220558">
        <w:t>“</w:t>
      </w:r>
      <w:r w:rsidRPr="00D764E9">
        <w:t>normal waiting time</w:t>
      </w:r>
      <w:r w:rsidR="00220558">
        <w:t>”</w:t>
      </w:r>
      <w:r w:rsidRPr="00D764E9">
        <w:t xml:space="preserve"> with the small uncertainty of improvement impacts. In addition, </w:t>
      </w:r>
      <w:r w:rsidR="004677A4">
        <w:t>unlike the improvement of</w:t>
      </w:r>
      <w:r w:rsidRPr="00D764E9">
        <w:t xml:space="preserve"> </w:t>
      </w:r>
      <w:r w:rsidR="00220558">
        <w:t>“</w:t>
      </w:r>
      <w:r w:rsidRPr="00D764E9">
        <w:t>normal waiting time,</w:t>
      </w:r>
      <w:r w:rsidR="00220558">
        <w:t xml:space="preserve">” </w:t>
      </w:r>
      <w:r w:rsidR="004677A4">
        <w:t>that</w:t>
      </w:r>
      <w:r w:rsidRPr="00D764E9">
        <w:t xml:space="preserve"> of </w:t>
      </w:r>
      <w:r w:rsidR="00220558">
        <w:t>“</w:t>
      </w:r>
      <w:r w:rsidRPr="00D764E9">
        <w:t>passenger civilization</w:t>
      </w:r>
      <w:r w:rsidR="00220558">
        <w:t>”</w:t>
      </w:r>
      <w:r w:rsidRPr="00D764E9">
        <w:t xml:space="preserve"> should be realized through joint efforts of the operation party and passengers, which is difficult to </w:t>
      </w:r>
      <w:r w:rsidR="004677A4">
        <w:t>achieve</w:t>
      </w:r>
      <w:r w:rsidRPr="00D764E9">
        <w:t>.</w:t>
      </w:r>
    </w:p>
    <w:p w14:paraId="43430661" w14:textId="77777777" w:rsidR="00B52892" w:rsidRPr="00D764E9" w:rsidRDefault="00155E7F" w:rsidP="00417BDA">
      <w:pPr>
        <w:pStyle w:val="Heading1"/>
        <w:spacing w:before="0" w:beforeAutospacing="0" w:afterLines="50" w:after="156" w:afterAutospacing="0"/>
      </w:pPr>
      <w:r w:rsidRPr="00D764E9">
        <w:t>5. Conclusions</w:t>
      </w:r>
    </w:p>
    <w:p w14:paraId="7D588217" w14:textId="78206B83" w:rsidR="0033477A" w:rsidRPr="00D764E9" w:rsidRDefault="004677A4" w:rsidP="00417BDA">
      <w:pPr>
        <w:spacing w:afterLines="50" w:after="156"/>
        <w:ind w:firstLine="480"/>
      </w:pPr>
      <w:r>
        <w:t xml:space="preserve">The </w:t>
      </w:r>
      <w:r w:rsidR="00593C12" w:rsidRPr="00D764E9">
        <w:t>IPA method</w:t>
      </w:r>
      <w:r w:rsidR="00B50514">
        <w:t>, which</w:t>
      </w:r>
      <w:r w:rsidR="00593C12" w:rsidRPr="00D764E9">
        <w:t xml:space="preserve"> is commonly used in the service sector for determining improvement strategies </w:t>
      </w:r>
      <w:r w:rsidR="00B50514">
        <w:t xml:space="preserve">for </w:t>
      </w:r>
      <w:r w:rsidR="00593C12" w:rsidRPr="00D764E9">
        <w:t>customer satisfaction</w:t>
      </w:r>
      <w:r w:rsidR="00B50514">
        <w:t xml:space="preserve">, has the following </w:t>
      </w:r>
      <w:r w:rsidR="00593C12" w:rsidRPr="00D764E9">
        <w:t>inherent shortcomings</w:t>
      </w:r>
      <w:r w:rsidR="00B50514">
        <w:t>.</w:t>
      </w:r>
      <w:r w:rsidR="00593C12" w:rsidRPr="00D764E9">
        <w:t xml:space="preserve"> </w:t>
      </w:r>
      <w:r w:rsidR="00B50514">
        <w:t>The technique</w:t>
      </w:r>
      <w:r w:rsidR="00593C12" w:rsidRPr="00D764E9">
        <w:t xml:space="preserve"> determin</w:t>
      </w:r>
      <w:r w:rsidR="00B50514">
        <w:t>es</w:t>
      </w:r>
      <w:r w:rsidR="00593C12" w:rsidRPr="00D764E9">
        <w:t xml:space="preserve"> the category precedence but not the element precedence in the category</w:t>
      </w:r>
      <w:r w:rsidR="00B50514">
        <w:t>;</w:t>
      </w:r>
      <w:r w:rsidR="00593C12" w:rsidRPr="00D764E9">
        <w:t xml:space="preserve"> category classification </w:t>
      </w:r>
      <w:r w:rsidR="00B50514">
        <w:t xml:space="preserve">has only a few consideration elements; and the </w:t>
      </w:r>
      <w:r w:rsidR="00593C12" w:rsidRPr="00D764E9">
        <w:t>threshold value concerning the category classification</w:t>
      </w:r>
      <w:r w:rsidR="00B50514">
        <w:t xml:space="preserve"> is uncertain. To overcome these limitations</w:t>
      </w:r>
      <w:r w:rsidR="00593C12" w:rsidRPr="00D764E9">
        <w:t xml:space="preserve">, we </w:t>
      </w:r>
      <w:r w:rsidR="00B50514">
        <w:t>propose the</w:t>
      </w:r>
      <w:r w:rsidR="00B50514" w:rsidRPr="00D764E9">
        <w:t xml:space="preserve"> </w:t>
      </w:r>
      <w:r w:rsidR="009F5118">
        <w:t xml:space="preserve">PP </w:t>
      </w:r>
      <w:r w:rsidR="00593C12" w:rsidRPr="00D764E9">
        <w:t xml:space="preserve">concept and model, research on the improvement strategies and decisions of rail transit passenger satisfaction, and </w:t>
      </w:r>
      <w:r w:rsidR="00B50514">
        <w:t>compare the proposed technique</w:t>
      </w:r>
      <w:r w:rsidR="00593C12" w:rsidRPr="00D764E9">
        <w:t xml:space="preserve"> with </w:t>
      </w:r>
      <w:r w:rsidR="00F90169">
        <w:t xml:space="preserve">the </w:t>
      </w:r>
      <w:r w:rsidR="00593C12" w:rsidRPr="00D764E9">
        <w:t xml:space="preserve">IPA method. </w:t>
      </w:r>
      <w:r w:rsidR="00F90169">
        <w:t xml:space="preserve">The </w:t>
      </w:r>
      <w:r w:rsidR="00593C12" w:rsidRPr="00D764E9">
        <w:t>PP</w:t>
      </w:r>
      <w:r w:rsidR="00B50514">
        <w:t>-based</w:t>
      </w:r>
      <w:r w:rsidR="00593C12" w:rsidRPr="00D764E9">
        <w:t xml:space="preserve"> method not only overcomes the inherent shortcomings of </w:t>
      </w:r>
      <w:r w:rsidR="009F5118">
        <w:t xml:space="preserve">the </w:t>
      </w:r>
      <w:r w:rsidR="00593C12" w:rsidRPr="00D764E9">
        <w:t xml:space="preserve">IPA method but also adds other information needed for decisions. </w:t>
      </w:r>
      <w:commentRangeStart w:id="31"/>
      <w:r w:rsidR="00593C12" w:rsidRPr="00D764E9">
        <w:t>It remains strong explanation and rationality on the result inconsistencies with</w:t>
      </w:r>
      <w:r w:rsidR="009F5118">
        <w:t xml:space="preserve"> the</w:t>
      </w:r>
      <w:r w:rsidR="00593C12" w:rsidRPr="00D764E9">
        <w:t xml:space="preserve"> IPA method</w:t>
      </w:r>
      <w:commentRangeEnd w:id="31"/>
      <w:r w:rsidR="00B50514">
        <w:rPr>
          <w:rStyle w:val="CommentReference"/>
        </w:rPr>
        <w:commentReference w:id="31"/>
      </w:r>
      <w:r w:rsidR="00593C12" w:rsidRPr="00D764E9">
        <w:t xml:space="preserve">. </w:t>
      </w:r>
      <w:r w:rsidR="00B50514">
        <w:t xml:space="preserve">The ranking results obtained for the 2017 </w:t>
      </w:r>
      <w:r w:rsidR="00593C12" w:rsidRPr="00D764E9">
        <w:t xml:space="preserve">Wuhan rail transit improvement strategies can </w:t>
      </w:r>
      <w:r w:rsidR="00B50514">
        <w:t>serve as</w:t>
      </w:r>
      <w:r w:rsidR="00593C12" w:rsidRPr="00D764E9">
        <w:t xml:space="preserve"> reference for operation companies </w:t>
      </w:r>
      <w:r w:rsidR="00B50514">
        <w:t xml:space="preserve">in enhancing </w:t>
      </w:r>
      <w:r w:rsidR="00593C12" w:rsidRPr="00D764E9">
        <w:t>service quality.</w:t>
      </w:r>
    </w:p>
    <w:p w14:paraId="478397CD" w14:textId="5B6C62EE" w:rsidR="00F17D7C" w:rsidRPr="00D764E9" w:rsidRDefault="00F17D7C" w:rsidP="00417BDA">
      <w:pPr>
        <w:spacing w:afterLines="50" w:after="156"/>
        <w:ind w:firstLine="480"/>
      </w:pPr>
      <w:r w:rsidRPr="00D764E9">
        <w:t>Determining the improvement strategies</w:t>
      </w:r>
      <w:r w:rsidR="00F90169">
        <w:t>’</w:t>
      </w:r>
      <w:r w:rsidRPr="00D764E9">
        <w:t xml:space="preserve"> precedence of passenger satisfaction </w:t>
      </w:r>
      <w:r w:rsidRPr="00D764E9">
        <w:lastRenderedPageBreak/>
        <w:t xml:space="preserve">and understanding the potential impacts of improvements are the main </w:t>
      </w:r>
      <w:r w:rsidR="00B50514">
        <w:t>components</w:t>
      </w:r>
      <w:r w:rsidR="00B50514" w:rsidRPr="00D764E9">
        <w:t xml:space="preserve"> </w:t>
      </w:r>
      <w:r w:rsidRPr="00D764E9">
        <w:t xml:space="preserve">of improvement decisions. Numerous factors influence satisfaction. </w:t>
      </w:r>
      <w:r w:rsidR="001C75CB">
        <w:t xml:space="preserve">Improving all factors within a </w:t>
      </w:r>
      <w:r w:rsidRPr="00D764E9">
        <w:t>short period is impossible. Limited fund</w:t>
      </w:r>
      <w:r w:rsidR="00F90169">
        <w:t>s</w:t>
      </w:r>
      <w:r w:rsidRPr="00D764E9">
        <w:t>, human resources</w:t>
      </w:r>
      <w:r w:rsidR="00F90169">
        <w:t>,</w:t>
      </w:r>
      <w:r w:rsidRPr="00D764E9">
        <w:t xml:space="preserve"> and capital should be used widely. A decision maker should not only be aware of each improvement strategy</w:t>
      </w:r>
      <w:r w:rsidR="00F90169">
        <w:t>’</w:t>
      </w:r>
      <w:r w:rsidRPr="00D764E9">
        <w:t>s precedence before decision but also acknowledge the potential impacts of each improvement strategy and their differences. T</w:t>
      </w:r>
      <w:r w:rsidR="00F90169">
        <w:t>he t</w:t>
      </w:r>
      <w:r w:rsidRPr="00D764E9">
        <w:t>raditional IPA method and</w:t>
      </w:r>
      <w:r w:rsidR="001C75CB">
        <w:t xml:space="preserve"> the</w:t>
      </w:r>
      <w:r w:rsidRPr="00D764E9">
        <w:t xml:space="preserve"> new three-factor method can show</w:t>
      </w:r>
      <w:r w:rsidR="001C75CB">
        <w:t xml:space="preserve"> decision makers</w:t>
      </w:r>
      <w:r w:rsidRPr="00D764E9">
        <w:t xml:space="preserve"> the</w:t>
      </w:r>
      <w:r w:rsidR="001C75CB">
        <w:t xml:space="preserve"> precedence of</w:t>
      </w:r>
      <w:r w:rsidRPr="00D764E9">
        <w:t xml:space="preserve"> strategy </w:t>
      </w:r>
      <w:r w:rsidR="001C75CB">
        <w:t xml:space="preserve">categories </w:t>
      </w:r>
      <w:r w:rsidRPr="00D764E9">
        <w:t xml:space="preserve">but </w:t>
      </w:r>
      <w:r w:rsidR="001C75CB">
        <w:t xml:space="preserve">not that of </w:t>
      </w:r>
      <w:r w:rsidRPr="00D764E9">
        <w:t xml:space="preserve">all strategies in </w:t>
      </w:r>
      <w:r w:rsidR="001C75CB">
        <w:t>a</w:t>
      </w:r>
      <w:r w:rsidR="001C75CB" w:rsidRPr="00D764E9">
        <w:t xml:space="preserve"> </w:t>
      </w:r>
      <w:r w:rsidRPr="00D764E9">
        <w:t xml:space="preserve">category. </w:t>
      </w:r>
      <w:r w:rsidR="00E3388F">
        <w:t xml:space="preserve">The </w:t>
      </w:r>
      <w:r w:rsidRPr="00D764E9">
        <w:t xml:space="preserve">PP method can not only directly show the precedence of each category and factor indicator but also </w:t>
      </w:r>
      <w:r w:rsidR="009F5118">
        <w:t>acquire</w:t>
      </w:r>
      <w:r w:rsidR="009F5118" w:rsidRPr="00D764E9">
        <w:t xml:space="preserve"> </w:t>
      </w:r>
      <w:r w:rsidRPr="00D764E9">
        <w:t>a</w:t>
      </w:r>
      <w:r w:rsidR="00E3388F">
        <w:t>n</w:t>
      </w:r>
      <w:r w:rsidRPr="00D764E9">
        <w:t xml:space="preserve"> understanding of the differences between the potential improvement impacts of each indicato</w:t>
      </w:r>
      <w:r w:rsidR="001C75CB">
        <w:t>r</w:t>
      </w:r>
      <w:r w:rsidRPr="00D764E9">
        <w:t xml:space="preserve"> and provide necessary information for the decision makers, as shown in </w:t>
      </w:r>
      <w:r w:rsidR="00E3388F">
        <w:t>F</w:t>
      </w:r>
      <w:r w:rsidRPr="00D764E9">
        <w:t>igure 4.</w:t>
      </w:r>
    </w:p>
    <w:p w14:paraId="1E637F99" w14:textId="444FC2D6" w:rsidR="006D5B85" w:rsidRPr="00D764E9" w:rsidRDefault="00DF043C" w:rsidP="00417BDA">
      <w:pPr>
        <w:spacing w:afterLines="50" w:after="156"/>
        <w:ind w:firstLine="480"/>
      </w:pPr>
      <w:r w:rsidRPr="00D764E9">
        <w:t xml:space="preserve">A decision maker should </w:t>
      </w:r>
      <w:r w:rsidR="009F5118">
        <w:t xml:space="preserve">be </w:t>
      </w:r>
      <w:r w:rsidRPr="00D764E9">
        <w:t xml:space="preserve">comprehensively </w:t>
      </w:r>
      <w:r w:rsidR="009F5118" w:rsidRPr="00D764E9">
        <w:t>consider</w:t>
      </w:r>
      <w:r w:rsidR="009F5118">
        <w:t>ed</w:t>
      </w:r>
      <w:r w:rsidR="009F5118" w:rsidRPr="00D764E9">
        <w:t xml:space="preserve"> </w:t>
      </w:r>
      <w:r w:rsidRPr="00D764E9">
        <w:t xml:space="preserve">as the main factor for strategy improvement to avoid mistakes. </w:t>
      </w:r>
      <w:r w:rsidR="00E3388F">
        <w:t xml:space="preserve">The </w:t>
      </w:r>
      <w:r w:rsidRPr="00D764E9">
        <w:t>IPA and three-factor method</w:t>
      </w:r>
      <w:r w:rsidR="00E3388F">
        <w:t>s</w:t>
      </w:r>
      <w:r w:rsidRPr="00D764E9">
        <w:t xml:space="preserve"> consider the indicator</w:t>
      </w:r>
      <w:r w:rsidR="001C75CB">
        <w:t>s</w:t>
      </w:r>
      <w:r w:rsidR="00E3388F">
        <w:t>’</w:t>
      </w:r>
      <w:r w:rsidRPr="00D764E9">
        <w:t xml:space="preserve"> passenger evaluation score</w:t>
      </w:r>
      <w:r w:rsidR="001C75CB">
        <w:t>s</w:t>
      </w:r>
      <w:r w:rsidRPr="00D764E9">
        <w:t xml:space="preserve"> and weight</w:t>
      </w:r>
      <w:r w:rsidR="001C75CB">
        <w:t>s</w:t>
      </w:r>
      <w:r w:rsidRPr="00D764E9">
        <w:t xml:space="preserve">. However, </w:t>
      </w:r>
      <w:r w:rsidR="00E3388F">
        <w:t xml:space="preserve">the </w:t>
      </w:r>
      <w:r w:rsidRPr="00D764E9">
        <w:t>PP</w:t>
      </w:r>
      <w:r w:rsidR="001C75CB">
        <w:t>-based</w:t>
      </w:r>
      <w:r w:rsidRPr="00D764E9">
        <w:t xml:space="preserve"> method adds the uncertainty of </w:t>
      </w:r>
      <w:r w:rsidR="001C75CB">
        <w:t xml:space="preserve">the </w:t>
      </w:r>
      <w:r w:rsidRPr="00D764E9">
        <w:t>indicator</w:t>
      </w:r>
      <w:r w:rsidR="001C75CB">
        <w:t>s’</w:t>
      </w:r>
      <w:r w:rsidRPr="00D764E9">
        <w:t xml:space="preserve"> improvement impacts, theory improvement difficulty</w:t>
      </w:r>
      <w:r w:rsidR="00E3388F">
        <w:t>,</w:t>
      </w:r>
      <w:r w:rsidRPr="00D764E9">
        <w:t xml:space="preserve"> and improvement potential on the basis of indicator score and importance in </w:t>
      </w:r>
      <w:r w:rsidR="00E3388F">
        <w:t xml:space="preserve">the </w:t>
      </w:r>
      <w:r w:rsidRPr="00D764E9">
        <w:t xml:space="preserve">IPA method. </w:t>
      </w:r>
      <w:r w:rsidR="00E3388F">
        <w:t>The u</w:t>
      </w:r>
      <w:r w:rsidRPr="00D764E9">
        <w:t xml:space="preserve">ncertainty of improvement impacts </w:t>
      </w:r>
      <w:r w:rsidR="001C75CB">
        <w:t>considers</w:t>
      </w:r>
      <w:r w:rsidR="001C75CB" w:rsidRPr="00D764E9">
        <w:t xml:space="preserve"> </w:t>
      </w:r>
      <w:r w:rsidRPr="00D764E9">
        <w:t>the features of passengers</w:t>
      </w:r>
      <w:r w:rsidR="00E3388F">
        <w:t>’</w:t>
      </w:r>
      <w:r w:rsidRPr="00D764E9">
        <w:t xml:space="preserve"> perception o</w:t>
      </w:r>
      <w:r w:rsidR="001C75CB">
        <w:t>f</w:t>
      </w:r>
      <w:r w:rsidRPr="00D764E9">
        <w:t xml:space="preserve"> the service level. </w:t>
      </w:r>
      <w:r w:rsidR="00E3388F">
        <w:t>I</w:t>
      </w:r>
      <w:r w:rsidRPr="00D764E9">
        <w:t>mprovement strategy is easily perceived due to small perception variance</w:t>
      </w:r>
      <w:r w:rsidR="001C75CB">
        <w:t>s</w:t>
      </w:r>
      <w:r w:rsidRPr="00D764E9">
        <w:t xml:space="preserve"> and high consensus levels. </w:t>
      </w:r>
      <w:r w:rsidR="00E3388F">
        <w:t>The p</w:t>
      </w:r>
      <w:r w:rsidRPr="00D764E9">
        <w:t>otential impacts of improvements have small uncertainty, such as</w:t>
      </w:r>
      <w:r w:rsidR="001C75CB">
        <w:t xml:space="preserve"> the</w:t>
      </w:r>
      <w:r w:rsidRPr="00D764E9">
        <w:t xml:space="preserve"> </w:t>
      </w:r>
      <w:r w:rsidR="00E3388F">
        <w:t>“</w:t>
      </w:r>
      <w:r w:rsidRPr="00D764E9">
        <w:t>passenger civilization</w:t>
      </w:r>
      <w:r w:rsidR="00E3388F">
        <w:t>”</w:t>
      </w:r>
      <w:r w:rsidRPr="00D764E9">
        <w:t xml:space="preserve"> indicator.</w:t>
      </w:r>
    </w:p>
    <w:p w14:paraId="6A22C82D" w14:textId="13CB31C9" w:rsidR="00233E97" w:rsidRPr="00D764E9" w:rsidRDefault="00233E97" w:rsidP="00417BDA">
      <w:pPr>
        <w:spacing w:afterLines="50" w:after="156"/>
        <w:ind w:firstLine="480"/>
      </w:pPr>
      <w:r w:rsidRPr="00D764E9">
        <w:t xml:space="preserve">A decision maker hopes that the determined method of improvement strategy is simple and easy to understand. Although </w:t>
      </w:r>
      <w:r w:rsidR="00E3388F">
        <w:t xml:space="preserve">the </w:t>
      </w:r>
      <w:r w:rsidRPr="00D764E9">
        <w:t xml:space="preserve">IPA method is simple, the threshold value basis of category classification is </w:t>
      </w:r>
      <w:r w:rsidR="00195EBB">
        <w:t xml:space="preserve">still </w:t>
      </w:r>
      <w:r w:rsidR="00386FC8">
        <w:t>debated</w:t>
      </w:r>
      <w:r w:rsidRPr="00D764E9">
        <w:t xml:space="preserve">. Different determining methods of threshold value can lead to </w:t>
      </w:r>
      <w:r w:rsidR="00974292">
        <w:t>varying</w:t>
      </w:r>
      <w:r w:rsidR="00974292" w:rsidRPr="00D764E9">
        <w:t xml:space="preserve"> </w:t>
      </w:r>
      <w:r w:rsidRPr="00D764E9">
        <w:t xml:space="preserve">category classifications. A strategy can be classified </w:t>
      </w:r>
      <w:r w:rsidR="00F60407">
        <w:t>in</w:t>
      </w:r>
      <w:r w:rsidR="00F60407" w:rsidRPr="00D764E9">
        <w:t xml:space="preserve"> </w:t>
      </w:r>
      <w:r w:rsidRPr="00D764E9">
        <w:t>this category or in other categories according to different threshold values. For example,</w:t>
      </w:r>
      <w:r w:rsidR="00974292">
        <w:t xml:space="preserve"> the</w:t>
      </w:r>
      <w:r w:rsidRPr="00D764E9">
        <w:t xml:space="preserve"> </w:t>
      </w:r>
      <w:r w:rsidR="00E3388F">
        <w:t>“</w:t>
      </w:r>
      <w:r w:rsidRPr="00D764E9">
        <w:t>ticketing system</w:t>
      </w:r>
      <w:r w:rsidR="00E3388F">
        <w:t>”</w:t>
      </w:r>
      <w:r w:rsidRPr="00D764E9">
        <w:t xml:space="preserve"> indicator can be classified in the </w:t>
      </w:r>
      <w:r w:rsidR="00E3388F">
        <w:t>“</w:t>
      </w:r>
      <w:r w:rsidRPr="00D764E9">
        <w:t>prior improvement</w:t>
      </w:r>
      <w:r w:rsidR="00E3388F">
        <w:t>”</w:t>
      </w:r>
      <w:r w:rsidRPr="00D764E9">
        <w:t xml:space="preserve"> and </w:t>
      </w:r>
      <w:r w:rsidR="00E3388F">
        <w:t>“</w:t>
      </w:r>
      <w:r w:rsidRPr="00D764E9">
        <w:t>secondary improvement</w:t>
      </w:r>
      <w:r w:rsidR="00E3388F">
        <w:t>”</w:t>
      </w:r>
      <w:r w:rsidRPr="00D764E9">
        <w:t xml:space="preserve"> categories due to </w:t>
      </w:r>
      <w:r w:rsidR="00974292">
        <w:t xml:space="preserve">variations in the </w:t>
      </w:r>
      <w:r w:rsidRPr="00D764E9">
        <w:t xml:space="preserve">threshold values. </w:t>
      </w:r>
      <w:r w:rsidR="00974292">
        <w:t>The i</w:t>
      </w:r>
      <w:r w:rsidRPr="00D764E9">
        <w:t xml:space="preserve">mprovement precedence of different categories is also </w:t>
      </w:r>
      <w:r w:rsidR="00974292">
        <w:t>varied</w:t>
      </w:r>
      <w:r w:rsidRPr="00D764E9">
        <w:t xml:space="preserve">. The decision maker then </w:t>
      </w:r>
      <w:r w:rsidR="00974292">
        <w:t>perceives</w:t>
      </w:r>
      <w:r w:rsidRPr="00D764E9">
        <w:t xml:space="preserve"> the decision </w:t>
      </w:r>
      <w:r w:rsidR="00974292">
        <w:t xml:space="preserve">to be </w:t>
      </w:r>
      <w:r w:rsidRPr="00D764E9">
        <w:t>high</w:t>
      </w:r>
      <w:r w:rsidR="00974292">
        <w:t>ly</w:t>
      </w:r>
      <w:r w:rsidRPr="00D764E9">
        <w:t xml:space="preserve"> random and hard to understand and</w:t>
      </w:r>
      <w:r w:rsidR="00974292">
        <w:t xml:space="preserve"> consequently</w:t>
      </w:r>
      <w:r w:rsidRPr="00D764E9">
        <w:t xml:space="preserve"> hesitate</w:t>
      </w:r>
      <w:r w:rsidR="00974292">
        <w:t>, thereby</w:t>
      </w:r>
      <w:r w:rsidRPr="00D764E9">
        <w:t xml:space="preserve"> </w:t>
      </w:r>
      <w:r w:rsidR="00974292">
        <w:t xml:space="preserve">reducing </w:t>
      </w:r>
      <w:r w:rsidRPr="00D764E9">
        <w:t xml:space="preserve">decision confidence. </w:t>
      </w:r>
      <w:r w:rsidR="00E3388F">
        <w:t xml:space="preserve">The </w:t>
      </w:r>
      <w:r w:rsidRPr="00D764E9">
        <w:t>PP</w:t>
      </w:r>
      <w:r w:rsidR="00974292">
        <w:t>-based</w:t>
      </w:r>
      <w:r w:rsidRPr="00D764E9">
        <w:t xml:space="preserve"> method considers more factors than </w:t>
      </w:r>
      <w:r w:rsidR="00974292">
        <w:t xml:space="preserve">does </w:t>
      </w:r>
      <w:r w:rsidR="00E3388F">
        <w:t xml:space="preserve">the </w:t>
      </w:r>
      <w:r w:rsidRPr="00D764E9">
        <w:t xml:space="preserve">IPA method, and </w:t>
      </w:r>
      <w:r w:rsidR="00E3388F">
        <w:t xml:space="preserve">the </w:t>
      </w:r>
      <w:r w:rsidRPr="00D764E9">
        <w:t>relationships between different factors can be compounded according to physical meanings from multi</w:t>
      </w:r>
      <w:r w:rsidR="00974292">
        <w:t xml:space="preserve">ple </w:t>
      </w:r>
      <w:r w:rsidRPr="00D764E9">
        <w:t>dimension</w:t>
      </w:r>
      <w:r w:rsidR="00974292">
        <w:t>s</w:t>
      </w:r>
      <w:r w:rsidRPr="00D764E9">
        <w:t xml:space="preserve"> to one dimension, </w:t>
      </w:r>
      <w:r w:rsidR="00974292">
        <w:t xml:space="preserve">thus avoiding </w:t>
      </w:r>
      <w:r w:rsidRPr="00D764E9">
        <w:t xml:space="preserve">the problems of factor importance determination in multi-property decisions and </w:t>
      </w:r>
      <w:r w:rsidR="00974292">
        <w:t>becoming</w:t>
      </w:r>
      <w:r w:rsidR="00974292" w:rsidRPr="00D764E9">
        <w:t xml:space="preserve"> </w:t>
      </w:r>
      <w:r w:rsidRPr="00D764E9">
        <w:t xml:space="preserve">easy to understand. In addition, </w:t>
      </w:r>
      <w:r w:rsidR="00974292">
        <w:t xml:space="preserve">the </w:t>
      </w:r>
      <w:r w:rsidR="00E3388F">
        <w:t>“</w:t>
      </w:r>
      <w:r w:rsidRPr="00D764E9">
        <w:t>advantage</w:t>
      </w:r>
      <w:r w:rsidR="00F60407">
        <w:t>-</w:t>
      </w:r>
      <w:r w:rsidRPr="00D764E9">
        <w:t>impacted</w:t>
      </w:r>
      <w:r w:rsidR="00E3388F">
        <w:t>”</w:t>
      </w:r>
      <w:r w:rsidRPr="00D764E9">
        <w:t xml:space="preserve"> category in </w:t>
      </w:r>
      <w:r w:rsidR="00E3388F">
        <w:t xml:space="preserve">the </w:t>
      </w:r>
      <w:r w:rsidRPr="00D764E9">
        <w:t xml:space="preserve">IPA method is hard to understand </w:t>
      </w:r>
      <w:r w:rsidR="00974292">
        <w:t>because</w:t>
      </w:r>
      <w:r w:rsidRPr="00D764E9">
        <w:t xml:space="preserve"> it</w:t>
      </w:r>
      <w:r w:rsidR="00974292">
        <w:t xml:space="preserve"> can mean</w:t>
      </w:r>
      <w:r w:rsidRPr="00D764E9">
        <w:t xml:space="preserve"> the improvement precedence or status quo maintenance. </w:t>
      </w:r>
      <w:commentRangeStart w:id="32"/>
      <w:r w:rsidR="00E3388F">
        <w:t xml:space="preserve">The </w:t>
      </w:r>
      <w:r w:rsidRPr="00D764E9">
        <w:t>PP</w:t>
      </w:r>
      <w:r w:rsidR="00974292">
        <w:t>-based</w:t>
      </w:r>
      <w:r w:rsidRPr="00D764E9">
        <w:t xml:space="preserve"> method find</w:t>
      </w:r>
      <w:r w:rsidR="00E3388F">
        <w:t>s</w:t>
      </w:r>
      <w:r w:rsidRPr="00D764E9">
        <w:t xml:space="preserve"> that </w:t>
      </w:r>
      <w:r w:rsidR="00E3388F">
        <w:t>“</w:t>
      </w:r>
      <w:r w:rsidRPr="00D764E9">
        <w:t>advantage</w:t>
      </w:r>
      <w:r w:rsidR="00974292">
        <w:t>-</w:t>
      </w:r>
      <w:r w:rsidRPr="00D764E9">
        <w:t>impacted</w:t>
      </w:r>
      <w:r w:rsidR="00E3388F">
        <w:t>”</w:t>
      </w:r>
      <w:r w:rsidRPr="00D764E9">
        <w:t xml:space="preserve"> indicators can be ambiguously regarded as prior improvement indicators, such as </w:t>
      </w:r>
      <w:r w:rsidR="00E3388F">
        <w:t>“</w:t>
      </w:r>
      <w:r w:rsidRPr="00D764E9">
        <w:t>service facility,</w:t>
      </w:r>
      <w:r w:rsidR="00E3388F">
        <w:t>”</w:t>
      </w:r>
      <w:r w:rsidRPr="00D764E9">
        <w:t xml:space="preserve"> </w:t>
      </w:r>
      <w:r w:rsidR="00E3388F">
        <w:t>“</w:t>
      </w:r>
      <w:r w:rsidRPr="00D764E9">
        <w:t>safety</w:t>
      </w:r>
      <w:r w:rsidR="00E3388F">
        <w:t>,”</w:t>
      </w:r>
      <w:r w:rsidRPr="00D764E9">
        <w:t xml:space="preserve"> and </w:t>
      </w:r>
      <w:r w:rsidR="00E3388F">
        <w:t>“</w:t>
      </w:r>
      <w:r w:rsidRPr="00D764E9">
        <w:t>train information</w:t>
      </w:r>
      <w:r w:rsidR="00F60407">
        <w:t>,</w:t>
      </w:r>
      <w:r w:rsidR="00E3388F">
        <w:t>”</w:t>
      </w:r>
      <w:r w:rsidRPr="00D764E9">
        <w:t xml:space="preserve"> </w:t>
      </w:r>
      <w:r w:rsidR="00F60407">
        <w:t>by</w:t>
      </w:r>
      <w:r w:rsidR="00F60407" w:rsidRPr="00D764E9">
        <w:t xml:space="preserve"> </w:t>
      </w:r>
      <w:r w:rsidRPr="00D764E9">
        <w:t xml:space="preserve">calculating the improvements, which is not the case in </w:t>
      </w:r>
      <w:r w:rsidR="00E3388F">
        <w:t xml:space="preserve">the </w:t>
      </w:r>
      <w:r w:rsidRPr="00D764E9">
        <w:t>PP method</w:t>
      </w:r>
      <w:commentRangeEnd w:id="32"/>
      <w:r w:rsidR="00974292">
        <w:rPr>
          <w:rStyle w:val="CommentReference"/>
        </w:rPr>
        <w:commentReference w:id="32"/>
      </w:r>
      <w:r w:rsidRPr="00D764E9">
        <w:t xml:space="preserve">. Category differences of factor </w:t>
      </w:r>
      <w:r w:rsidR="00B13E37">
        <w:t>variations</w:t>
      </w:r>
      <w:r w:rsidR="00B13E37" w:rsidRPr="00D764E9">
        <w:t xml:space="preserve"> </w:t>
      </w:r>
      <w:r w:rsidRPr="00D764E9">
        <w:t xml:space="preserve">are caused by the threshold value of category classification, </w:t>
      </w:r>
      <w:commentRangeStart w:id="33"/>
      <w:r w:rsidRPr="00D764E9">
        <w:t>which also exist</w:t>
      </w:r>
      <w:r w:rsidR="00B13E37">
        <w:t>s</w:t>
      </w:r>
      <w:commentRangeEnd w:id="33"/>
      <w:r w:rsidR="00B13E37">
        <w:rPr>
          <w:rStyle w:val="CommentReference"/>
        </w:rPr>
        <w:commentReference w:id="33"/>
      </w:r>
      <w:r w:rsidRPr="00D764E9">
        <w:t xml:space="preserve"> in </w:t>
      </w:r>
      <w:r w:rsidR="00E3388F">
        <w:t xml:space="preserve">the </w:t>
      </w:r>
      <w:r w:rsidRPr="00D764E9">
        <w:t xml:space="preserve">three-factor </w:t>
      </w:r>
      <w:r w:rsidRPr="00D764E9">
        <w:lastRenderedPageBreak/>
        <w:t>method.</w:t>
      </w:r>
    </w:p>
    <w:p w14:paraId="53665E02" w14:textId="6B7A17E0" w:rsidR="002615C2" w:rsidRPr="00D764E9" w:rsidRDefault="007D020D" w:rsidP="00417BDA">
      <w:pPr>
        <w:spacing w:afterLines="50" w:after="156"/>
        <w:ind w:firstLine="480"/>
      </w:pPr>
      <w:r w:rsidRPr="00D764E9">
        <w:t xml:space="preserve">Multi-attribute indicator decisions can be compounded into one concept or index according to physical meanings, such as </w:t>
      </w:r>
      <w:r w:rsidR="000E2630">
        <w:t>PP</w:t>
      </w:r>
      <w:r w:rsidRPr="00D764E9">
        <w:t>. The determination of concept connotations is simple</w:t>
      </w:r>
      <w:r w:rsidR="00B13E37">
        <w:t>,</w:t>
      </w:r>
      <w:r w:rsidRPr="00D764E9">
        <w:t xml:space="preserve"> clear, and </w:t>
      </w:r>
      <w:r w:rsidR="00B13E37">
        <w:t>easily comprehensible</w:t>
      </w:r>
      <w:r w:rsidRPr="00D764E9">
        <w:t xml:space="preserve">. </w:t>
      </w:r>
      <w:r w:rsidR="00B13E37">
        <w:t xml:space="preserve">Reducing </w:t>
      </w:r>
      <w:r w:rsidRPr="00D764E9">
        <w:t xml:space="preserve">dimensionality according to </w:t>
      </w:r>
      <w:r w:rsidR="0014476C">
        <w:t>causality</w:t>
      </w:r>
      <w:r w:rsidRPr="00D764E9">
        <w:t xml:space="preserve"> rather than correlations</w:t>
      </w:r>
      <w:r w:rsidR="00B13E37">
        <w:t xml:space="preserve"> in the big data era</w:t>
      </w:r>
      <w:r w:rsidRPr="00D764E9">
        <w:t xml:space="preserve"> </w:t>
      </w:r>
      <w:r w:rsidR="00B13E37">
        <w:t>must</w:t>
      </w:r>
      <w:r w:rsidRPr="00D764E9">
        <w:t xml:space="preserve"> be emphasized in future decision research. In addition, </w:t>
      </w:r>
      <w:r w:rsidR="00F60407">
        <w:t xml:space="preserve">a </w:t>
      </w:r>
      <w:r w:rsidRPr="00D764E9">
        <w:t>single variable hosts the multiple functions, such as</w:t>
      </w:r>
      <w:r w:rsidR="00E54483">
        <w:t xml:space="preserve"> the</w:t>
      </w:r>
      <w:r w:rsidRPr="00D764E9">
        <w:t xml:space="preserve"> “L</w:t>
      </w:r>
      <w:r w:rsidRPr="00D764E9">
        <w:rPr>
          <w:vertAlign w:val="subscript"/>
        </w:rPr>
        <w:t>max</w:t>
      </w:r>
      <w:r w:rsidR="00F60407">
        <w:rPr>
          <w:rFonts w:cs="Times New Roman"/>
        </w:rPr>
        <w:t>–</w:t>
      </w:r>
      <w:r w:rsidRPr="00D764E9">
        <w:t>P</w:t>
      </w:r>
      <w:r w:rsidRPr="00D764E9">
        <w:rPr>
          <w:vertAlign w:val="subscript"/>
        </w:rPr>
        <w:t>k</w:t>
      </w:r>
      <w:r w:rsidRPr="00D764E9">
        <w:t xml:space="preserve">” </w:t>
      </w:r>
      <w:r w:rsidR="000E2630">
        <w:t>PP</w:t>
      </w:r>
      <w:r w:rsidRPr="00D764E9">
        <w:t xml:space="preserve"> model, which reflects the improvement potential</w:t>
      </w:r>
      <w:r w:rsidR="00E54483">
        <w:t xml:space="preserve"> and</w:t>
      </w:r>
      <w:r w:rsidRPr="00D764E9">
        <w:t xml:space="preserve"> improvement urgency and difficulty</w:t>
      </w:r>
      <w:r w:rsidR="00E54483">
        <w:t xml:space="preserve"> and thus</w:t>
      </w:r>
      <w:r w:rsidR="00F60407">
        <w:t xml:space="preserve"> needs</w:t>
      </w:r>
      <w:r w:rsidR="00F60407" w:rsidRPr="00D764E9">
        <w:t xml:space="preserve"> </w:t>
      </w:r>
      <w:r w:rsidRPr="00D764E9">
        <w:t>to be studied from the perspective of decision</w:t>
      </w:r>
      <w:r w:rsidR="00E54483">
        <w:t>-</w:t>
      </w:r>
      <w:r w:rsidRPr="00D764E9">
        <w:t>simplified research.</w:t>
      </w:r>
    </w:p>
    <w:p w14:paraId="19314FA4" w14:textId="0C639781" w:rsidR="00491E56" w:rsidRPr="00D764E9" w:rsidRDefault="000F0D5C" w:rsidP="00417BDA">
      <w:pPr>
        <w:spacing w:afterLines="50" w:after="156"/>
        <w:ind w:firstLine="480"/>
      </w:pPr>
      <w:r w:rsidRPr="00D764E9">
        <w:t xml:space="preserve">In conclusion, </w:t>
      </w:r>
      <w:r w:rsidR="00E3388F">
        <w:t xml:space="preserve">the </w:t>
      </w:r>
      <w:r w:rsidRPr="00D764E9">
        <w:t>PP</w:t>
      </w:r>
      <w:r w:rsidR="00E54483">
        <w:t>-based</w:t>
      </w:r>
      <w:r w:rsidRPr="00D764E9">
        <w:t xml:space="preserve"> method is better than the traditional IPA method in </w:t>
      </w:r>
      <w:r w:rsidR="00A32086">
        <w:t xml:space="preserve">terms of </w:t>
      </w:r>
      <w:r w:rsidRPr="00D764E9">
        <w:t>concept understanding, information provided to decision maker</w:t>
      </w:r>
      <w:r w:rsidR="003530A7">
        <w:t>s</w:t>
      </w:r>
      <w:r w:rsidRPr="00D764E9">
        <w:t xml:space="preserve"> and considered influential factors, and strong precedence result determination. However, many aspects still need to be further studied. First,</w:t>
      </w:r>
      <w:r w:rsidR="00E54483">
        <w:t xml:space="preserve"> </w:t>
      </w:r>
      <w:r w:rsidR="00E54483" w:rsidRPr="00D764E9">
        <w:t>the difficulty of indicator improvement,</w:t>
      </w:r>
      <w:r w:rsidR="00E54483">
        <w:t xml:space="preserve"> which is considered by the proposed method,</w:t>
      </w:r>
      <w:r w:rsidRPr="00D764E9">
        <w:t xml:space="preserve"> is </w:t>
      </w:r>
      <w:r w:rsidR="00E54483">
        <w:t>merely a</w:t>
      </w:r>
      <w:r w:rsidRPr="00D764E9">
        <w:t xml:space="preserve"> theoretical difficulty </w:t>
      </w:r>
      <w:r w:rsidR="00E54483">
        <w:t xml:space="preserve">that is </w:t>
      </w:r>
      <w:r w:rsidRPr="00D764E9">
        <w:t>defined by passenger</w:t>
      </w:r>
      <w:r w:rsidR="003530A7">
        <w:t>s’</w:t>
      </w:r>
      <w:r w:rsidRPr="00D764E9">
        <w:t xml:space="preserve"> evaluation scores. </w:t>
      </w:r>
      <w:r w:rsidR="00E54483">
        <w:t>Increasing the scores of i</w:t>
      </w:r>
      <w:r w:rsidRPr="00D764E9">
        <w:t xml:space="preserve">ndicators </w:t>
      </w:r>
      <w:r w:rsidR="00E54483">
        <w:t>that already have</w:t>
      </w:r>
      <w:r w:rsidR="00E54483" w:rsidRPr="00D764E9">
        <w:t xml:space="preserve"> </w:t>
      </w:r>
      <w:r w:rsidRPr="00D764E9">
        <w:t>high score</w:t>
      </w:r>
      <w:r w:rsidR="00E54483">
        <w:t>s</w:t>
      </w:r>
      <w:r w:rsidRPr="00D764E9">
        <w:t xml:space="preserve"> </w:t>
      </w:r>
      <w:r w:rsidR="00A32086">
        <w:t>is</w:t>
      </w:r>
      <w:r w:rsidRPr="00D764E9">
        <w:t xml:space="preserve"> difficult </w:t>
      </w:r>
      <w:r w:rsidR="00A32086">
        <w:t>and increases</w:t>
      </w:r>
      <w:r w:rsidRPr="00D764E9">
        <w:t xml:space="preserve"> the marginal effort cost. </w:t>
      </w:r>
      <w:r w:rsidR="00AA0381">
        <w:t>The r</w:t>
      </w:r>
      <w:r w:rsidRPr="00D764E9">
        <w:t xml:space="preserve">eal cost and implementation difficulty </w:t>
      </w:r>
      <w:r w:rsidR="00AA0381">
        <w:t>entailed by the</w:t>
      </w:r>
      <w:r w:rsidRPr="00D764E9">
        <w:t xml:space="preserve"> improve</w:t>
      </w:r>
      <w:r w:rsidR="00AA0381">
        <w:t>ment of</w:t>
      </w:r>
      <w:r w:rsidRPr="00D764E9">
        <w:t xml:space="preserve"> service quality by </w:t>
      </w:r>
      <w:r w:rsidR="00AA0381">
        <w:t>operators</w:t>
      </w:r>
      <w:r w:rsidRPr="00D764E9">
        <w:t xml:space="preserve"> are not considered. </w:t>
      </w:r>
      <w:commentRangeStart w:id="34"/>
      <w:r w:rsidR="00AA0381">
        <w:t>These</w:t>
      </w:r>
      <w:r w:rsidRPr="00D764E9">
        <w:t xml:space="preserve"> variables in such model </w:t>
      </w:r>
      <w:r w:rsidR="003530A7">
        <w:t>have</w:t>
      </w:r>
      <w:r w:rsidRPr="00D764E9">
        <w:t xml:space="preserve"> clear physical meanings</w:t>
      </w:r>
      <w:r w:rsidR="00AA0381">
        <w:t xml:space="preserve"> and are thus</w:t>
      </w:r>
      <w:r w:rsidRPr="00D764E9">
        <w:t xml:space="preserve"> of equal importance.</w:t>
      </w:r>
      <w:commentRangeEnd w:id="34"/>
      <w:r w:rsidR="00AA0381">
        <w:rPr>
          <w:rStyle w:val="CommentReference"/>
        </w:rPr>
        <w:commentReference w:id="34"/>
      </w:r>
      <w:r w:rsidRPr="00D764E9">
        <w:t xml:space="preserve"> </w:t>
      </w:r>
      <w:r w:rsidR="00AA0381">
        <w:t>The a</w:t>
      </w:r>
      <w:r w:rsidRPr="00D764E9">
        <w:t xml:space="preserve">ccurate function relationship between </w:t>
      </w:r>
      <w:r w:rsidR="00AA0381">
        <w:t xml:space="preserve">these variables </w:t>
      </w:r>
      <w:r w:rsidRPr="00D764E9">
        <w:t xml:space="preserve">can be further studied </w:t>
      </w:r>
      <w:commentRangeStart w:id="35"/>
      <w:r w:rsidRPr="00D764E9">
        <w:t>along with the features of research problem</w:t>
      </w:r>
      <w:r w:rsidR="00AA0381">
        <w:t>s</w:t>
      </w:r>
      <w:commentRangeEnd w:id="35"/>
      <w:r w:rsidR="00AA0381">
        <w:rPr>
          <w:rStyle w:val="CommentReference"/>
        </w:rPr>
        <w:commentReference w:id="35"/>
      </w:r>
      <w:r w:rsidRPr="00D764E9">
        <w:t xml:space="preserve">. The newly added three-factor method </w:t>
      </w:r>
      <w:r w:rsidR="00AA0381">
        <w:t>considers</w:t>
      </w:r>
      <w:r w:rsidR="00AA0381" w:rsidRPr="00D764E9">
        <w:t xml:space="preserve"> </w:t>
      </w:r>
      <w:r w:rsidRPr="00D764E9">
        <w:t xml:space="preserve">the importance and perception characteristics of factor indicators. </w:t>
      </w:r>
      <w:r w:rsidR="003530A7">
        <w:t>The evaluation of</w:t>
      </w:r>
      <w:r w:rsidRPr="00D764E9">
        <w:t xml:space="preserve"> </w:t>
      </w:r>
      <w:r w:rsidR="0022739D">
        <w:t xml:space="preserve">this </w:t>
      </w:r>
      <w:r w:rsidRPr="00D764E9">
        <w:t xml:space="preserve">new perspective in the </w:t>
      </w:r>
      <w:r w:rsidR="000E2630">
        <w:t>PP</w:t>
      </w:r>
      <w:r w:rsidR="0022739D">
        <w:t>-based</w:t>
      </w:r>
      <w:r w:rsidRPr="00D764E9">
        <w:t xml:space="preserve"> method also needs to be studied.</w:t>
      </w:r>
      <w:bookmarkStart w:id="36" w:name="_GoBack"/>
      <w:bookmarkEnd w:id="36"/>
    </w:p>
    <w:p w14:paraId="13C9030C" w14:textId="77777777" w:rsidR="00717032" w:rsidRPr="00D764E9" w:rsidRDefault="00717032" w:rsidP="00417BDA">
      <w:pPr>
        <w:spacing w:afterLines="50" w:after="156"/>
        <w:ind w:firstLine="480"/>
      </w:pPr>
    </w:p>
    <w:p w14:paraId="2186AD3E" w14:textId="77777777" w:rsidR="00E37E07" w:rsidRPr="00D764E9" w:rsidRDefault="00BE7218" w:rsidP="00417BDA">
      <w:pPr>
        <w:autoSpaceDE w:val="0"/>
        <w:autoSpaceDN w:val="0"/>
        <w:adjustRightInd w:val="0"/>
        <w:spacing w:afterLines="50" w:after="156"/>
        <w:ind w:firstLineChars="0" w:firstLine="0"/>
        <w:jc w:val="left"/>
        <w:rPr>
          <w:rFonts w:eastAsiaTheme="minorEastAsia" w:cs="Times New Roman"/>
          <w:kern w:val="0"/>
          <w:szCs w:val="24"/>
        </w:rPr>
      </w:pPr>
      <w:r w:rsidRPr="00D764E9">
        <w:br w:type="page"/>
      </w:r>
      <w:commentRangeStart w:id="37"/>
      <w:r w:rsidR="00D90236" w:rsidRPr="00D764E9">
        <w:fldChar w:fldCharType="begin"/>
      </w:r>
      <w:r w:rsidRPr="00D764E9">
        <w:instrText xml:space="preserve"> ADDIN NE.Bib</w:instrText>
      </w:r>
      <w:r w:rsidR="00D90236" w:rsidRPr="00D764E9">
        <w:fldChar w:fldCharType="separate"/>
      </w:r>
    </w:p>
    <w:p w14:paraId="46B0DABF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jc w:val="center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b/>
          <w:bCs/>
          <w:color w:val="000000"/>
          <w:kern w:val="0"/>
          <w:sz w:val="40"/>
          <w:szCs w:val="40"/>
        </w:rPr>
        <w:lastRenderedPageBreak/>
        <w:t>References:</w:t>
      </w:r>
    </w:p>
    <w:p w14:paraId="09C4A636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38" w:name="_nebE8482CEB_7FCB_4BE2_90BB_F590553D2DEB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Anderson, E. W., and Mittal, V. (2000). "Strengthening the satisfaction-profit chain."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Journal of Service research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3(2), 107-120.</w:t>
      </w:r>
      <w:bookmarkEnd w:id="38"/>
    </w:p>
    <w:p w14:paraId="58290A68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39" w:name="_neb885B8D97_0D93_41C2_AC9A_E1584F4E3E60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Angelova, B., and Zekiri, J. (2011). "Measuring customer satisfaction with service quality using American Customer Satisfaction Model (ACSI Model)."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International Journal of Academic Research in Business and Social Sciences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1(3), 232.</w:t>
      </w:r>
      <w:bookmarkEnd w:id="39"/>
    </w:p>
    <w:p w14:paraId="398118BD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0" w:name="_nebA45C789C_8731_4871_98EC_7C005F095C68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Browne, M. W., and Cudeck, R. (1993). "Alternative ways of assessing model fit."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Sage focus editions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154, 136-136.</w:t>
      </w:r>
      <w:bookmarkEnd w:id="40"/>
    </w:p>
    <w:p w14:paraId="289EE626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1" w:name="_nebDC8B23E9_07BB_4902_A480_A015CADDA912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Busacca, B., and Padula, G. (2005). "Understanding the relationship between attribute performance and overall satisfaction: Theory, measurement and implications."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Marketing Intelligence &amp; Planning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23(6), 543-561.</w:t>
      </w:r>
      <w:bookmarkEnd w:id="41"/>
    </w:p>
    <w:p w14:paraId="72F01153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2" w:name="_neb4D514061_D247_4643_88AF_6D01C87B0C8F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Cavana, R. Y., Corbett, L. M., and Lo, Y. L. (2007). "Developing zones of tolerance for managing passenger rail service quality."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International Journal of Quality &amp; Reliability Management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24(1), 7-31.</w:t>
      </w:r>
      <w:bookmarkEnd w:id="42"/>
    </w:p>
    <w:p w14:paraId="7ED58EF7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3" w:name="_neb60C6C197_FEAF_4667_B9E8_BBC68B518F48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Chou, J., Kim, C., Kuo, Y., and Ou, N. (2011). "Deploying effective service strategy in the operations stage of high-speed rail."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E: Logistics and Transportation Review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47(4), 507-519.</w:t>
      </w:r>
      <w:bookmarkEnd w:id="43"/>
    </w:p>
    <w:p w14:paraId="61DA96A2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4" w:name="_nebF3961FD1_36E1_402C_9379_55D03B5971B3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De Vos, J., and Witlox, F. (2017). "Travel satisfaction revisited. On the pivotal role of travel satisfaction in conceptualising a travel behaviour process."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106, 364-373.</w:t>
      </w:r>
      <w:bookmarkEnd w:id="44"/>
    </w:p>
    <w:p w14:paraId="19D1BD44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Ennew, C. T., Reed, G. V., and Binks, M. R. (1993). "Importance-performance analysis and the measurement of service quality."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European journal of marketing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27(2), 59-70.</w:t>
      </w:r>
    </w:p>
    <w:p w14:paraId="1E568936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Evans, M. R., and Chon, K. (1989). "Formulating and Evaluating Tou Rism Policy Using Importance-Performance Analysis."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Journal of Hospitality &amp; Tourism Research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13(3), 203-213.</w:t>
      </w:r>
    </w:p>
    <w:p w14:paraId="78DA963C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5" w:name="_nebD43E1386_E41F_4F74_9BD5_98E0B16C581D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Freitas, A. L. P. (2013). "Assessing the quality of intercity road transportation of passengers: An exploratory study in Brazil."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49, 379-392.</w:t>
      </w:r>
      <w:bookmarkEnd w:id="45"/>
    </w:p>
    <w:p w14:paraId="74C26FC8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6" w:name="_neb7188ECDD_D181_437F_970F_F92F8680C5F4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Golden, B. L., Wasil, E. A., and Harker, P. T. (1989). "The analytic hierarchy process."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Applications and Studies, Berlin, Heidelberg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.</w:t>
      </w:r>
      <w:bookmarkEnd w:id="46"/>
    </w:p>
    <w:p w14:paraId="624752C0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7" w:name="_nebD212EA0A_268D_4802_813D_05584B738C86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Hooper, D., Coughlan, J., and Mullen, M. (2008). "Structural equation modelling: Guidelines for determining model fit."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Articles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2.</w:t>
      </w:r>
      <w:bookmarkEnd w:id="47"/>
    </w:p>
    <w:p w14:paraId="653E7CC5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Hsu, C. H., Byun, S., and Yang, I. (1998). "Attitudes of Korean college students towards quick-service, family-style, and fine dining restaurants."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Journal of Restaurant &amp; Foodservice Marketing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2(4), 65-85.</w:t>
      </w:r>
    </w:p>
    <w:p w14:paraId="2945766C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8" w:name="_neb0BB8E48C_3905_4E8C_8FB7_FAA79D6BA168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Kano, N. (1984). "Attractive quality and must-be quality."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Hinshitsu (Quality, The Journal of Japanese Society for Quality Control)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14, 39-48.</w:t>
      </w:r>
      <w:bookmarkEnd w:id="48"/>
    </w:p>
    <w:p w14:paraId="68DCD371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49" w:name="_nebE09798DA_0D0E_4DC3_8927_2F88B9A9EE74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Martilla, J. A., and James, J. C. (1977). "Importance-performance analysis."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The journal of marketing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, 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lastRenderedPageBreak/>
        <w:t>77-79.</w:t>
      </w:r>
      <w:bookmarkEnd w:id="49"/>
    </w:p>
    <w:p w14:paraId="7AA87774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0" w:name="_neb9D70B4D5_D9A4_410D_A084_CDA0075E4040"/>
      <w:r w:rsidRPr="00D764E9">
        <w:rPr>
          <w:color w:val="000000"/>
          <w:kern w:val="0"/>
          <w:sz w:val="20"/>
          <w:szCs w:val="20"/>
        </w:rPr>
        <w:t xml:space="preserve">Matzler, K., Bailom, F., Hinterhuber, H. H., Renzl, B., and Pichler, J. (2004). "The asymmetric relationship between attribute-level performance and overall customer satisfaction: a reconsideration of the importance–performance analysis." </w:t>
      </w:r>
      <w:r w:rsidRPr="00D764E9">
        <w:rPr>
          <w:i/>
          <w:iCs/>
          <w:color w:val="000000"/>
          <w:kern w:val="0"/>
          <w:sz w:val="20"/>
          <w:szCs w:val="20"/>
        </w:rPr>
        <w:t>Industrial Marketing Management</w:t>
      </w:r>
      <w:r w:rsidRPr="00D764E9">
        <w:rPr>
          <w:color w:val="000000"/>
          <w:kern w:val="0"/>
          <w:sz w:val="20"/>
          <w:szCs w:val="20"/>
        </w:rPr>
        <w:t>, 33(4), 271-277.</w:t>
      </w:r>
      <w:bookmarkEnd w:id="50"/>
    </w:p>
    <w:p w14:paraId="2BFBA271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1" w:name="_neb9A984ED0_FF3D_4307_86D4_FC41460E0206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Mouwen, A. (2015). "Drivers of customer satisfaction with public transport services."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78, 1-20.</w:t>
      </w:r>
      <w:bookmarkEnd w:id="51"/>
    </w:p>
    <w:p w14:paraId="6F9381EB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Nassereddine, M., and Eskandari, H. (2017). "An integrated MCDM approach to evaluate public transportation systems in Tehran."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106, 427-439.</w:t>
      </w:r>
    </w:p>
    <w:p w14:paraId="08EC0F68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O Neill, M. A., and Palmer, A. (2004). "Importance-performance analysis: a useful tool for directing continuous quality improvement in higher education."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Quality assurance in education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12(1), 39-52.</w:t>
      </w:r>
    </w:p>
    <w:p w14:paraId="6317C625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Rahman, F., Das, T., Hadiuzzaman, M., and Hossain, S. (2016). "Perceived service quality of paratransit in developing countries: A structural equation approach."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93, 23-38.</w:t>
      </w:r>
    </w:p>
    <w:p w14:paraId="22197094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2" w:name="_neb75853964_C165_477B_9549_C05D68A8C53F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Shaaban, K., and Kim, I. (2016). "Assessment of the taxi service in Doha."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88, 223-235.</w:t>
      </w:r>
      <w:bookmarkEnd w:id="52"/>
    </w:p>
    <w:p w14:paraId="4500B043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3" w:name="_neb16407242_993D_4001_A382_39E1220731D8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Shen, W., Xiao, W., and Wang, X. (2016). "Passenger satisfaction evaluation model for Urban rail transit: A structural equation modeling based on partial least squares."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 Policy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46, 20-31.</w:t>
      </w:r>
      <w:bookmarkEnd w:id="53"/>
    </w:p>
    <w:p w14:paraId="4676D3A8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4" w:name="_neb351CE562_D9C4_45BD_85EA_21CD8F4B5BBE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Steiger, J. H. (1990). "Structural model evaluation and modification: An interval estimation approach."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Multivariate behavioral research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25(2), 173-180.</w:t>
      </w:r>
      <w:bookmarkEnd w:id="54"/>
    </w:p>
    <w:p w14:paraId="57A29B49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5" w:name="_neb31E67F32_935D_4DED_B49E_740938FE1DD1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Stradling, S. G., Anable, J., and Carreno, M. (2007). "Performance, importance and user disgruntlement: A six-step method for measuring satisfaction with travel modes."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41(1), 98-106.</w:t>
      </w:r>
      <w:bookmarkEnd w:id="55"/>
    </w:p>
    <w:p w14:paraId="142C35C2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6" w:name="_nebAB8ECA8D_ABD8_4E5C_AB75_F9B4387331E7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Stuart, K., Mednick, M., and Bockman, J. (2000). "Structural equation model of customer satisfaction for the New York City subway system."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Record: Journal of the Transportation Research Board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(1735), 133-137.</w:t>
      </w:r>
      <w:bookmarkEnd w:id="56"/>
    </w:p>
    <w:p w14:paraId="7F171F13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7" w:name="_neb646FAF88_561E_49B7_A1E4_1ECAE0047177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Susilo, Y. O., and Cats, O. (2014). "Exploring key determinants of travel satisfaction for multi-modal trips by different traveler groups."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67, 366-380.</w:t>
      </w:r>
      <w:bookmarkEnd w:id="57"/>
    </w:p>
    <w:p w14:paraId="351026AC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8" w:name="_nebB18A0ACD_8CD5_402B_BB11_61DA04044031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Vandenberg, R. J., and Lance, C. E. (2000). "A review and synthesis of the measurement invariance literature: Suggestions, practices, and recommendations for organizational research."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Organizational research methods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3(1), 4-70.</w:t>
      </w:r>
      <w:bookmarkEnd w:id="58"/>
    </w:p>
    <w:p w14:paraId="47A8573F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59" w:name="_neb157DE8F6_7B2E_4D16_B005_A33FCF59E90A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Weinstein, A. (2000). "Customer satisfaction among transit riders: How customers rank the relative importance of various service attributes."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Record: Journal of the Transportation Research Board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(1735), 123-132.</w:t>
      </w:r>
      <w:bookmarkEnd w:id="59"/>
    </w:p>
    <w:p w14:paraId="2027DFA9" w14:textId="77777777" w:rsidR="00E37E07" w:rsidRPr="00D764E9" w:rsidRDefault="00E37E07" w:rsidP="00417BDA">
      <w:pPr>
        <w:autoSpaceDE w:val="0"/>
        <w:autoSpaceDN w:val="0"/>
        <w:adjustRightInd w:val="0"/>
        <w:spacing w:afterLines="50" w:after="156"/>
        <w:ind w:firstLineChars="0" w:firstLine="0"/>
        <w:rPr>
          <w:rFonts w:eastAsiaTheme="minorEastAsia" w:cs="Times New Roman"/>
          <w:kern w:val="0"/>
          <w:szCs w:val="24"/>
        </w:rPr>
      </w:pPr>
      <w:bookmarkStart w:id="60" w:name="_neb233BFF2A_1163_40EE_8028_82CFA93D303A"/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 xml:space="preserve">Wu, X., Cao, J., and Huting, J. (2018). "Using three-factor theory to identify improvement priorities for express and local bus services: An application of regression with dummy variables in the Twin Cities." </w:t>
      </w:r>
      <w:r w:rsidRPr="00D764E9">
        <w:rPr>
          <w:rFonts w:eastAsiaTheme="minorEastAsia" w:cs="Times New Roman"/>
          <w:i/>
          <w:iCs/>
          <w:color w:val="000000"/>
          <w:kern w:val="0"/>
          <w:sz w:val="20"/>
          <w:szCs w:val="20"/>
        </w:rPr>
        <w:t>Transportation Research Part A: Policy and Practice</w:t>
      </w:r>
      <w:r w:rsidRPr="00D764E9">
        <w:rPr>
          <w:rFonts w:eastAsiaTheme="minorEastAsia" w:cs="Times New Roman"/>
          <w:color w:val="000000"/>
          <w:kern w:val="0"/>
          <w:sz w:val="20"/>
          <w:szCs w:val="20"/>
        </w:rPr>
        <w:t>, 113, 184-196.</w:t>
      </w:r>
      <w:bookmarkEnd w:id="60"/>
    </w:p>
    <w:p w14:paraId="34BC0CB8" w14:textId="77777777" w:rsidR="00F678E5" w:rsidRPr="00D764E9" w:rsidRDefault="00D90236" w:rsidP="00417BDA">
      <w:pPr>
        <w:spacing w:afterLines="50" w:after="156"/>
        <w:ind w:firstLine="480"/>
      </w:pPr>
      <w:r w:rsidRPr="00D764E9">
        <w:fldChar w:fldCharType="end"/>
      </w:r>
      <w:commentRangeEnd w:id="37"/>
      <w:r w:rsidR="00E3388F">
        <w:rPr>
          <w:rStyle w:val="CommentReference"/>
        </w:rPr>
        <w:commentReference w:id="37"/>
      </w:r>
    </w:p>
    <w:sectPr w:rsidR="00F678E5" w:rsidRPr="00D764E9" w:rsidSect="00D902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1652" w:date="2018-07-12T14:38:00Z" w:initials="Ed1652">
    <w:p w14:paraId="586953D0" w14:textId="2CFC7325" w:rsidR="00B13E37" w:rsidRDefault="00B13E37" w:rsidP="00D04AB1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Check for accuracy. </w:t>
      </w:r>
    </w:p>
  </w:comment>
  <w:comment w:id="1" w:author="Ed1652" w:date="2018-07-12T14:38:00Z" w:initials="Ed1652">
    <w:p w14:paraId="331D7311" w14:textId="014F0D46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The</w:t>
      </w:r>
      <w:r w:rsidRPr="00CB152A">
        <w:t xml:space="preserve"> en dash </w:t>
      </w:r>
      <w:r>
        <w:t xml:space="preserve">(–) </w:t>
      </w:r>
      <w:r w:rsidRPr="00CB152A">
        <w:t xml:space="preserve">is used to link words that represent items of equal rank. To ensure consistency, this rule </w:t>
      </w:r>
      <w:r>
        <w:t>was applied</w:t>
      </w:r>
      <w:r w:rsidRPr="00CB152A">
        <w:t xml:space="preserve"> throughout the file.</w:t>
      </w:r>
    </w:p>
  </w:comment>
  <w:comment w:id="2" w:author="Ed1652" w:date="2018-07-12T15:33:00Z" w:initials="Ed1652">
    <w:p w14:paraId="0BD41A23" w14:textId="3330EAB4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By default, t</w:t>
      </w:r>
      <w:r w:rsidRPr="00CB152A">
        <w:t>he language setting of the entire file was set to English (United States), and the conventions in editing a US English file were followed.</w:t>
      </w:r>
    </w:p>
  </w:comment>
  <w:comment w:id="4" w:author="Ed1730" w:date="2018-07-13T11:52:00Z" w:initials="Ed1730">
    <w:p w14:paraId="70D3BA9A" w14:textId="0BFF1106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Adjectival nouns (those that are used to modify other nouns) are commonly written in singular form. </w:t>
      </w:r>
    </w:p>
    <w:p w14:paraId="533CD677" w14:textId="77777777" w:rsidR="00B13E37" w:rsidRDefault="00B13E37">
      <w:pPr>
        <w:pStyle w:val="CommentText"/>
        <w:ind w:firstLine="480"/>
      </w:pPr>
    </w:p>
    <w:p w14:paraId="5FFC716A" w14:textId="6B2F7209" w:rsidR="00B13E37" w:rsidRPr="005F0E33" w:rsidRDefault="00B13E37">
      <w:pPr>
        <w:pStyle w:val="CommentText"/>
        <w:ind w:firstLine="480"/>
      </w:pPr>
      <w:r>
        <w:t xml:space="preserve">We searched Google and Google Scholar with the keywords </w:t>
      </w:r>
      <w:r>
        <w:rPr>
          <w:i/>
        </w:rPr>
        <w:t xml:space="preserve">improvement strategies sequencing </w:t>
      </w:r>
      <w:r>
        <w:t xml:space="preserve">and </w:t>
      </w:r>
      <w:r>
        <w:rPr>
          <w:i/>
        </w:rPr>
        <w:t xml:space="preserve">improvement strategy sequencing </w:t>
      </w:r>
      <w:r>
        <w:t>and failed to obtain a single match.</w:t>
      </w:r>
    </w:p>
  </w:comment>
  <w:comment w:id="3" w:author="Ed1652" w:date="2018-07-12T14:38:00Z" w:initials="Ed1652">
    <w:p w14:paraId="61539C91" w14:textId="07CE6806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 w:rsidRPr="00CB152A">
        <w:t>The common format of key words is as follows: aa, bb</w:t>
      </w:r>
      <w:r>
        <w:t>,</w:t>
      </w:r>
      <w:r w:rsidRPr="00CB152A">
        <w:t xml:space="preserve"> cc</w:t>
      </w:r>
      <w:r>
        <w:t xml:space="preserve"> (lowercase except for proper nouns)</w:t>
      </w:r>
      <w:r w:rsidRPr="00CB152A">
        <w:t>. Verify the preferred format of your target journal.</w:t>
      </w:r>
    </w:p>
  </w:comment>
  <w:comment w:id="5" w:author="Ed1652" w:date="2018-07-12T14:38:00Z" w:initials="Ed1652">
    <w:p w14:paraId="5802088E" w14:textId="50C7FF01" w:rsidR="00B13E37" w:rsidRDefault="00B13E37" w:rsidP="004506F5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Check for accuracy. </w:t>
      </w:r>
    </w:p>
  </w:comment>
  <w:comment w:id="6" w:author="Ed1652" w:date="2018-07-12T14:38:00Z" w:initials="Ed1652">
    <w:p w14:paraId="5B0F0EB3" w14:textId="1846F9C9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 w:rsidRPr="00E633F7">
        <w:t>Do not use ampersands (&amp;) in the text, except if they are part of a proper name</w:t>
      </w:r>
      <w:r>
        <w:t>.</w:t>
      </w:r>
    </w:p>
  </w:comment>
  <w:comment w:id="7" w:author="Ed1730" w:date="2018-07-13T12:26:00Z" w:initials="Ed1730">
    <w:p w14:paraId="2DEE3AD0" w14:textId="22B06208" w:rsidR="00B13E37" w:rsidRPr="00377981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Verify if </w:t>
      </w:r>
      <w:r>
        <w:rPr>
          <w:i/>
        </w:rPr>
        <w:t xml:space="preserve">small English banks </w:t>
      </w:r>
      <w:r>
        <w:t>will do.</w:t>
      </w:r>
    </w:p>
  </w:comment>
  <w:comment w:id="8" w:author="Ed1652" w:date="2018-07-12T14:38:00Z" w:initials="Ed1652">
    <w:p w14:paraId="7C98A3C8" w14:textId="055AD45F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 w:rsidRPr="00E633F7">
        <w:t>“Respectively” shows parallelism; thus, it should never be used if there is no one-to-one correspondence.</w:t>
      </w:r>
    </w:p>
  </w:comment>
  <w:comment w:id="9" w:author="Ed1652" w:date="2018-07-12T14:38:00Z" w:initials="Ed1652">
    <w:p w14:paraId="4ED31794" w14:textId="6938B884" w:rsidR="00B13E37" w:rsidRDefault="00B13E37" w:rsidP="00634D5A">
      <w:pPr>
        <w:pStyle w:val="CommentText"/>
        <w:ind w:firstLine="420"/>
      </w:pPr>
      <w:r>
        <w:rPr>
          <w:rStyle w:val="CommentReference"/>
        </w:rPr>
        <w:annotationRef/>
      </w:r>
      <w:r w:rsidRPr="00634D5A">
        <w:t>Verify if the revision expresses your intended meaning accurately.</w:t>
      </w:r>
    </w:p>
  </w:comment>
  <w:comment w:id="10" w:author="Ed1730" w:date="2018-07-13T12:44:00Z" w:initials="Ed1730">
    <w:p w14:paraId="6ED22BE2" w14:textId="1C9B0AEC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Check for accuracy.</w:t>
      </w:r>
    </w:p>
  </w:comment>
  <w:comment w:id="11" w:author="Ed1730" w:date="2018-07-13T12:48:00Z" w:initials="Ed1730">
    <w:p w14:paraId="0F46F5C5" w14:textId="6A756989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Add citation.</w:t>
      </w:r>
    </w:p>
  </w:comment>
  <w:comment w:id="12" w:author="Ed1652" w:date="2018-07-12T14:38:00Z" w:initials="Ed1652">
    <w:p w14:paraId="5ABFF5F7" w14:textId="12D78EDC" w:rsidR="00B13E37" w:rsidRDefault="00B13E37" w:rsidP="00650185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Check if this is what you mean. </w:t>
      </w:r>
    </w:p>
  </w:comment>
  <w:comment w:id="13" w:author="Ed1730" w:date="2018-07-13T12:52:00Z" w:initials="Ed1730">
    <w:p w14:paraId="1D3AF579" w14:textId="2AAB63D0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You may have to specify which Korea.</w:t>
      </w:r>
    </w:p>
  </w:comment>
  <w:comment w:id="14" w:author="Ed1730" w:date="2018-07-13T13:10:00Z" w:initials="Ed1730">
    <w:p w14:paraId="2DF8662E" w14:textId="5F877D30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Check for accuracy.</w:t>
      </w:r>
    </w:p>
  </w:comment>
  <w:comment w:id="15" w:author="Ed1652" w:date="2018-07-12T14:38:00Z" w:initials="Ed1652">
    <w:p w14:paraId="78C485E7" w14:textId="4FF7136C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Specify what “it” is referring to. </w:t>
      </w:r>
    </w:p>
  </w:comment>
  <w:comment w:id="16" w:author="Ed1652" w:date="2018-07-12T15:33:00Z" w:initials="Ed1652">
    <w:p w14:paraId="711AB169" w14:textId="187775D4" w:rsidR="00B13E37" w:rsidRDefault="00B13E37" w:rsidP="008D3B06">
      <w:pPr>
        <w:pStyle w:val="CommentText"/>
        <w:ind w:firstLine="420"/>
      </w:pPr>
      <w:r>
        <w:rPr>
          <w:rStyle w:val="CommentReference"/>
        </w:rPr>
        <w:annotationRef/>
      </w:r>
      <w:r w:rsidRPr="008D3B06">
        <w:t xml:space="preserve">We used the </w:t>
      </w:r>
      <w:r>
        <w:t xml:space="preserve">past </w:t>
      </w:r>
      <w:r w:rsidRPr="008D3B06">
        <w:t>tense in presenting result sentences in the paper for conciseness.</w:t>
      </w:r>
    </w:p>
  </w:comment>
  <w:comment w:id="17" w:author="Ed1730" w:date="2018-07-13T13:27:00Z" w:initials="Ed1730">
    <w:p w14:paraId="78B1548B" w14:textId="57D209A2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Check for accuracy.</w:t>
      </w:r>
    </w:p>
  </w:comment>
  <w:comment w:id="18" w:author="Ed1652" w:date="2018-07-12T14:38:00Z" w:initials="Ed1652">
    <w:p w14:paraId="20AF5BDD" w14:textId="79F258F4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rPr>
          <w:rStyle w:val="CommentReference"/>
        </w:rPr>
        <w:t xml:space="preserve">If possible, specify what the third model is. </w:t>
      </w:r>
    </w:p>
  </w:comment>
  <w:comment w:id="19" w:author="Ed1652" w:date="2018-07-12T14:38:00Z" w:initials="Ed1652">
    <w:p w14:paraId="4164313B" w14:textId="4C8D09FC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 w:rsidRPr="00EB02CA">
        <w:t>One-letter symbols (normal, in subscript, or superscript) representing numerical values (mathematical or statistical variables) are generally italicized.</w:t>
      </w:r>
    </w:p>
  </w:comment>
  <w:comment w:id="20" w:author="Ed1730" w:date="2018-07-13T13:41:00Z" w:initials="Ed1730">
    <w:p w14:paraId="41F5CD43" w14:textId="0E907401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Double-check.</w:t>
      </w:r>
    </w:p>
  </w:comment>
  <w:comment w:id="21" w:author="Ed1652" w:date="2018-07-12T14:38:00Z" w:initials="Ed1652">
    <w:p w14:paraId="7E05F984" w14:textId="19016350" w:rsidR="00B13E37" w:rsidRDefault="00B13E37" w:rsidP="00ED4258">
      <w:pPr>
        <w:pStyle w:val="CommentText"/>
        <w:ind w:firstLine="420"/>
      </w:pPr>
      <w:r>
        <w:rPr>
          <w:rStyle w:val="CommentReference"/>
        </w:rPr>
        <w:annotationRef/>
      </w:r>
      <w:r w:rsidRPr="00ED4258">
        <w:t>Equations must also be punctuated in the same way as ordinary text. Always place a comma after an equation followed by “where” (introduction of variables).</w:t>
      </w:r>
    </w:p>
  </w:comment>
  <w:comment w:id="22" w:author="Ed1652" w:date="2018-07-12T14:38:00Z" w:initials="Ed1652">
    <w:p w14:paraId="584C2747" w14:textId="0F65235E" w:rsidR="00B13E37" w:rsidRDefault="00B13E37" w:rsidP="00B27853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Check for correctness. </w:t>
      </w:r>
    </w:p>
  </w:comment>
  <w:comment w:id="23" w:author="Ed1652" w:date="2018-07-12T14:38:00Z" w:initials="Ed1652">
    <w:p w14:paraId="0E3DD9FA" w14:textId="42B03C0C" w:rsidR="00B13E37" w:rsidRDefault="00B13E37" w:rsidP="00B27853">
      <w:pPr>
        <w:pStyle w:val="CommentText"/>
        <w:ind w:firstLine="420"/>
      </w:pPr>
      <w:r>
        <w:rPr>
          <w:rStyle w:val="CommentReference"/>
        </w:rPr>
        <w:annotationRef/>
      </w:r>
      <w:r w:rsidRPr="00B27853">
        <w:t>We followed the dominant format used by the authors in presenting tables in the paper.</w:t>
      </w:r>
    </w:p>
  </w:comment>
  <w:comment w:id="24" w:author="Ed1652" w:date="2018-07-12T14:38:00Z" w:initials="Ed1652">
    <w:p w14:paraId="4CBD67EC" w14:textId="63189AE5" w:rsidR="00B13E37" w:rsidRDefault="00B13E37" w:rsidP="00FC15D2">
      <w:pPr>
        <w:pStyle w:val="CommentText"/>
        <w:ind w:firstLine="420"/>
      </w:pPr>
      <w:r>
        <w:rPr>
          <w:rStyle w:val="CommentReference"/>
        </w:rPr>
        <w:annotationRef/>
      </w:r>
      <w:r w:rsidRPr="00FC15D2">
        <w:t>We observed inconsistencies in the format of your headings/subheadings. We followed the dominant format. Verify with the style guide of your target journal.</w:t>
      </w:r>
    </w:p>
  </w:comment>
  <w:comment w:id="25" w:author="Ed1730" w:date="2018-07-13T15:19:00Z" w:initials="Ed1730">
    <w:p w14:paraId="5474AB2C" w14:textId="17DBC038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A substantial revision was made here. Check for accuracy.</w:t>
      </w:r>
    </w:p>
  </w:comment>
  <w:comment w:id="26" w:author="Ed1730" w:date="2018-07-13T15:20:00Z" w:initials="Ed1730">
    <w:p w14:paraId="6469E54E" w14:textId="6CEA6D8F" w:rsidR="00B13E37" w:rsidRPr="00EF2B91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Specify what </w:t>
      </w:r>
      <w:r>
        <w:rPr>
          <w:i/>
        </w:rPr>
        <w:t xml:space="preserve">others </w:t>
      </w:r>
      <w:r>
        <w:t>refers to.</w:t>
      </w:r>
    </w:p>
  </w:comment>
  <w:comment w:id="27" w:author="Ed1730" w:date="2018-07-13T15:18:00Z" w:initials="Ed1730">
    <w:p w14:paraId="34E9EAE3" w14:textId="479C5BA5" w:rsidR="00B13E37" w:rsidRPr="00EF2B91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rPr>
          <w:i/>
        </w:rPr>
        <w:t xml:space="preserve">Responsible </w:t>
      </w:r>
      <w:r>
        <w:t>is not commonly used to describe a process.</w:t>
      </w:r>
    </w:p>
  </w:comment>
  <w:comment w:id="28" w:author="Ed1730" w:date="2018-07-13T15:23:00Z" w:initials="Ed1730">
    <w:p w14:paraId="3D600D1B" w14:textId="3EA91F38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Replace with the referent for clarity and formality.</w:t>
      </w:r>
    </w:p>
  </w:comment>
  <w:comment w:id="29" w:author="Ed1730" w:date="2018-07-13T15:56:00Z" w:initials="Ed1730">
    <w:p w14:paraId="63B82731" w14:textId="7C1641C2" w:rsidR="00B13E37" w:rsidRPr="00CE12D0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We added this to support the comparison introduced by </w:t>
      </w:r>
      <w:r>
        <w:rPr>
          <w:i/>
        </w:rPr>
        <w:t>more</w:t>
      </w:r>
      <w:r>
        <w:t>. Check for accuracy.</w:t>
      </w:r>
    </w:p>
  </w:comment>
  <w:comment w:id="30" w:author="Ed1730" w:date="2018-07-13T16:05:00Z" w:initials="Ed1730">
    <w:p w14:paraId="53A74156" w14:textId="48141920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Check the revised version carefully.</w:t>
      </w:r>
    </w:p>
  </w:comment>
  <w:comment w:id="31" w:author="Ed1730" w:date="2018-07-13T16:17:00Z" w:initials="Ed1730">
    <w:p w14:paraId="726084C7" w14:textId="77777777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The meaning is not clear. Suggested revision:</w:t>
      </w:r>
    </w:p>
    <w:p w14:paraId="5F71EF54" w14:textId="77777777" w:rsidR="00B13E37" w:rsidRDefault="00B13E37">
      <w:pPr>
        <w:pStyle w:val="CommentText"/>
        <w:ind w:firstLine="480"/>
      </w:pPr>
    </w:p>
    <w:p w14:paraId="645E15DA" w14:textId="77777777" w:rsidR="00B13E37" w:rsidRDefault="00B13E37">
      <w:pPr>
        <w:pStyle w:val="CommentText"/>
        <w:ind w:firstLine="480"/>
        <w:rPr>
          <w:i/>
        </w:rPr>
      </w:pPr>
      <w:r>
        <w:rPr>
          <w:i/>
        </w:rPr>
        <w:t>Discrepancies between the results of the proposed and IPA methods show that the former maintains strong explanation and rationality.</w:t>
      </w:r>
    </w:p>
    <w:p w14:paraId="2C0DE96C" w14:textId="77777777" w:rsidR="00B13E37" w:rsidRDefault="00B13E37">
      <w:pPr>
        <w:pStyle w:val="CommentText"/>
        <w:ind w:firstLine="480"/>
        <w:rPr>
          <w:i/>
        </w:rPr>
      </w:pPr>
    </w:p>
    <w:p w14:paraId="508EB297" w14:textId="3CBEC853" w:rsidR="00B13E37" w:rsidRDefault="00B13E37">
      <w:pPr>
        <w:pStyle w:val="CommentText"/>
        <w:ind w:firstLine="480"/>
      </w:pPr>
      <w:r>
        <w:rPr>
          <w:i/>
        </w:rPr>
        <w:t xml:space="preserve">Strong explanation </w:t>
      </w:r>
      <w:r>
        <w:t xml:space="preserve">is vague in meaning as well. Consider rewording. </w:t>
      </w:r>
    </w:p>
  </w:comment>
  <w:comment w:id="32" w:author="Ed1730" w:date="2018-07-13T16:41:00Z" w:initials="Ed1730">
    <w:p w14:paraId="1B0C36BF" w14:textId="0764F615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Check for possible contradictions (</w:t>
      </w:r>
      <w:r>
        <w:rPr>
          <w:i/>
        </w:rPr>
        <w:t>PP method finds that…which is not the case in PP method.</w:t>
      </w:r>
      <w:r>
        <w:t>).</w:t>
      </w:r>
    </w:p>
  </w:comment>
  <w:comment w:id="33" w:author="Ed1730" w:date="2018-07-13T16:46:00Z" w:initials="Ed1730">
    <w:p w14:paraId="3D58C31D" w14:textId="6B636A47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>Place this clause beside the noun it modifies (Category differences, factor differences, threshold value, or category classification?).</w:t>
      </w:r>
    </w:p>
  </w:comment>
  <w:comment w:id="34" w:author="Ed1730" w:date="2018-07-13T17:22:00Z" w:initials="Ed1730">
    <w:p w14:paraId="3A849C3E" w14:textId="78413788" w:rsidR="00AA0381" w:rsidRDefault="00AA0381">
      <w:pPr>
        <w:pStyle w:val="CommentText"/>
        <w:ind w:firstLine="420"/>
      </w:pPr>
      <w:r>
        <w:rPr>
          <w:rStyle w:val="CommentReference"/>
        </w:rPr>
        <w:annotationRef/>
      </w:r>
      <w:r>
        <w:t>Check for accuracy.</w:t>
      </w:r>
    </w:p>
  </w:comment>
  <w:comment w:id="35" w:author="Ed1730" w:date="2018-07-13T17:23:00Z" w:initials="Ed1730">
    <w:p w14:paraId="3DCCD6C3" w14:textId="0B184B5F" w:rsidR="00AA0381" w:rsidRPr="0022739D" w:rsidRDefault="00AA0381">
      <w:pPr>
        <w:pStyle w:val="CommentText"/>
        <w:ind w:firstLine="420"/>
      </w:pPr>
      <w:r>
        <w:rPr>
          <w:rStyle w:val="CommentReference"/>
        </w:rPr>
        <w:annotationRef/>
      </w:r>
      <w:r>
        <w:t>This sounds empty</w:t>
      </w:r>
      <w:r w:rsidR="0022739D">
        <w:t xml:space="preserve"> because </w:t>
      </w:r>
      <w:r w:rsidR="0022739D">
        <w:rPr>
          <w:i/>
        </w:rPr>
        <w:t xml:space="preserve">features of research problem </w:t>
      </w:r>
      <w:r w:rsidR="0022739D">
        <w:t>has no clear meaning.</w:t>
      </w:r>
    </w:p>
  </w:comment>
  <w:comment w:id="37" w:author="Ed1652" w:date="2018-07-12T14:38:00Z" w:initials="Ed1652">
    <w:p w14:paraId="6F468A9B" w14:textId="7E4DDA22" w:rsidR="00B13E37" w:rsidRDefault="00B13E37">
      <w:pPr>
        <w:pStyle w:val="CommentText"/>
        <w:ind w:firstLine="420"/>
      </w:pPr>
      <w:r>
        <w:rPr>
          <w:rStyle w:val="CommentReference"/>
        </w:rPr>
        <w:annotationRef/>
      </w:r>
      <w:r>
        <w:t xml:space="preserve">References were not edited. </w:t>
      </w:r>
      <w:r w:rsidRPr="00E3388F">
        <w:t>Check for possible inconsistencies with the citation style prescribed by your target journal.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6953D0" w15:done="0"/>
  <w15:commentEx w15:paraId="331D7311" w15:done="0"/>
  <w15:commentEx w15:paraId="0BD41A23" w15:done="0"/>
  <w15:commentEx w15:paraId="5FFC716A" w15:done="0"/>
  <w15:commentEx w15:paraId="61539C91" w15:done="0"/>
  <w15:commentEx w15:paraId="5802088E" w15:done="0"/>
  <w15:commentEx w15:paraId="5B0F0EB3" w15:done="0"/>
  <w15:commentEx w15:paraId="2DEE3AD0" w15:done="0"/>
  <w15:commentEx w15:paraId="7C98A3C8" w15:done="0"/>
  <w15:commentEx w15:paraId="4ED31794" w15:done="0"/>
  <w15:commentEx w15:paraId="6ED22BE2" w15:done="0"/>
  <w15:commentEx w15:paraId="0F46F5C5" w15:done="0"/>
  <w15:commentEx w15:paraId="5ABFF5F7" w15:done="0"/>
  <w15:commentEx w15:paraId="1D3AF579" w15:done="0"/>
  <w15:commentEx w15:paraId="2DF8662E" w15:done="0"/>
  <w15:commentEx w15:paraId="78C485E7" w15:done="0"/>
  <w15:commentEx w15:paraId="711AB169" w15:done="0"/>
  <w15:commentEx w15:paraId="78B1548B" w15:done="0"/>
  <w15:commentEx w15:paraId="20AF5BDD" w15:done="0"/>
  <w15:commentEx w15:paraId="4164313B" w15:done="0"/>
  <w15:commentEx w15:paraId="41F5CD43" w15:done="0"/>
  <w15:commentEx w15:paraId="7E05F984" w15:done="0"/>
  <w15:commentEx w15:paraId="584C2747" w15:done="0"/>
  <w15:commentEx w15:paraId="0E3DD9FA" w15:done="0"/>
  <w15:commentEx w15:paraId="4CBD67EC" w15:done="0"/>
  <w15:commentEx w15:paraId="5474AB2C" w15:done="0"/>
  <w15:commentEx w15:paraId="6469E54E" w15:done="0"/>
  <w15:commentEx w15:paraId="34E9EAE3" w15:done="0"/>
  <w15:commentEx w15:paraId="3D600D1B" w15:done="0"/>
  <w15:commentEx w15:paraId="63B82731" w15:done="0"/>
  <w15:commentEx w15:paraId="53A74156" w15:done="0"/>
  <w15:commentEx w15:paraId="508EB297" w15:done="0"/>
  <w15:commentEx w15:paraId="1B0C36BF" w15:done="0"/>
  <w15:commentEx w15:paraId="3D58C31D" w15:done="0"/>
  <w15:commentEx w15:paraId="3A849C3E" w15:done="0"/>
  <w15:commentEx w15:paraId="3DCCD6C3" w15:done="0"/>
  <w15:commentEx w15:paraId="6F468A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B6F6F" w14:textId="77777777" w:rsidR="00325BF8" w:rsidRDefault="00325BF8" w:rsidP="00C924D8">
      <w:pPr>
        <w:ind w:firstLine="480"/>
      </w:pPr>
      <w:r>
        <w:separator/>
      </w:r>
    </w:p>
  </w:endnote>
  <w:endnote w:type="continuationSeparator" w:id="0">
    <w:p w14:paraId="7FAF6E0B" w14:textId="77777777" w:rsidR="00325BF8" w:rsidRDefault="00325BF8" w:rsidP="00C924D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E05BD" w14:textId="77777777" w:rsidR="00B13E37" w:rsidRDefault="00B13E3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73155"/>
      <w:docPartObj>
        <w:docPartGallery w:val="Page Numbers (Bottom of Page)"/>
        <w:docPartUnique/>
      </w:docPartObj>
    </w:sdtPr>
    <w:sdtContent>
      <w:p w14:paraId="3EF32450" w14:textId="77777777" w:rsidR="00B13E37" w:rsidRDefault="00B13E3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867">
          <w:rPr>
            <w:noProof/>
          </w:rPr>
          <w:t>3</w:t>
        </w:r>
        <w:r>
          <w:fldChar w:fldCharType="end"/>
        </w:r>
      </w:p>
    </w:sdtContent>
  </w:sdt>
  <w:p w14:paraId="10C4F937" w14:textId="77777777" w:rsidR="00B13E37" w:rsidRDefault="00B13E3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BB5D6" w14:textId="77777777" w:rsidR="00B13E37" w:rsidRDefault="00B13E3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1A6F8" w14:textId="77777777" w:rsidR="00325BF8" w:rsidRDefault="00325BF8" w:rsidP="00C924D8">
      <w:pPr>
        <w:ind w:firstLine="480"/>
      </w:pPr>
      <w:r>
        <w:separator/>
      </w:r>
    </w:p>
  </w:footnote>
  <w:footnote w:type="continuationSeparator" w:id="0">
    <w:p w14:paraId="4D1C572F" w14:textId="77777777" w:rsidR="00325BF8" w:rsidRDefault="00325BF8" w:rsidP="00C924D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41D8F" w14:textId="77777777" w:rsidR="00B13E37" w:rsidRDefault="00B13E3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90EBD" w14:textId="77777777" w:rsidR="00B13E37" w:rsidRDefault="00B13E37" w:rsidP="00935171">
    <w:pPr>
      <w:pStyle w:val="Header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F885C" w14:textId="77777777" w:rsidR="00B13E37" w:rsidRDefault="00B13E3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262E3"/>
    <w:multiLevelType w:val="hybridMultilevel"/>
    <w:tmpl w:val="EA1A97B6"/>
    <w:lvl w:ilvl="0" w:tplc="D43450E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4A243E9"/>
    <w:multiLevelType w:val="hybridMultilevel"/>
    <w:tmpl w:val="76148024"/>
    <w:lvl w:ilvl="0" w:tplc="7AB6092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1652">
    <w15:presenceInfo w15:providerId="None" w15:userId="Ed1652"/>
  </w15:person>
  <w15:person w15:author="Ed1730">
    <w15:presenceInfo w15:providerId="None" w15:userId="Ed17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N7QwMzU0MDCyMDdR0lEKTi0uzszPAykwrAUAhBssvSwAAAA="/>
    <w:docVar w:name="NE.Ref{025C93AC-96C1-4594-B3BE-D6FC74BD9947}" w:val=" ADDIN NE.Ref.{025C93AC-96C1-4594-B3BE-D6FC74BD9947}&lt;Citation&gt;&lt;Group&gt;&lt;References&gt;&lt;Item&gt;&lt;ID&gt;60&lt;/ID&gt;&lt;UID&gt;{0BB8E48C-3905-4E8C-8FB7-FAA79D6BA168}&lt;/UID&gt;&lt;Title&gt;Attractive quality and must-be quality&lt;/Title&gt;&lt;Template&gt;Journal Article&lt;/Template&gt;&lt;Star&gt;0&lt;/Star&gt;&lt;Tag&gt;0&lt;/Tag&gt;&lt;Author&gt;Kano, Noriaki&lt;/Author&gt;&lt;Year&gt;1984&lt;/Year&gt;&lt;Details&gt;&lt;_journal&gt;Hinshitsu (Quality, The Journal of Japanese Society for Quality Control)&lt;/_journal&gt;&lt;_pages&gt;39-48&lt;/_pages&gt;&lt;_volume&gt;14&lt;/_volume&gt;&lt;_created&gt;62282988&lt;/_created&gt;&lt;_modified&gt;62282988&lt;/_modified&gt;&lt;/Details&gt;&lt;Extra&gt;&lt;DBUID&gt;{3F2EBFA9-92CF-49F9-B0CE-D0CEB9AEA94F}&lt;/DBUID&gt;&lt;/Extra&gt;&lt;/Item&gt;&lt;/References&gt;&lt;/Group&gt;&lt;/Citation&gt;_x000a_"/>
    <w:docVar w:name="NE.Ref{0D8E75B7-50A0-45C0-8C28-BFCB1723F21C}" w:val=" ADDIN NE.Ref.{0D8E75B7-50A0-45C0-8C28-BFCB1723F21C}&lt;Citation&gt;&lt;Group&gt;&lt;References&gt;&lt;Item&gt;&lt;ID&gt;49&lt;/ID&gt;&lt;UID&gt;{9A984ED0-FF3D-4307-86D4-FC41460E0206}&lt;/UID&gt;&lt;Title&gt;Drivers of customer satisfaction with public transport services&lt;/Title&gt;&lt;Template&gt;Journal Article&lt;/Template&gt;&lt;Star&gt;0&lt;/Star&gt;&lt;Tag&gt;0&lt;/Tag&gt;&lt;Author&gt;Mouwen, Arnoud&lt;/Author&gt;&lt;Year&gt;2015&lt;/Year&gt;&lt;Details&gt;&lt;_isbn&gt;0965-8564&lt;/_isbn&gt;&lt;_journal&gt;Transportation Research Part A: Policy and Practice&lt;/_journal&gt;&lt;_pages&gt;1-20&lt;/_pages&gt;&lt;_volume&gt;78&lt;/_volume&gt;&lt;_created&gt;62282923&lt;/_created&gt;&lt;_modified&gt;62282929&lt;/_modified&gt;&lt;_impact_factor&gt;   2.609&lt;/_impact_factor&gt;&lt;_collection_scope&gt;EI;&lt;/_collection_scope&gt;&lt;_accessed&gt;62282929&lt;/_accessed&gt;&lt;/Details&gt;&lt;Extra&gt;&lt;DBUID&gt;{3F2EBFA9-92CF-49F9-B0CE-D0CEB9AEA94F}&lt;/DBUID&gt;&lt;/Extra&gt;&lt;/Item&gt;&lt;/References&gt;&lt;/Group&gt;&lt;Group&gt;&lt;References&gt;&lt;Item&gt;&lt;ID&gt;50&lt;/ID&gt;&lt;UID&gt;{646FAF88-561E-49B7-A1E4-1ECAE0047177}&lt;/UID&gt;&lt;Title&gt;Exploring key determinants of travel satisfaction for multi-modal trips by different traveler groups&lt;/Title&gt;&lt;Template&gt;Journal Article&lt;/Template&gt;&lt;Star&gt;0&lt;/Star&gt;&lt;Tag&gt;0&lt;/Tag&gt;&lt;Author&gt;Susilo, Yusak O; Cats, Oded&lt;/Author&gt;&lt;Year&gt;2014&lt;/Year&gt;&lt;Details&gt;&lt;_isbn&gt;0965-8564&lt;/_isbn&gt;&lt;_journal&gt;Transportation Research Part A: Policy and Practice&lt;/_journal&gt;&lt;_pages&gt;366-380&lt;/_pages&gt;&lt;_volume&gt;67&lt;/_volume&gt;&lt;_created&gt;62282925&lt;/_created&gt;&lt;_modified&gt;62282929&lt;/_modified&gt;&lt;_impact_factor&gt;   2.609&lt;/_impact_factor&gt;&lt;_collection_scope&gt;EI;&lt;/_collection_scope&gt;&lt;_accessed&gt;62282929&lt;/_accessed&gt;&lt;/Details&gt;&lt;Extra&gt;&lt;DBUID&gt;{3F2EBFA9-92CF-49F9-B0CE-D0CEB9AEA94F}&lt;/DBUID&gt;&lt;/Extra&gt;&lt;/Item&gt;&lt;/References&gt;&lt;/Group&gt;&lt;/Citation&gt;_x000a_"/>
    <w:docVar w:name="NE.Ref{0EB5EA9F-693B-43F9-93F0-F615EC1F94BA}" w:val=" ADDIN NE.Ref.{0EB5EA9F-693B-43F9-93F0-F615EC1F94BA}&lt;Citation&gt;&lt;Group&gt;&lt;References&gt;&lt;Item&gt;&lt;ID&gt;36&lt;/ID&gt;&lt;UID&gt;{E09798DA-0D0E-4DC3-8927-2F88B9A9EE74}&lt;/UID&gt;&lt;Title&gt;Importance-performance analysis&lt;/Title&gt;&lt;Template&gt;Journal Article&lt;/Template&gt;&lt;Star&gt;0&lt;/Star&gt;&lt;Tag&gt;0&lt;/Tag&gt;&lt;Author&gt;Martilla, John A; James, John C&lt;/Author&gt;&lt;Year&gt;1977&lt;/Year&gt;&lt;Details&gt;&lt;_isbn&gt;0022-2429&lt;/_isbn&gt;&lt;_journal&gt;The journal of marketing&lt;/_journal&gt;&lt;_pages&gt;77-79&lt;/_pages&gt;&lt;_created&gt;62282873&lt;/_created&gt;&lt;_modified&gt;62282900&lt;/_modified&gt;&lt;_impact_factor&gt;   5.318&lt;/_impact_factor&gt;&lt;/Details&gt;&lt;Extra&gt;&lt;DBUID&gt;{3F2EBFA9-92CF-49F9-B0CE-D0CEB9AEA94F}&lt;/DBUID&gt;&lt;/Extra&gt;&lt;/Item&gt;&lt;/References&gt;&lt;/Group&gt;&lt;/Citation&gt;_x000a_"/>
    <w:docVar w:name="NE.Ref{1437A886-707D-4A18-AD53-6E0EFD7103B4}" w:val=" ADDIN NE.Ref.{1437A886-707D-4A18-AD53-6E0EFD7103B4}&lt;Citation&gt;&lt;Group&gt;&lt;References&gt;&lt;Item&gt;&lt;ID&gt;56&lt;/ID&gt;&lt;UID&gt;{F1A8392B-6912-4079-994E-262AF6E9C1AF}&lt;/UID&gt;&lt;Title&gt;Perceived service quality of paratransit in developing countries: A structural equation approach&lt;/Title&gt;&lt;Template&gt;Journal Article&lt;/Template&gt;&lt;Star&gt;0&lt;/Star&gt;&lt;Tag&gt;0&lt;/Tag&gt;&lt;Author&gt;Rahman, Farzana; Das, Tanmay; Hadiuzzaman, Md; Hossain, Sanjana&lt;/Author&gt;&lt;Year&gt;2016&lt;/Year&gt;&lt;Details&gt;&lt;_isbn&gt;0965-8564&lt;/_isbn&gt;&lt;_journal&gt;Transportation Research Part A: Policy and Practice&lt;/_journal&gt;&lt;_pages&gt;23-38&lt;/_pages&gt;&lt;_volume&gt;93&lt;/_volume&gt;&lt;_created&gt;62282952&lt;/_created&gt;&lt;_modified&gt;62282952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Group&gt;&lt;References&gt;&lt;Item&gt;&lt;ID&gt;52&lt;/ID&gt;&lt;UID&gt;{31E67F32-935D-4DED-B49E-740938FE1DD1}&lt;/UID&gt;&lt;Title&gt;Performance, importance and user disgruntlement: A six-step method for measuring satisfaction with travel modes&lt;/Title&gt;&lt;Template&gt;Journal Article&lt;/Template&gt;&lt;Star&gt;0&lt;/Star&gt;&lt;Tag&gt;0&lt;/Tag&gt;&lt;Author&gt;Stradling, Stephen G; Anable, Jillian; Carreno, Michael&lt;/Author&gt;&lt;Year&gt;2007&lt;/Year&gt;&lt;Details&gt;&lt;_isbn&gt;0965-8564&lt;/_isbn&gt;&lt;_issue&gt;1&lt;/_issue&gt;&lt;_journal&gt;Transportation Research Part A: Policy and Practice&lt;/_journal&gt;&lt;_pages&gt;98-106&lt;/_pages&gt;&lt;_volume&gt;41&lt;/_volume&gt;&lt;_created&gt;62282934&lt;/_created&gt;&lt;_modified&gt;62282964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Group&gt;&lt;References&gt;&lt;Item&gt;&lt;ID&gt;54&lt;/ID&gt;&lt;UID&gt;{E7FE2A5C-F554-41DD-AE3B-B876BF88032F}&lt;/UID&gt;&lt;Title&gt;An integrated MCDM approach to evaluate public transportation systems in Tehran&lt;/Title&gt;&lt;Template&gt;Journal Article&lt;/Template&gt;&lt;Star&gt;1&lt;/Star&gt;&lt;Tag&gt;0&lt;/Tag&gt;&lt;Author&gt;Nassereddine, M; Eskandari, H&lt;/Author&gt;&lt;Year&gt;2017&lt;/Year&gt;&lt;Details&gt;&lt;_isbn&gt;0965-8564&lt;/_isbn&gt;&lt;_journal&gt;Transportation Research Part A: Policy and Practice&lt;/_journal&gt;&lt;_pages&gt;427-439&lt;/_pages&gt;&lt;_volume&gt;106&lt;/_volume&gt;&lt;_created&gt;62282939&lt;/_created&gt;&lt;_modified&gt;62282939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/Citation&gt;_x000a_"/>
    <w:docVar w:name="NE.Ref{2B9067E0-907A-4AB4-9B32-0213709D2B52}" w:val=" ADDIN NE.Ref.{2B9067E0-907A-4AB4-9B32-0213709D2B52}&lt;Citation&gt;&lt;Group&gt;&lt;References&gt;&lt;Item&gt;&lt;ID&gt;55&lt;/ID&gt;&lt;UID&gt;{D43E1386-E41F-4F74-9BD5-98E0B16C581D}&lt;/UID&gt;&lt;Title&gt;Assessing the quality of intercity road transportation of passengers: An exploratory study in Brazil&lt;/Title&gt;&lt;Template&gt;Journal Article&lt;/Template&gt;&lt;Star&gt;1&lt;/Star&gt;&lt;Tag&gt;0&lt;/Tag&gt;&lt;Author&gt;Freitas, André Luís Policani&lt;/Author&gt;&lt;Year&gt;2013&lt;/Year&gt;&lt;Details&gt;&lt;_isbn&gt;0965-8564&lt;/_isbn&gt;&lt;_journal&gt;Transportation Research Part A: Policy and Practice&lt;/_journal&gt;&lt;_pages&gt;379-392&lt;/_pages&gt;&lt;_volume&gt;49&lt;/_volume&gt;&lt;_created&gt;62282943&lt;/_created&gt;&lt;_modified&gt;62282964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/Citation&gt;_x000a_"/>
    <w:docVar w:name="NE.Ref{31026024-1561-4F04-99C6-48467B0E82FD}" w:val=" ADDIN NE.Ref.{31026024-1561-4F04-99C6-48467B0E82FD}&lt;Citation&gt;&lt;Group&gt;&lt;References&gt;&lt;Item&gt;&lt;ID&gt;76&lt;/ID&gt;&lt;UID&gt;{233BFF2A-1163-40EE-8028-82CFA93D303A}&lt;/UID&gt;&lt;Title&gt;Using three-factor theory to identify improvement priorities for express and local bus services: An application of regression with dummy variables in the Twin Cities&lt;/Title&gt;&lt;Template&gt;Journal Article&lt;/Template&gt;&lt;Star&gt;0&lt;/Star&gt;&lt;Tag&gt;0&lt;/Tag&gt;&lt;Author&gt;Wu, X; Cao, J; Huting, J&lt;/Author&gt;&lt;Year&gt;2018&lt;/Year&gt;&lt;Details&gt;&lt;_alternate_title&gt;Transportation Research Part A: Policy and Practice&lt;/_alternate_title&gt;&lt;_collection_scope&gt;EI;&lt;/_collection_scope&gt;&lt;_created&gt;62300730&lt;/_created&gt;&lt;_date&gt;2018-01-01&lt;/_date&gt;&lt;_date_display&gt;2018&lt;/_date_display&gt;&lt;_doi&gt;10.1016/j.tra.2018.04.003&lt;/_doi&gt;&lt;_journal&gt;Transportation Research Part A: Policy and Practice&lt;/_journal&gt;&lt;_modified&gt;62300732&lt;/_modified&gt;&lt;_pages&gt;184-196&lt;/_pages&gt;&lt;_url&gt;https://www.scopus.com/inward/record.uri?eid=2-s2.0-85046040807&amp;amp;doi=10.1016%2fj.tra.2018.04.003&amp;amp;partnerID=40&amp;amp;md5=e8f57e1c65e750aec0565be21e5216e5 _x000d__x000a_https://ac.els-cdn.com/S0965856417311011/1-s2.0-S0965856417311011-main.pdf?_tid=bb7b9b97-b591-4940-90b0-c2d2e7bfaa42&amp;amp;acdnat=1529026469_fe4a84d25cce9cb3323d37cb3a517bf7 全文链接_x000d__x000a_&lt;/_url&gt;&lt;_volume&gt;113&lt;/_volume&gt;&lt;/Details&gt;&lt;Extra&gt;&lt;DBUID&gt;{3F2EBFA9-92CF-49F9-B0CE-D0CEB9AEA94F}&lt;/DBUID&gt;&lt;/Extra&gt;&lt;/Item&gt;&lt;/References&gt;&lt;/Group&gt;&lt;Group&gt;&lt;References&gt;&lt;Item&gt;&lt;ID&gt;54&lt;/ID&gt;&lt;UID&gt;{E7FE2A5C-F554-41DD-AE3B-B876BF88032F}&lt;/UID&gt;&lt;Title&gt;An integrated MCDM approach to evaluate public transportation systems in Tehran&lt;/Title&gt;&lt;Template&gt;Journal Article&lt;/Template&gt;&lt;Star&gt;1&lt;/Star&gt;&lt;Tag&gt;0&lt;/Tag&gt;&lt;Author&gt;Nassereddine, M; Eskandari, H&lt;/Author&gt;&lt;Year&gt;2017&lt;/Year&gt;&lt;Details&gt;&lt;_isbn&gt;0965-8564&lt;/_isbn&gt;&lt;_journal&gt;Transportation Research Part A: Policy and Practice&lt;/_journal&gt;&lt;_pages&gt;427-439&lt;/_pages&gt;&lt;_volume&gt;106&lt;/_volume&gt;&lt;_created&gt;62282939&lt;/_created&gt;&lt;_modified&gt;62282939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Group&gt;&lt;References&gt;&lt;Item&gt;&lt;ID&gt;56&lt;/ID&gt;&lt;UID&gt;{F1A8392B-6912-4079-994E-262AF6E9C1AF}&lt;/UID&gt;&lt;Title&gt;Perceived service quality of paratransit in developing countries: A structural equation approach&lt;/Title&gt;&lt;Template&gt;Journal Article&lt;/Template&gt;&lt;Star&gt;0&lt;/Star&gt;&lt;Tag&gt;0&lt;/Tag&gt;&lt;Author&gt;Rahman, Farzana; Das, Tanmay; Hadiuzzaman, Md; Hossain, Sanjana&lt;/Author&gt;&lt;Year&gt;2016&lt;/Year&gt;&lt;Details&gt;&lt;_isbn&gt;0965-8564&lt;/_isbn&gt;&lt;_journal&gt;Transportation Research Part A: Policy and Practice&lt;/_journal&gt;&lt;_pages&gt;23-38&lt;/_pages&gt;&lt;_volume&gt;93&lt;/_volume&gt;&lt;_created&gt;62282952&lt;/_created&gt;&lt;_modified&gt;62282952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/Citation&gt;_x000a_"/>
    <w:docVar w:name="NE.Ref{3FDA917C-8DEA-4229-A3F5-6C04A11813E1}" w:val=" ADDIN NE.Ref.{3FDA917C-8DEA-4229-A3F5-6C04A11813E1}&lt;Citation&gt;&lt;Group&gt;&lt;References&gt;&lt;Item&gt;&lt;ID&gt;57&lt;/ID&gt;&lt;UID&gt;{F3961FD1-36E1-402C-9379-55D03B5971B3}&lt;/UID&gt;&lt;Title&gt;Travel satisfaction revisited. On the pivotal role of travel satisfaction in conceptualising a travel behaviour process&lt;/Title&gt;&lt;Template&gt;Journal Article&lt;/Template&gt;&lt;Star&gt;0&lt;/Star&gt;&lt;Tag&gt;0&lt;/Tag&gt;&lt;Author&gt;De Vos, Jonas; Witlox, Frank&lt;/Author&gt;&lt;Year&gt;2017&lt;/Year&gt;&lt;Details&gt;&lt;_isbn&gt;0965-8564&lt;/_isbn&gt;&lt;_journal&gt;Transportation Research Part A: Policy and Practice&lt;/_journal&gt;&lt;_pages&gt;364-373&lt;/_pages&gt;&lt;_volume&gt;106&lt;/_volume&gt;&lt;_created&gt;62282970&lt;/_created&gt;&lt;_modified&gt;62282970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/Citation&gt;_x000a_"/>
    <w:docVar w:name="NE.Ref{44DF5F89-E49B-4542-B520-085C41468300}" w:val=" ADDIN NE.Ref.{44DF5F89-E49B-4542-B520-085C41468300}&lt;Citation&gt;&lt;Group&gt;&lt;References&gt;&lt;Item&gt;&lt;ID&gt;52&lt;/ID&gt;&lt;UID&gt;{31E67F32-935D-4DED-B49E-740938FE1DD1}&lt;/UID&gt;&lt;Title&gt;Performance, importance and user disgruntlement: A six-step method for measuring satisfaction with travel modes&lt;/Title&gt;&lt;Template&gt;Journal Article&lt;/Template&gt;&lt;Star&gt;0&lt;/Star&gt;&lt;Tag&gt;0&lt;/Tag&gt;&lt;Author&gt;Stradling, Stephen G; Anable, Jillian; Carreno, Michael&lt;/Author&gt;&lt;Year&gt;2007&lt;/Year&gt;&lt;Details&gt;&lt;_isbn&gt;0965-8564&lt;/_isbn&gt;&lt;_issue&gt;1&lt;/_issue&gt;&lt;_journal&gt;Transportation Research Part A: Policy and Practice&lt;/_journal&gt;&lt;_pages&gt;98-106&lt;/_pages&gt;&lt;_volume&gt;41&lt;/_volume&gt;&lt;_created&gt;62282934&lt;/_created&gt;&lt;_modified&gt;62282964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/Citation&gt;_x000a_"/>
    <w:docVar w:name="NE.Ref{521DD8B4-D103-48D8-95D8-9CFA4A74B162}" w:val=" ADDIN NE.Ref.{521DD8B4-D103-48D8-95D8-9CFA4A74B162}&lt;Citation&gt;&lt;Group&gt;&lt;References&gt;&lt;Item&gt;&lt;ID&gt;59&lt;/ID&gt;&lt;UID&gt;{7188ECDD-D181-437F-970F-F92F8680C5F4}&lt;/UID&gt;&lt;Title&gt;The analytic hierarchy process&lt;/Title&gt;&lt;Template&gt;Journal Article&lt;/Template&gt;&lt;Star&gt;0&lt;/Star&gt;&lt;Tag&gt;0&lt;/Tag&gt;&lt;Author&gt;Golden, Bruce L; Wasil, Edward A; Harker, Patrick T&lt;/Author&gt;&lt;Year&gt;1989&lt;/Year&gt;&lt;Details&gt;&lt;_journal&gt;Applications and Studies, Berlin, Heidelberg&lt;/_journal&gt;&lt;_created&gt;62282983&lt;/_created&gt;&lt;_modified&gt;62282983&lt;/_modified&gt;&lt;_accessed&gt;62282983&lt;/_accessed&gt;&lt;/Details&gt;&lt;Extra&gt;&lt;DBUID&gt;{3F2EBFA9-92CF-49F9-B0CE-D0CEB9AEA94F}&lt;/DBUID&gt;&lt;/Extra&gt;&lt;/Item&gt;&lt;/References&gt;&lt;/Group&gt;&lt;/Citation&gt;_x000a_"/>
    <w:docVar w:name="NE.Ref{68BB76ED-A10D-4B40-8B42-203F0E9F19FB}" w:val=" ADDIN NE.Ref.{68BB76ED-A10D-4B40-8B42-203F0E9F19FB}&lt;Citation&gt;&lt;Group&gt;&lt;References&gt;&lt;Item&gt;&lt;ID&gt;84&lt;/ID&gt;&lt;UID&gt;{157DE8F6-7B2E-4D16-B005-A33FCF59E90A}&lt;/UID&gt;&lt;Title&gt;Customer satisfaction among transit riders: How customers rank the relative importance of various service attributes&lt;/Title&gt;&lt;Template&gt;Journal Article&lt;/Template&gt;&lt;Star&gt;0&lt;/Star&gt;&lt;Tag&gt;0&lt;/Tag&gt;&lt;Author&gt;Weinstein, Aaron&lt;/Author&gt;&lt;Year&gt;2000&lt;/Year&gt;&lt;Details&gt;&lt;_isbn&gt;0361-1981&lt;/_isbn&gt;&lt;_issue&gt;1735&lt;/_issue&gt;&lt;_journal&gt;Transportation Research Record: Journal of the Transportation Research Board&lt;/_journal&gt;&lt;_pages&gt;123-132&lt;/_pages&gt;&lt;_created&gt;62305720&lt;/_created&gt;&lt;_modified&gt;62305721&lt;/_modified&gt;&lt;_impact_factor&gt;   0.592&lt;/_impact_factor&gt;&lt;/Details&gt;&lt;Extra&gt;&lt;DBUID&gt;{3F2EBFA9-92CF-49F9-B0CE-D0CEB9AEA94F}&lt;/DBUID&gt;&lt;/Extra&gt;&lt;/Item&gt;&lt;/References&gt;&lt;/Group&gt;&lt;/Citation&gt;_x000a_"/>
    <w:docVar w:name="NE.Ref{7C7D2D91-1D6D-4FA2-8492-557D03B5D86F}" w:val=" ADDIN NE.Ref.{7C7D2D91-1D6D-4FA2-8492-557D03B5D86F}&lt;Citation&gt;&lt;Group&gt;&lt;References&gt;&lt;Item&gt;&lt;ID&gt;53&lt;/ID&gt;&lt;UID&gt;{75853964-C165-477B-9549-C05D68A8C53F}&lt;/UID&gt;&lt;Title&gt;Assessment of the taxi service in Doha&lt;/Title&gt;&lt;Template&gt;Journal Article&lt;/Template&gt;&lt;Star&gt;1&lt;/Star&gt;&lt;Tag&gt;5&lt;/Tag&gt;&lt;Author&gt;Shaaban, Khaled; Kim, Inhi&lt;/Author&gt;&lt;Year&gt;2016&lt;/Year&gt;&lt;Details&gt;&lt;_isbn&gt;0965-8564&lt;/_isbn&gt;&lt;_journal&gt;Transportation Research Part A: Policy and Practice&lt;/_journal&gt;&lt;_pages&gt;223-235&lt;/_pages&gt;&lt;_volume&gt;88&lt;/_volume&gt;&lt;_created&gt;62282936&lt;/_created&gt;&lt;_modified&gt;62282937&lt;/_modified&gt;&lt;_impact_factor&gt;   2.609&lt;/_impact_factor&gt;&lt;_collection_scope&gt;EI;&lt;/_collection_scope&gt;&lt;_accessed&gt;62282937&lt;/_accessed&gt;&lt;/Details&gt;&lt;Extra&gt;&lt;DBUID&gt;{3F2EBFA9-92CF-49F9-B0CE-D0CEB9AEA94F}&lt;/DBUID&gt;&lt;/Extra&gt;&lt;/Item&gt;&lt;/References&gt;&lt;/Group&gt;&lt;/Citation&gt;_x000a_"/>
    <w:docVar w:name="NE.Ref{869D213C-C45A-4A49-9473-6B25731118A7}" w:val=" ADDIN NE.Ref.{869D213C-C45A-4A49-9473-6B25731118A7}&lt;Citation&gt;&lt;Group&gt;&lt;References&gt;&lt;Item&gt;&lt;ID&gt;64&lt;/ID&gt;&lt;UID&gt;{60C6C197-FEAF-4667-B9E8-BBC68B518F48}&lt;/UID&gt;&lt;Title&gt;Deploying effective service strategy in the operations stage of high-speed rail&lt;/Title&gt;&lt;Template&gt;Journal Article&lt;/Template&gt;&lt;Star&gt;0&lt;/Star&gt;&lt;Tag&gt;0&lt;/Tag&gt;&lt;Author&gt;Chou, Jui-Sheng; Kim, Changwan; Kuo, Yao-Chen; Ou, Nai-Chi&lt;/Author&gt;&lt;Year&gt;2011&lt;/Year&gt;&lt;Details&gt;&lt;_isbn&gt;1366-5545&lt;/_isbn&gt;&lt;_issue&gt;4&lt;/_issue&gt;&lt;_journal&gt;Transportation Research Part E: Logistics and Transportation Review&lt;/_journal&gt;&lt;_pages&gt;507-519&lt;/_pages&gt;&lt;_volume&gt;47&lt;/_volume&gt;&lt;_created&gt;62283007&lt;/_created&gt;&lt;_modified&gt;62283007&lt;/_modified&gt;&lt;_impact_factor&gt;   2.974&lt;/_impact_factor&gt;&lt;/Details&gt;&lt;Extra&gt;&lt;DBUID&gt;{3F2EBFA9-92CF-49F9-B0CE-D0CEB9AEA94F}&lt;/DBUID&gt;&lt;/Extra&gt;&lt;/Item&gt;&lt;/References&gt;&lt;/Group&gt;&lt;/Citation&gt;_x000a_"/>
    <w:docVar w:name="NE.Ref{8B50BCA7-FC04-44C3-AAEF-B27BD1500DC0}" w:val=" ADDIN NE.Ref.{8B50BCA7-FC04-44C3-AAEF-B27BD1500DC0}&lt;Citation&gt;&lt;Group&gt;&lt;References&gt;&lt;Item&gt;&lt;ID&gt;32&lt;/ID&gt;&lt;UID&gt;{343D4379-845E-4265-BC38-8EECE49E1C5C}&lt;/UID&gt;&lt;Title&gt;Formulating and Evaluating Tou Rism Policy Using Importance-Performance Analysis&lt;/Title&gt;&lt;Template&gt;Journal Article&lt;/Template&gt;&lt;Star&gt;0&lt;/Star&gt;&lt;Tag&gt;0&lt;/Tag&gt;&lt;Author&gt;Evans, Michael R; Chon, Kye-Sung&lt;/Author&gt;&lt;Year&gt;1989&lt;/Year&gt;&lt;Details&gt;&lt;_isbn&gt;1096-3480&lt;/_isbn&gt;&lt;_issue&gt;3&lt;/_issue&gt;&lt;_journal&gt;Journal of Hospitality &amp;amp; Tourism Research&lt;/_journal&gt;&lt;_pages&gt;203-213&lt;/_pages&gt;&lt;_volume&gt;13&lt;/_volume&gt;&lt;_created&gt;62282867&lt;/_created&gt;&lt;_modified&gt;62282867&lt;/_modified&gt;&lt;_impact_factor&gt;   2.646&lt;/_impact_factor&gt;&lt;_collection_scope&gt;SSCI;&lt;/_collection_scope&gt;&lt;_accessed&gt;62283034&lt;/_accessed&gt;&lt;/Details&gt;&lt;Extra&gt;&lt;DBUID&gt;{3F2EBFA9-92CF-49F9-B0CE-D0CEB9AEA94F}&lt;/DBUID&gt;&lt;/Extra&gt;&lt;/Item&gt;&lt;/References&gt;&lt;/Group&gt;&lt;/Citation&gt;_x000a_"/>
    <w:docVar w:name="NE.Ref{AA51C344-B2A7-414D-8A36-E6B249D24D2D}" w:val=" ADDIN NE.Ref.{AA51C344-B2A7-414D-8A36-E6B249D24D2D}&lt;Citation&gt;&lt;Group&gt;&lt;References&gt;&lt;Item&gt;&lt;ID&gt;55&lt;/ID&gt;&lt;UID&gt;{D43E1386-E41F-4F74-9BD5-98E0B16C581D}&lt;/UID&gt;&lt;Title&gt;Assessing the quality of intercity road transportation of passengers: An exploratory study in Brazil&lt;/Title&gt;&lt;Template&gt;Journal Article&lt;/Template&gt;&lt;Star&gt;1&lt;/Star&gt;&lt;Tag&gt;0&lt;/Tag&gt;&lt;Author&gt;Freitas, André Luís Policani&lt;/Author&gt;&lt;Year&gt;2013&lt;/Year&gt;&lt;Details&gt;&lt;_isbn&gt;0965-8564&lt;/_isbn&gt;&lt;_journal&gt;Transportation Research Part A: Policy and Practice&lt;/_journal&gt;&lt;_pages&gt;379-392&lt;/_pages&gt;&lt;_volume&gt;49&lt;/_volume&gt;&lt;_created&gt;62282943&lt;/_created&gt;&lt;_modified&gt;62282964&lt;/_modified&gt;&lt;_impact_factor&gt;   2.609&lt;/_impact_factor&gt;&lt;_collection_scope&gt;EI;&lt;/_collection_scope&gt;&lt;/Details&gt;&lt;Extra&gt;&lt;DBUID&gt;{3F2EBFA9-92CF-49F9-B0CE-D0CEB9AEA94F}&lt;/DBUID&gt;&lt;/Extra&gt;&lt;/Item&gt;&lt;/References&gt;&lt;/Group&gt;&lt;/Citation&gt;_x000a_"/>
    <w:docVar w:name="NE.Ref{B1E54739-9A7D-4412-B877-37180A9614C0}" w:val=" ADDIN NE.Ref.{B1E54739-9A7D-4412-B877-37180A9614C0}&lt;Citation&gt;&lt;Group&gt;&lt;References&gt;&lt;Item&gt;&lt;ID&gt;34&lt;/ID&gt;&lt;UID&gt;{8B783332-672C-4CEF-A955-A5BEAD7E1550}&lt;/UID&gt;&lt;Title&gt;Attitudes of Korean college students towards quick-service, family-style, and fine dining restaurants&lt;/Title&gt;&lt;Template&gt;Journal Article&lt;/Template&gt;&lt;Star&gt;0&lt;/Star&gt;&lt;Tag&gt;0&lt;/Tag&gt;&lt;Author&gt;Hsu, Cathy HC; Byun, Sunghee; Yang, Il-Sun&lt;/Author&gt;&lt;Year&gt;1998&lt;/Year&gt;&lt;Details&gt;&lt;_isbn&gt;1052-214X&lt;/_isbn&gt;&lt;_issue&gt;4&lt;/_issue&gt;&lt;_journal&gt;Journal of Restaurant &amp;amp; Foodservice Marketing&lt;/_journal&gt;&lt;_pages&gt;65-85&lt;/_pages&gt;&lt;_volume&gt;2&lt;/_volume&gt;&lt;_created&gt;62282871&lt;/_created&gt;&lt;_modified&gt;62282872&lt;/_modified&gt;&lt;_accessed&gt;62283029&lt;/_accessed&gt;&lt;/Details&gt;&lt;Extra&gt;&lt;DBUID&gt;{3F2EBFA9-92CF-49F9-B0CE-D0CEB9AEA94F}&lt;/DBUID&gt;&lt;/Extra&gt;&lt;/Item&gt;&lt;/References&gt;&lt;/Group&gt;&lt;/Citation&gt;_x000a_"/>
    <w:docVar w:name="NE.Ref{B9FFE527-F3E8-42EE-B773-3EBF3DDE77EE}" w:val=" ADDIN NE.Ref.{B9FFE527-F3E8-42EE-B773-3EBF3DDE77EE}&lt;Citation&gt;&lt;Group&gt;&lt;References&gt;&lt;Item&gt;&lt;ID&gt;67&lt;/ID&gt;&lt;UID&gt;{351CE562-D9C4-45BD-85EA-21CD8F4B5BBE}&lt;/UID&gt;&lt;Title&gt;Structural model evaluation and modification: An interval estimation approach&lt;/Title&gt;&lt;Template&gt;Journal Article&lt;/Template&gt;&lt;Star&gt;0&lt;/Star&gt;&lt;Tag&gt;0&lt;/Tag&gt;&lt;Author&gt;Steiger, James H&lt;/Author&gt;&lt;Year&gt;1990&lt;/Year&gt;&lt;Details&gt;&lt;_isbn&gt;0027-3171&lt;/_isbn&gt;&lt;_issue&gt;2&lt;/_issue&gt;&lt;_journal&gt;Multivariate behavioral research&lt;/_journal&gt;&lt;_pages&gt;173-180&lt;/_pages&gt;&lt;_volume&gt;25&lt;/_volume&gt;&lt;_created&gt;62283075&lt;/_created&gt;&lt;_modified&gt;62283075&lt;/_modified&gt;&lt;_impact_factor&gt;   2.593&lt;/_impact_factor&gt;&lt;_collection_scope&gt;SCIE;SSCI;&lt;/_collection_scope&gt;&lt;/Details&gt;&lt;Extra&gt;&lt;DBUID&gt;{3F2EBFA9-92CF-49F9-B0CE-D0CEB9AEA94F}&lt;/DBUID&gt;&lt;/Extra&gt;&lt;/Item&gt;&lt;/References&gt;&lt;/Group&gt;&lt;Group&gt;&lt;References&gt;&lt;Item&gt;&lt;ID&gt;68&lt;/ID&gt;&lt;UID&gt;{A45C789C-8731-4871-98EC-7C005F095C68}&lt;/UID&gt;&lt;Title&gt;Alternative ways of assessing model fit&lt;/Title&gt;&lt;Template&gt;Journal Article&lt;/Template&gt;&lt;Star&gt;0&lt;/Star&gt;&lt;Tag&gt;0&lt;/Tag&gt;&lt;Author&gt;Browne, Michael W; Cudeck, Robert&lt;/Author&gt;&lt;Year&gt;1993&lt;/Year&gt;&lt;Details&gt;&lt;_journal&gt;Sage focus editions&lt;/_journal&gt;&lt;_pages&gt;136-136&lt;/_pages&gt;&lt;_volume&gt;154&lt;/_volume&gt;&lt;_created&gt;62283077&lt;/_created&gt;&lt;_modified&gt;62283077&lt;/_modified&gt;&lt;/Details&gt;&lt;Extra&gt;&lt;DBUID&gt;{3F2EBFA9-92CF-49F9-B0CE-D0CEB9AEA94F}&lt;/DBUID&gt;&lt;/Extra&gt;&lt;/Item&gt;&lt;/References&gt;&lt;/Group&gt;&lt;Group&gt;&lt;References&gt;&lt;Item&gt;&lt;ID&gt;69&lt;/ID&gt;&lt;UID&gt;{B18A0ACD-8CD5-402B-BB11-61DA04044031}&lt;/UID&gt;&lt;Title&gt;A review and synthesis of the measurement invariance literature: Suggestions, practices, and recommendations for organizational research&lt;/Title&gt;&lt;Template&gt;Journal Article&lt;/Template&gt;&lt;Star&gt;0&lt;/Star&gt;&lt;Tag&gt;0&lt;/Tag&gt;&lt;Author&gt;Vandenberg, Robert J; Lance, Charles E&lt;/Author&gt;&lt;Year&gt;2000&lt;/Year&gt;&lt;Details&gt;&lt;_isbn&gt;1094-4281&lt;/_isbn&gt;&lt;_issue&gt;1&lt;/_issue&gt;&lt;_journal&gt;Organizational research methods&lt;/_journal&gt;&lt;_pages&gt;4-70&lt;/_pages&gt;&lt;_volume&gt;3&lt;/_volume&gt;&lt;_created&gt;62283079&lt;/_created&gt;&lt;_modified&gt;62283079&lt;/_modified&gt;&lt;_impact_factor&gt;   4.783&lt;/_impact_factor&gt;&lt;_collection_scope&gt;SSCI;&lt;/_collection_scope&gt;&lt;/Details&gt;&lt;Extra&gt;&lt;DBUID&gt;{3F2EBFA9-92CF-49F9-B0CE-D0CEB9AEA94F}&lt;/DBUID&gt;&lt;/Extra&gt;&lt;/Item&gt;&lt;/References&gt;&lt;/Group&gt;&lt;Group&gt;&lt;References&gt;&lt;Item&gt;&lt;ID&gt;70&lt;/ID&gt;&lt;UID&gt;{D212EA0A-268D-4802-813D-05584B738C86}&lt;/UID&gt;&lt;Title&gt;Structural equation modelling: Guidelines for determining model fit&lt;/Title&gt;&lt;Template&gt;Journal Article&lt;/Template&gt;&lt;Star&gt;0&lt;/Star&gt;&lt;Tag&gt;0&lt;/Tag&gt;&lt;Author&gt;Hooper, Daire; Coughlan, Joseph; Mullen, Michael&lt;/Author&gt;&lt;Year&gt;2008&lt;/Year&gt;&lt;Details&gt;&lt;_journal&gt;Articles&lt;/_journal&gt;&lt;_pages&gt;2&lt;/_pages&gt;&lt;_created&gt;62283080&lt;/_created&gt;&lt;_modified&gt;62283080&lt;/_modified&gt;&lt;/Details&gt;&lt;Extra&gt;&lt;DBUID&gt;{3F2EBFA9-92CF-49F9-B0CE-D0CEB9AEA94F}&lt;/DBUID&gt;&lt;/Extra&gt;&lt;/Item&gt;&lt;/References&gt;&lt;/Group&gt;&lt;/Citation&gt;_x000a_"/>
    <w:docVar w:name="NE.Ref{BAB19FE6-21DC-4B6C-AE34-AB86830A5592}" w:val=" ADDIN NE.Ref.{BAB19FE6-21DC-4B6C-AE34-AB86830A5592}&lt;Citation&gt;&lt;Group&gt;&lt;References&gt;&lt;Item&gt;&lt;ID&gt;80&lt;/ID&gt;&lt;UID&gt;{DC8B23E9-07BB-4902-A480-A015CADDA912}&lt;/UID&gt;&lt;Title&gt;Understanding the relationship between attribute performance and overall satisfaction: Theory, measurement and implications&lt;/Title&gt;&lt;Template&gt;Journal Article&lt;/Template&gt;&lt;Star&gt;0&lt;/Star&gt;&lt;Tag&gt;5&lt;/Tag&gt;&lt;Author&gt;Busacca, Bruno; Padula, Giovanna&lt;/Author&gt;&lt;Year&gt;2005&lt;/Year&gt;&lt;Details&gt;&lt;_isbn&gt;0263-4503&lt;/_isbn&gt;&lt;_issue&gt;6&lt;/_issue&gt;&lt;_journal&gt;Marketing Intelligence &amp;amp; Planning&lt;/_journal&gt;&lt;_pages&gt;543-561&lt;/_pages&gt;&lt;_volume&gt;23&lt;/_volume&gt;&lt;_created&gt;62305704&lt;/_created&gt;&lt;_modified&gt;62305704&lt;/_modified&gt;&lt;/Details&gt;&lt;Extra&gt;&lt;DBUID&gt;{3F2EBFA9-92CF-49F9-B0CE-D0CEB9AEA94F}&lt;/DBUID&gt;&lt;/Extra&gt;&lt;/Item&gt;&lt;/References&gt;&lt;/Group&gt;&lt;Group&gt;&lt;References&gt;&lt;Item&gt;&lt;ID&gt;2&lt;/ID&gt;&lt;UID&gt;{9D70B4D5-D9A4-410D-A084-CDA0075E4040}&lt;/UID&gt;&lt;Title&gt;The asymmetric relationship between attribute-level performance and overall customer satisfaction: a reconsideration of the importance–performance analysis&lt;/Title&gt;&lt;Template&gt;Journal Article&lt;/Template&gt;&lt;Star&gt;1&lt;/Star&gt;&lt;Tag&gt;5&lt;/Tag&gt;&lt;Author&gt;Matzler, Kurt; Bailom, Franz; Hinterhuber, Hans H; Renzl, Birgit; Pichler, Johann&lt;/Author&gt;&lt;Year&gt;2004&lt;/Year&gt;&lt;Details&gt;&lt;_accessed&gt;62301111&lt;/_accessed&gt;&lt;_collection_scope&gt;SSCI;&lt;/_collection_scope&gt;&lt;_created&gt;62174403&lt;/_created&gt;&lt;_db_updated&gt;CrossRef&lt;/_db_updated&gt;&lt;_doi&gt;10.1016/S0019-8501(03)00055-5&lt;/_doi&gt;&lt;_impact_factor&gt;   3.166&lt;/_impact_factor&gt;&lt;_isbn&gt;00198501&lt;/_isbn&gt;&lt;_issue&gt;4&lt;/_issue&gt;&lt;_journal&gt;Industrial Marketing Management&lt;/_journal&gt;&lt;_modified&gt;62174588&lt;/_modified&gt;&lt;_pages&gt;271-277&lt;/_pages&gt;&lt;_tertiary_title&gt;Industrial Marketing Management&lt;/_tertiary_title&gt;&lt;_url&gt;http://linkinghub.elsevier.com/retrieve/pii/S0019850103000555_x000d__x000a_http://api.elsevier.com/content/article/PII:S0019850103000555?httpAccept=text/xml&lt;/_url&gt;&lt;_volume&gt;33&lt;/_volume&gt;&lt;/Details&gt;&lt;Extra&gt;&lt;DBUID&gt;{3F2EBFA9-92CF-49F9-B0CE-D0CEB9AEA94F}&lt;/DBUID&gt;&lt;/Extra&gt;&lt;/Item&gt;&lt;/References&gt;&lt;/Group&gt;&lt;Group&gt;&lt;References&gt;&lt;Item&gt;&lt;ID&gt;79&lt;/ID&gt;&lt;UID&gt;{E8482CEB-7FCB-4BE2-90BB-F590553D2DEB}&lt;/UID&gt;&lt;Title&gt;Strengthening the satisfaction-profit chain&lt;/Title&gt;&lt;Template&gt;Journal Article&lt;/Template&gt;&lt;Star&gt;0&lt;/Star&gt;&lt;Tag&gt;5&lt;/Tag&gt;&lt;Author&gt;Anderson, Eugene W; Mittal, Vikas&lt;/Author&gt;&lt;Year&gt;2000&lt;/Year&gt;&lt;Details&gt;&lt;_isbn&gt;1094-6705&lt;/_isbn&gt;&lt;_issue&gt;2&lt;/_issue&gt;&lt;_journal&gt;Journal of Service research&lt;/_journal&gt;&lt;_pages&gt;107-120&lt;/_pages&gt;&lt;_volume&gt;3&lt;/_volume&gt;&lt;_created&gt;62305703&lt;/_created&gt;&lt;_modified&gt;62305703&lt;/_modified&gt;&lt;_impact_factor&gt;   6.847&lt;/_impact_factor&gt;&lt;_collection_scope&gt;SSCI;&lt;/_collection_scope&gt;&lt;/Details&gt;&lt;Extra&gt;&lt;DBUID&gt;{3F2EBFA9-92CF-49F9-B0CE-D0CEB9AEA94F}&lt;/DBUID&gt;&lt;/Extra&gt;&lt;/Item&gt;&lt;/References&gt;&lt;/Group&gt;&lt;/Citation&gt;_x000a_"/>
    <w:docVar w:name="NE.Ref{BD05C3B4-5039-486F-8100-D9D49D90DCE9}" w:val=" ADDIN NE.Ref.{BD05C3B4-5039-486F-8100-D9D49D90DCE9}&lt;Citation&gt;&lt;Group&gt;&lt;References&gt;&lt;Item&gt;&lt;ID&gt;62&lt;/ID&gt;&lt;UID&gt;{4D514061-D247-4643-88AF-6D01C87B0C8F}&lt;/UID&gt;&lt;Title&gt;Developing zones of tolerance for managing passenger rail service quality&lt;/Title&gt;&lt;Template&gt;Journal Article&lt;/Template&gt;&lt;Star&gt;0&lt;/Star&gt;&lt;Tag&gt;0&lt;/Tag&gt;&lt;Author&gt;Cavana, Robert Y; Corbett, Lawrence M; Lo, Y L&lt;/Author&gt;&lt;Year&gt;2007&lt;/Year&gt;&lt;Details&gt;&lt;_isbn&gt;0265-671X&lt;/_isbn&gt;&lt;_issue&gt;1&lt;/_issue&gt;&lt;_journal&gt;International Journal of Quality &amp;amp; Reliability Management&lt;/_journal&gt;&lt;_pages&gt;7-31&lt;/_pages&gt;&lt;_volume&gt;24&lt;/_volume&gt;&lt;_created&gt;62282995&lt;/_created&gt;&lt;_modified&gt;62282995&lt;/_modified&gt;&lt;/Details&gt;&lt;Extra&gt;&lt;DBUID&gt;{3F2EBFA9-92CF-49F9-B0CE-D0CEB9AEA94F}&lt;/DBUID&gt;&lt;/Extra&gt;&lt;/Item&gt;&lt;/References&gt;&lt;/Group&gt;&lt;/Citation&gt;_x000a_"/>
    <w:docVar w:name="NE.Ref{BE527047-4068-45EA-A42E-6B0730FEE3D8}" w:val=" ADDIN NE.Ref.{BE527047-4068-45EA-A42E-6B0730FEE3D8}&lt;Citation&gt;&lt;Group&gt;&lt;References&gt;&lt;Item&gt;&lt;ID&gt;76&lt;/ID&gt;&lt;UID&gt;{233BFF2A-1163-40EE-8028-82CFA93D303A}&lt;/UID&gt;&lt;Title&gt;Using three-factor theory to identify improvement priorities for express and local bus services: An application of regression with dummy variables in the Twin Cities&lt;/Title&gt;&lt;Template&gt;Journal Article&lt;/Template&gt;&lt;Star&gt;0&lt;/Star&gt;&lt;Tag&gt;0&lt;/Tag&gt;&lt;Author&gt;Wu, X; Cao, J; Huting, J&lt;/Author&gt;&lt;Year&gt;2018&lt;/Year&gt;&lt;Details&gt;&lt;_alternate_title&gt;Transportation Research Part A: Policy and Practice&lt;/_alternate_title&gt;&lt;_collection_scope&gt;EI;&lt;/_collection_scope&gt;&lt;_created&gt;62300730&lt;/_created&gt;&lt;_date&gt;2018-01-01&lt;/_date&gt;&lt;_date_display&gt;2018&lt;/_date_display&gt;&lt;_doi&gt;10.1016/j.tra.2018.04.003&lt;/_doi&gt;&lt;_journal&gt;Transportation Research Part A: Policy and Practice&lt;/_journal&gt;&lt;_modified&gt;62300732&lt;/_modified&gt;&lt;_pages&gt;184-196&lt;/_pages&gt;&lt;_url&gt;https://www.scopus.com/inward/record.uri?eid=2-s2.0-85046040807&amp;amp;doi=10.1016%2fj.tra.2018.04.003&amp;amp;partnerID=40&amp;amp;md5=e8f57e1c65e750aec0565be21e5216e5 _x000d__x000a_https://ac.els-cdn.com/S0965856417311011/1-s2.0-S0965856417311011-main.pdf?_tid=bb7b9b97-b591-4940-90b0-c2d2e7bfaa42&amp;amp;acdnat=1529026469_fe4a84d25cce9cb3323d37cb3a517bf7 全文链接_x000d__x000a_&lt;/_url&gt;&lt;_volume&gt;113&lt;/_volume&gt;&lt;/Details&gt;&lt;Extra&gt;&lt;DBUID&gt;{3F2EBFA9-92CF-49F9-B0CE-D0CEB9AEA94F}&lt;/DBUID&gt;&lt;/Extra&gt;&lt;/Item&gt;&lt;/References&gt;&lt;/Group&gt;&lt;/Citation&gt;_x000a_"/>
    <w:docVar w:name="NE.Ref{C203C13F-8917-4077-85B0-E4102DC0AA88}" w:val=" ADDIN NE.Ref.{C203C13F-8917-4077-85B0-E4102DC0AA88}&lt;Citation&gt;&lt;Group&gt;&lt;References&gt;&lt;Item&gt;&lt;ID&gt;83&lt;/ID&gt;&lt;UID&gt;{B36DEE1D-8B2D-482C-9E8C-91F64EC87958}&lt;/UID&gt;&lt;Title&gt;Performance, importance and user disgruntlement: A six-step method for measuring satisfaction with travel modes&lt;/Title&gt;&lt;Template&gt;Journal Article&lt;/Template&gt;&lt;Star&gt;0&lt;/Star&gt;&lt;Tag&gt;0&lt;/Tag&gt;&lt;Author&gt;Stradling, Stephen G; Anable, Jillian; Carreno, Michael&lt;/Author&gt;&lt;Year&gt;2007&lt;/Year&gt;&lt;Details&gt;&lt;_isbn&gt;0965-8564&lt;/_isbn&gt;&lt;_issue&gt;1&lt;/_issue&gt;&lt;_journal&gt;Transportation Research Part A: Policy and Practice&lt;/_journal&gt;&lt;_pages&gt;98-106&lt;/_pages&gt;&lt;_volume&gt;41&lt;/_volume&gt;&lt;_created&gt;62305717&lt;/_created&gt;&lt;_modified&gt;62305720&lt;/_modified&gt;&lt;_impact_factor&gt;   2.609&lt;/_impact_factor&gt;&lt;_collection_scope&gt;EI;&lt;/_collection_scope&gt;&lt;_accessed&gt;62305722&lt;/_accessed&gt;&lt;/Details&gt;&lt;Extra&gt;&lt;DBUID&gt;{3F2EBFA9-92CF-49F9-B0CE-D0CEB9AEA94F}&lt;/DBUID&gt;&lt;/Extra&gt;&lt;/Item&gt;&lt;/References&gt;&lt;/Group&gt;&lt;/Citation&gt;_x000a_"/>
    <w:docVar w:name="NE.Ref{C8C7C429-0D11-474E-ADAA-9D09C7E31946}" w:val=" ADDIN NE.Ref.{C8C7C429-0D11-474E-ADAA-9D09C7E31946}&lt;Citation&gt;&lt;Group&gt;&lt;References&gt;&lt;Item&gt;&lt;ID&gt;82&lt;/ID&gt;&lt;UID&gt;{16407242-993D-4001-A382-39E1220731D8}&lt;/UID&gt;&lt;Title&gt;Passenger satisfaction evaluation model for Urban rail transit: A structural equation modeling based on partial least squares&lt;/Title&gt;&lt;Template&gt;Journal Article&lt;/Template&gt;&lt;Star&gt;0&lt;/Star&gt;&lt;Tag&gt;0&lt;/Tag&gt;&lt;Author&gt;Shen, Weiwei; Xiao, Weizhou; Wang, Xin&lt;/Author&gt;&lt;Year&gt;2016&lt;/Year&gt;&lt;Details&gt;&lt;_isbn&gt;0967-070X&lt;/_isbn&gt;&lt;_journal&gt;Transport Policy&lt;/_journal&gt;&lt;_pages&gt;20-31&lt;/_pages&gt;&lt;_volume&gt;46&lt;/_volume&gt;&lt;_created&gt;62305716&lt;/_created&gt;&lt;_modified&gt;62305724&lt;/_modified&gt;&lt;_impact_factor&gt;   2.269&lt;/_impact_factor&gt;&lt;_collection_scope&gt;SSCI;&lt;/_collection_scope&gt;&lt;_accessed&gt;62305724&lt;/_accessed&gt;&lt;/Details&gt;&lt;Extra&gt;&lt;DBUID&gt;{3F2EBFA9-92CF-49F9-B0CE-D0CEB9AEA94F}&lt;/DBUID&gt;&lt;/Extra&gt;&lt;/Item&gt;&lt;/References&gt;&lt;/Group&gt;&lt;/Citation&gt;_x000a_"/>
    <w:docVar w:name="NE.Ref{CEAEF11D-089A-4C24-A285-F736B45350FF}" w:val=" ADDIN NE.Ref.{CEAEF11D-089A-4C24-A285-F736B45350FF}&lt;Citation&gt;&lt;Group&gt;&lt;References&gt;&lt;Item&gt;&lt;ID&gt;63&lt;/ID&gt;&lt;UID&gt;{CBECA989-83D5-45EC-A72F-9CFFD7C451E4}&lt;/UID&gt;&lt;Title&gt;Importance-performance analysis and the measurement of service quality&lt;/Title&gt;&lt;Template&gt;Journal Article&lt;/Template&gt;&lt;Star&gt;0&lt;/Star&gt;&lt;Tag&gt;0&lt;/Tag&gt;&lt;Author&gt;Ennew, Christine T; Reed, Geoffrey V; Binks, Martin R&lt;/Author&gt;&lt;Year&gt;1993&lt;/Year&gt;&lt;Details&gt;&lt;_isbn&gt;0309-0566&lt;/_isbn&gt;&lt;_issue&gt;2&lt;/_issue&gt;&lt;_journal&gt;European journal of marketing&lt;/_journal&gt;&lt;_pages&gt;59-70&lt;/_pages&gt;&lt;_volume&gt;27&lt;/_volume&gt;&lt;_created&gt;62283004&lt;/_created&gt;&lt;_modified&gt;62283004&lt;/_modified&gt;&lt;_impact_factor&gt;   1.333&lt;/_impact_factor&gt;&lt;_collection_scope&gt;SSCI;&lt;/_collection_scope&gt;&lt;/Details&gt;&lt;Extra&gt;&lt;DBUID&gt;{3F2EBFA9-92CF-49F9-B0CE-D0CEB9AEA94F}&lt;/DBUID&gt;&lt;/Extra&gt;&lt;/Item&gt;&lt;/References&gt;&lt;/Group&gt;&lt;/Citation&gt;_x000a_"/>
    <w:docVar w:name="NE.Ref{D0119430-B905-48D3-93DF-4D90F0773694}" w:val=" ADDIN NE.Ref.{D0119430-B905-48D3-93DF-4D90F0773694}&lt;Citation&gt;&lt;Group&gt;&lt;References&gt;&lt;Item&gt;&lt;ID&gt;2&lt;/ID&gt;&lt;UID&gt;{9D70B4D5-D9A4-410D-A084-CDA0075E4040}&lt;/UID&gt;&lt;Title&gt;The asymmetric relationship between attribute-level performance and overall customer satisfaction: a reconsideration of the importance–performance analysis&lt;/Title&gt;&lt;Template&gt;Journal Article&lt;/Template&gt;&lt;Star&gt;1&lt;/Star&gt;&lt;Tag&gt;5&lt;/Tag&gt;&lt;Author&gt;Matzler, Kurt; Bailom, Franz; Hinterhuber, Hans H; Renzl, Birgit; Pichler, Johann&lt;/Author&gt;&lt;Year&gt;2004&lt;/Year&gt;&lt;Details&gt;&lt;_accessed&gt;62205988&lt;/_accessed&gt;&lt;_collection_scope&gt;SSCI;&lt;/_collection_scope&gt;&lt;_created&gt;62174403&lt;/_created&gt;&lt;_db_updated&gt;CrossRef&lt;/_db_updated&gt;&lt;_doi&gt;10.1016/S0019-8501(03)00055-5&lt;/_doi&gt;&lt;_impact_factor&gt;   3.166&lt;/_impact_factor&gt;&lt;_isbn&gt;00198501&lt;/_isbn&gt;&lt;_issue&gt;4&lt;/_issue&gt;&lt;_journal&gt;Industrial Marketing Management&lt;/_journal&gt;&lt;_modified&gt;62174588&lt;/_modified&gt;&lt;_pages&gt;271-277&lt;/_pages&gt;&lt;_tertiary_title&gt;Industrial Marketing Management&lt;/_tertiary_title&gt;&lt;_url&gt;http://linkinghub.elsevier.com/retrieve/pii/S0019850103000555_x000d__x000a_http://api.elsevier.com/content/article/PII:S0019850103000555?httpAccept=text/xml&lt;/_url&gt;&lt;_volume&gt;33&lt;/_volume&gt;&lt;/Details&gt;&lt;Extra&gt;&lt;DBUID&gt;{3F2EBFA9-92CF-49F9-B0CE-D0CEB9AEA94F}&lt;/DBUID&gt;&lt;/Extra&gt;&lt;/Item&gt;&lt;/References&gt;&lt;/Group&gt;&lt;/Citation&gt;_x000a_"/>
    <w:docVar w:name="NE.Ref{D0E20608-1766-430A-B97A-6B9DA7AB937C}" w:val=" ADDIN NE.Ref.{D0E20608-1766-430A-B97A-6B9DA7AB937C}&lt;Citation&gt;&lt;Group&gt;&lt;References&gt;&lt;Item&gt;&lt;ID&gt;71&lt;/ID&gt;&lt;UID&gt;{885B8D97-0D93-41C2-AC9A-E1584F4E3E60}&lt;/UID&gt;&lt;Title&gt;Measuring customer satisfaction with service quality using American Customer Satisfaction Model (ACSI Model)&lt;/Title&gt;&lt;Template&gt;Journal Article&lt;/Template&gt;&lt;Star&gt;0&lt;/Star&gt;&lt;Tag&gt;0&lt;/Tag&gt;&lt;Author&gt;Angelova, Biljana; Zekiri, Jusuf&lt;/Author&gt;&lt;Year&gt;2011&lt;/Year&gt;&lt;Details&gt;&lt;_isbn&gt;2222-6990&lt;/_isbn&gt;&lt;_issue&gt;3&lt;/_issue&gt;&lt;_journal&gt;International Journal of Academic Research in Business and Social Sciences&lt;/_journal&gt;&lt;_pages&gt;232&lt;/_pages&gt;&lt;_volume&gt;1&lt;/_volume&gt;&lt;_created&gt;62293169&lt;/_created&gt;&lt;_modified&gt;62293169&lt;/_modified&gt;&lt;/Details&gt;&lt;Extra&gt;&lt;DBUID&gt;{3F2EBFA9-92CF-49F9-B0CE-D0CEB9AEA94F}&lt;/DBUID&gt;&lt;/Extra&gt;&lt;/Item&gt;&lt;/References&gt;&lt;/Group&gt;&lt;/Citation&gt;_x000a_"/>
    <w:docVar w:name="NE.Ref{D54C2B92-454C-437A-A5AF-04CD99FCCF01}" w:val=" ADDIN NE.Ref.{D54C2B92-454C-437A-A5AF-04CD99FCCF01}&lt;Citation&gt;&lt;Group&gt;&lt;References&gt;&lt;Item&gt;&lt;ID&gt;76&lt;/ID&gt;&lt;UID&gt;{233BFF2A-1163-40EE-8028-82CFA93D303A}&lt;/UID&gt;&lt;Title&gt;Using three-factor theory to identify improvement priorities for express and local bus services: An application of regression with dummy variables in the Twin Cities&lt;/Title&gt;&lt;Template&gt;Journal Article&lt;/Template&gt;&lt;Star&gt;0&lt;/Star&gt;&lt;Tag&gt;0&lt;/Tag&gt;&lt;Author&gt;Wu, X; Cao, J; Huting, J&lt;/Author&gt;&lt;Year&gt;2018&lt;/Year&gt;&lt;Details&gt;&lt;_alternate_title&gt;Transportation Research Part A: Policy and Practice&lt;/_alternate_title&gt;&lt;_collection_scope&gt;EI;&lt;/_collection_scope&gt;&lt;_created&gt;62300730&lt;/_created&gt;&lt;_date&gt;2018-01-01&lt;/_date&gt;&lt;_date_display&gt;2018&lt;/_date_display&gt;&lt;_doi&gt;10.1016/j.tra.2018.04.003&lt;/_doi&gt;&lt;_journal&gt;Transportation Research Part A: Policy and Practice&lt;/_journal&gt;&lt;_modified&gt;62300732&lt;/_modified&gt;&lt;_pages&gt;184-196&lt;/_pages&gt;&lt;_url&gt;https://www.scopus.com/inward/record.uri?eid=2-s2.0-85046040807&amp;amp;doi=10.1016%2fj.tra.2018.04.003&amp;amp;partnerID=40&amp;amp;md5=e8f57e1c65e750aec0565be21e5216e5 _x000d__x000a_https://ac.els-cdn.com/S0965856417311011/1-s2.0-S0965856417311011-main.pdf?_tid=bb7b9b97-b591-4940-90b0-c2d2e7bfaa42&amp;amp;acdnat=1529026469_fe4a84d25cce9cb3323d37cb3a517bf7 全文链接_x000d__x000a_&lt;/_url&gt;&lt;_volume&gt;113&lt;/_volume&gt;&lt;/Details&gt;&lt;Extra&gt;&lt;DBUID&gt;{3F2EBFA9-92CF-49F9-B0CE-D0CEB9AEA94F}&lt;/DBUID&gt;&lt;/Extra&gt;&lt;/Item&gt;&lt;/References&gt;&lt;/Group&gt;&lt;/Citation&gt;_x000a_"/>
    <w:docVar w:name="NE.Ref{ECACC242-1583-40BD-90F8-3209E7E06E9E}" w:val=" ADDIN NE.Ref.{ECACC242-1583-40BD-90F8-3209E7E06E9E}&lt;Citation&gt;&lt;Group&gt;&lt;References&gt;&lt;Item&gt;&lt;ID&gt;66&lt;/ID&gt;&lt;UID&gt;{DE6C2F5A-3AB1-4EC9-B82B-00C4229ACB2A}&lt;/UID&gt;&lt;Title&gt;Importance-performance analysis: a useful tool for directing continuous quality improvement in higher education&lt;/Title&gt;&lt;Template&gt;Journal Article&lt;/Template&gt;&lt;Star&gt;0&lt;/Star&gt;&lt;Tag&gt;0&lt;/Tag&gt;&lt;Author&gt;O Neill, Martin A; Palmer, Adrian&lt;/Author&gt;&lt;Year&gt;2004&lt;/Year&gt;&lt;Details&gt;&lt;_isbn&gt;0968-4883&lt;/_isbn&gt;&lt;_issue&gt;1&lt;/_issue&gt;&lt;_journal&gt;Quality assurance in education&lt;/_journal&gt;&lt;_pages&gt;39-52&lt;/_pages&gt;&lt;_volume&gt;12&lt;/_volume&gt;&lt;_created&gt;62283053&lt;/_created&gt;&lt;_modified&gt;62283053&lt;/_modified&gt;&lt;_accessed&gt;62283053&lt;/_accessed&gt;&lt;/Details&gt;&lt;Extra&gt;&lt;DBUID&gt;{3F2EBFA9-92CF-49F9-B0CE-D0CEB9AEA94F}&lt;/DBUID&gt;&lt;/Extra&gt;&lt;/Item&gt;&lt;/References&gt;&lt;/Group&gt;&lt;/Citation&gt;_x000a_"/>
    <w:docVar w:name="NE.Ref{EDF5AEA5-D922-485C-866B-B22AE4492AC4}" w:val=" ADDIN NE.Ref.{EDF5AEA5-D922-485C-866B-B22AE4492AC4}&lt;Citation&gt;&lt;Group&gt;&lt;References&gt;&lt;Item&gt;&lt;ID&gt;61&lt;/ID&gt;&lt;UID&gt;{AB8ECA8D-ABD8-4E5C-AB75-F9B4387331E7}&lt;/UID&gt;&lt;Title&gt;Structural equation model of customer satisfaction for the New York City subway system&lt;/Title&gt;&lt;Template&gt;Journal Article&lt;/Template&gt;&lt;Star&gt;0&lt;/Star&gt;&lt;Tag&gt;0&lt;/Tag&gt;&lt;Author&gt;Stuart, Kenneth; Mednick, Marc; Bockman, Johanna&lt;/Author&gt;&lt;Year&gt;2000&lt;/Year&gt;&lt;Details&gt;&lt;_isbn&gt;0361-1981&lt;/_isbn&gt;&lt;_issue&gt;1735&lt;/_issue&gt;&lt;_journal&gt;Transportation Research Record: Journal of the Transportation Research Board&lt;/_journal&gt;&lt;_pages&gt;133-137&lt;/_pages&gt;&lt;_created&gt;62282991&lt;/_created&gt;&lt;_modified&gt;62282991&lt;/_modified&gt;&lt;_impact_factor&gt;   0.592&lt;/_impact_factor&gt;&lt;/Details&gt;&lt;Extra&gt;&lt;DBUID&gt;{3F2EBFA9-92CF-49F9-B0CE-D0CEB9AEA94F}&lt;/DBUID&gt;&lt;/Extra&gt;&lt;/Item&gt;&lt;/References&gt;&lt;/Group&gt;&lt;/Citation&gt;_x000a_"/>
    <w:docVar w:name="NE.Ref{F528CE60-E3D8-494E-97A8-B0A62F529990}" w:val=" ADDIN NE.Ref.{F528CE60-E3D8-494E-97A8-B0A62F529990}&lt;Citation&gt;&lt;Group&gt;&lt;References&gt;&lt;Item&gt;&lt;ID&gt;76&lt;/ID&gt;&lt;UID&gt;{233BFF2A-1163-40EE-8028-82CFA93D303A}&lt;/UID&gt;&lt;Title&gt;Using three-factor theory to identify improvement priorities for express and local bus services: An application of regression with dummy variables in the Twin Cities&lt;/Title&gt;&lt;Template&gt;Journal Article&lt;/Template&gt;&lt;Star&gt;0&lt;/Star&gt;&lt;Tag&gt;0&lt;/Tag&gt;&lt;Author&gt;Wu, X; Cao, J; Huting, J&lt;/Author&gt;&lt;Year&gt;2018&lt;/Year&gt;&lt;Details&gt;&lt;_alternate_title&gt;Transportation Research Part A: Policy and Practice&lt;/_alternate_title&gt;&lt;_collection_scope&gt;EI;&lt;/_collection_scope&gt;&lt;_created&gt;62300730&lt;/_created&gt;&lt;_date&gt;2018-01-01&lt;/_date&gt;&lt;_date_display&gt;2018&lt;/_date_display&gt;&lt;_doi&gt;10.1016/j.tra.2018.04.003&lt;/_doi&gt;&lt;_journal&gt;Transportation Research Part A: Policy and Practice&lt;/_journal&gt;&lt;_modified&gt;62300732&lt;/_modified&gt;&lt;_pages&gt;184-196&lt;/_pages&gt;&lt;_url&gt;https://www.scopus.com/inward/record.uri?eid=2-s2.0-85046040807&amp;amp;doi=10.1016%2fj.tra.2018.04.003&amp;amp;partnerID=40&amp;amp;md5=e8f57e1c65e750aec0565be21e5216e5 _x000d__x000a_https://ac.els-cdn.com/S0965856417311011/1-s2.0-S0965856417311011-main.pdf?_tid=bb7b9b97-b591-4940-90b0-c2d2e7bfaa42&amp;amp;acdnat=1529026469_fe4a84d25cce9cb3323d37cb3a517bf7 全文链接_x000d__x000a_&lt;/_url&gt;&lt;_volume&gt;113&lt;/_volume&gt;&lt;/Details&gt;&lt;Extra&gt;&lt;DBUID&gt;{3F2EBFA9-92CF-49F9-B0CE-D0CEB9AEA94F}&lt;/DBUID&gt;&lt;/Extra&gt;&lt;/Item&gt;&lt;/References&gt;&lt;/Group&gt;&lt;/Citation&gt;_x000a_"/>
    <w:docVar w:name="ne_docsoft" w:val="MSWord"/>
    <w:docVar w:name="ne_docversion" w:val="NoteExpress 2.0"/>
    <w:docVar w:name="ne_stylename" w:val="J Transportation Eng"/>
  </w:docVars>
  <w:rsids>
    <w:rsidRoot w:val="00657368"/>
    <w:rsid w:val="00007721"/>
    <w:rsid w:val="000108CC"/>
    <w:rsid w:val="00011C87"/>
    <w:rsid w:val="00012080"/>
    <w:rsid w:val="0001257F"/>
    <w:rsid w:val="00013574"/>
    <w:rsid w:val="00013E4D"/>
    <w:rsid w:val="00023FD4"/>
    <w:rsid w:val="000264BD"/>
    <w:rsid w:val="00030424"/>
    <w:rsid w:val="00031175"/>
    <w:rsid w:val="000317D2"/>
    <w:rsid w:val="00033579"/>
    <w:rsid w:val="00034292"/>
    <w:rsid w:val="00034BA9"/>
    <w:rsid w:val="00034EBB"/>
    <w:rsid w:val="00035BDD"/>
    <w:rsid w:val="00037DA8"/>
    <w:rsid w:val="0004068E"/>
    <w:rsid w:val="00042D53"/>
    <w:rsid w:val="00043D0D"/>
    <w:rsid w:val="00044B24"/>
    <w:rsid w:val="00050412"/>
    <w:rsid w:val="00051255"/>
    <w:rsid w:val="00051A22"/>
    <w:rsid w:val="00053C7A"/>
    <w:rsid w:val="000542C0"/>
    <w:rsid w:val="00057724"/>
    <w:rsid w:val="00060766"/>
    <w:rsid w:val="000655BB"/>
    <w:rsid w:val="00071FFF"/>
    <w:rsid w:val="00072707"/>
    <w:rsid w:val="00073588"/>
    <w:rsid w:val="00073793"/>
    <w:rsid w:val="00076DC6"/>
    <w:rsid w:val="00077C50"/>
    <w:rsid w:val="000816AD"/>
    <w:rsid w:val="00083162"/>
    <w:rsid w:val="00084017"/>
    <w:rsid w:val="00084706"/>
    <w:rsid w:val="0008576F"/>
    <w:rsid w:val="0008660A"/>
    <w:rsid w:val="00087559"/>
    <w:rsid w:val="00091855"/>
    <w:rsid w:val="000A02B2"/>
    <w:rsid w:val="000A1EA7"/>
    <w:rsid w:val="000A3D08"/>
    <w:rsid w:val="000A442A"/>
    <w:rsid w:val="000A5AD2"/>
    <w:rsid w:val="000A620B"/>
    <w:rsid w:val="000B0255"/>
    <w:rsid w:val="000B44DF"/>
    <w:rsid w:val="000B6703"/>
    <w:rsid w:val="000B6D28"/>
    <w:rsid w:val="000C7516"/>
    <w:rsid w:val="000D26B2"/>
    <w:rsid w:val="000E0797"/>
    <w:rsid w:val="000E2630"/>
    <w:rsid w:val="000E454C"/>
    <w:rsid w:val="000E6D42"/>
    <w:rsid w:val="000F0D5C"/>
    <w:rsid w:val="000F25F0"/>
    <w:rsid w:val="000F4A91"/>
    <w:rsid w:val="00115386"/>
    <w:rsid w:val="00117589"/>
    <w:rsid w:val="0012030A"/>
    <w:rsid w:val="00120560"/>
    <w:rsid w:val="001210E8"/>
    <w:rsid w:val="001218DD"/>
    <w:rsid w:val="0012218F"/>
    <w:rsid w:val="00127EA5"/>
    <w:rsid w:val="001326D0"/>
    <w:rsid w:val="00137BA2"/>
    <w:rsid w:val="00140055"/>
    <w:rsid w:val="0014476C"/>
    <w:rsid w:val="00146287"/>
    <w:rsid w:val="0014661B"/>
    <w:rsid w:val="00151FB3"/>
    <w:rsid w:val="00153957"/>
    <w:rsid w:val="00153A2F"/>
    <w:rsid w:val="00155E7F"/>
    <w:rsid w:val="00157CBF"/>
    <w:rsid w:val="00162707"/>
    <w:rsid w:val="00163334"/>
    <w:rsid w:val="00164620"/>
    <w:rsid w:val="001712AB"/>
    <w:rsid w:val="00171AD1"/>
    <w:rsid w:val="00171CB0"/>
    <w:rsid w:val="00173ACB"/>
    <w:rsid w:val="0017422B"/>
    <w:rsid w:val="00174ABD"/>
    <w:rsid w:val="00176BE2"/>
    <w:rsid w:val="00176F96"/>
    <w:rsid w:val="00181306"/>
    <w:rsid w:val="00181E7F"/>
    <w:rsid w:val="00185A53"/>
    <w:rsid w:val="00186D4D"/>
    <w:rsid w:val="001931E9"/>
    <w:rsid w:val="00195EBB"/>
    <w:rsid w:val="001A4D7A"/>
    <w:rsid w:val="001A742D"/>
    <w:rsid w:val="001A7DAB"/>
    <w:rsid w:val="001B0828"/>
    <w:rsid w:val="001B504E"/>
    <w:rsid w:val="001C2DB3"/>
    <w:rsid w:val="001C6815"/>
    <w:rsid w:val="001C6B5B"/>
    <w:rsid w:val="001C75CB"/>
    <w:rsid w:val="001D1EE1"/>
    <w:rsid w:val="001D7696"/>
    <w:rsid w:val="001E316B"/>
    <w:rsid w:val="001E5932"/>
    <w:rsid w:val="001E5C1F"/>
    <w:rsid w:val="001E6FEB"/>
    <w:rsid w:val="001F0919"/>
    <w:rsid w:val="001F424C"/>
    <w:rsid w:val="001F4E47"/>
    <w:rsid w:val="001F66B8"/>
    <w:rsid w:val="001F7FF2"/>
    <w:rsid w:val="002071C1"/>
    <w:rsid w:val="00211858"/>
    <w:rsid w:val="002120F9"/>
    <w:rsid w:val="0021464F"/>
    <w:rsid w:val="00214A83"/>
    <w:rsid w:val="002173DA"/>
    <w:rsid w:val="00220558"/>
    <w:rsid w:val="002214CF"/>
    <w:rsid w:val="00223239"/>
    <w:rsid w:val="0022429F"/>
    <w:rsid w:val="00224728"/>
    <w:rsid w:val="00225D56"/>
    <w:rsid w:val="0022739D"/>
    <w:rsid w:val="00233E97"/>
    <w:rsid w:val="00235D7C"/>
    <w:rsid w:val="0024043D"/>
    <w:rsid w:val="002408B5"/>
    <w:rsid w:val="00242C37"/>
    <w:rsid w:val="002437DF"/>
    <w:rsid w:val="00243A4B"/>
    <w:rsid w:val="0024495D"/>
    <w:rsid w:val="00247DC3"/>
    <w:rsid w:val="00250CF3"/>
    <w:rsid w:val="00254708"/>
    <w:rsid w:val="00257ACC"/>
    <w:rsid w:val="002615C2"/>
    <w:rsid w:val="002706C0"/>
    <w:rsid w:val="002708CC"/>
    <w:rsid w:val="002748B7"/>
    <w:rsid w:val="0027595D"/>
    <w:rsid w:val="00280017"/>
    <w:rsid w:val="002804E2"/>
    <w:rsid w:val="002807DA"/>
    <w:rsid w:val="002817F0"/>
    <w:rsid w:val="00283D21"/>
    <w:rsid w:val="002855C1"/>
    <w:rsid w:val="00285A6B"/>
    <w:rsid w:val="0028600E"/>
    <w:rsid w:val="00286E1C"/>
    <w:rsid w:val="00291D10"/>
    <w:rsid w:val="002968FF"/>
    <w:rsid w:val="002B4078"/>
    <w:rsid w:val="002C0287"/>
    <w:rsid w:val="002C0835"/>
    <w:rsid w:val="002C1B80"/>
    <w:rsid w:val="002C76A7"/>
    <w:rsid w:val="002D1F45"/>
    <w:rsid w:val="002D22E4"/>
    <w:rsid w:val="002D271C"/>
    <w:rsid w:val="002E016E"/>
    <w:rsid w:val="002E650C"/>
    <w:rsid w:val="002E6D12"/>
    <w:rsid w:val="002F4C7E"/>
    <w:rsid w:val="002F711A"/>
    <w:rsid w:val="002F72B3"/>
    <w:rsid w:val="00300288"/>
    <w:rsid w:val="0030181E"/>
    <w:rsid w:val="00301A6E"/>
    <w:rsid w:val="00301F5B"/>
    <w:rsid w:val="00304F31"/>
    <w:rsid w:val="00305E16"/>
    <w:rsid w:val="0030757D"/>
    <w:rsid w:val="00307A02"/>
    <w:rsid w:val="00307F33"/>
    <w:rsid w:val="003122D6"/>
    <w:rsid w:val="00314ED6"/>
    <w:rsid w:val="00315322"/>
    <w:rsid w:val="00320270"/>
    <w:rsid w:val="003206E7"/>
    <w:rsid w:val="00321016"/>
    <w:rsid w:val="00321EBF"/>
    <w:rsid w:val="00324564"/>
    <w:rsid w:val="00324C80"/>
    <w:rsid w:val="00325BF8"/>
    <w:rsid w:val="00326572"/>
    <w:rsid w:val="00333EAC"/>
    <w:rsid w:val="0033477A"/>
    <w:rsid w:val="003348A6"/>
    <w:rsid w:val="003350B6"/>
    <w:rsid w:val="003350C4"/>
    <w:rsid w:val="00335183"/>
    <w:rsid w:val="00335BFB"/>
    <w:rsid w:val="0033624E"/>
    <w:rsid w:val="00336D6A"/>
    <w:rsid w:val="00336D86"/>
    <w:rsid w:val="00341C49"/>
    <w:rsid w:val="0034373E"/>
    <w:rsid w:val="00345C29"/>
    <w:rsid w:val="00346AA7"/>
    <w:rsid w:val="00351CB4"/>
    <w:rsid w:val="003530A7"/>
    <w:rsid w:val="0035314F"/>
    <w:rsid w:val="00353ACD"/>
    <w:rsid w:val="00355D99"/>
    <w:rsid w:val="00355FB3"/>
    <w:rsid w:val="00360941"/>
    <w:rsid w:val="00362081"/>
    <w:rsid w:val="00363BFC"/>
    <w:rsid w:val="003642E3"/>
    <w:rsid w:val="00371950"/>
    <w:rsid w:val="0037303F"/>
    <w:rsid w:val="00374CB7"/>
    <w:rsid w:val="00376C50"/>
    <w:rsid w:val="00376D08"/>
    <w:rsid w:val="00376F04"/>
    <w:rsid w:val="00377981"/>
    <w:rsid w:val="00382863"/>
    <w:rsid w:val="00383113"/>
    <w:rsid w:val="00384142"/>
    <w:rsid w:val="003857D1"/>
    <w:rsid w:val="00386FC8"/>
    <w:rsid w:val="00391A91"/>
    <w:rsid w:val="00392857"/>
    <w:rsid w:val="003959D7"/>
    <w:rsid w:val="00397C16"/>
    <w:rsid w:val="003A1A74"/>
    <w:rsid w:val="003A6420"/>
    <w:rsid w:val="003A67B6"/>
    <w:rsid w:val="003A6867"/>
    <w:rsid w:val="003A7989"/>
    <w:rsid w:val="003A7F92"/>
    <w:rsid w:val="003B07AF"/>
    <w:rsid w:val="003B4081"/>
    <w:rsid w:val="003B4E75"/>
    <w:rsid w:val="003B5D7E"/>
    <w:rsid w:val="003B6093"/>
    <w:rsid w:val="003B6A29"/>
    <w:rsid w:val="003B75CF"/>
    <w:rsid w:val="003C0B7E"/>
    <w:rsid w:val="003C1AF6"/>
    <w:rsid w:val="003C43EA"/>
    <w:rsid w:val="003C4B0B"/>
    <w:rsid w:val="003D13B5"/>
    <w:rsid w:val="003D5C32"/>
    <w:rsid w:val="003D63B7"/>
    <w:rsid w:val="003E2673"/>
    <w:rsid w:val="003E2A74"/>
    <w:rsid w:val="003E4013"/>
    <w:rsid w:val="003E6F61"/>
    <w:rsid w:val="003F43E8"/>
    <w:rsid w:val="003F649E"/>
    <w:rsid w:val="004002E2"/>
    <w:rsid w:val="0040119E"/>
    <w:rsid w:val="00406ECA"/>
    <w:rsid w:val="004123A8"/>
    <w:rsid w:val="00414164"/>
    <w:rsid w:val="00414E25"/>
    <w:rsid w:val="00417B55"/>
    <w:rsid w:val="00417BDA"/>
    <w:rsid w:val="00423135"/>
    <w:rsid w:val="004239AF"/>
    <w:rsid w:val="00424893"/>
    <w:rsid w:val="00430006"/>
    <w:rsid w:val="004300BF"/>
    <w:rsid w:val="00430A36"/>
    <w:rsid w:val="00431ED2"/>
    <w:rsid w:val="00434259"/>
    <w:rsid w:val="00434435"/>
    <w:rsid w:val="004362EE"/>
    <w:rsid w:val="00441B9F"/>
    <w:rsid w:val="0044220C"/>
    <w:rsid w:val="00443897"/>
    <w:rsid w:val="004506F5"/>
    <w:rsid w:val="00451F6E"/>
    <w:rsid w:val="004532DE"/>
    <w:rsid w:val="0045571B"/>
    <w:rsid w:val="0045710B"/>
    <w:rsid w:val="00457EC9"/>
    <w:rsid w:val="00466724"/>
    <w:rsid w:val="0046736A"/>
    <w:rsid w:val="004677A4"/>
    <w:rsid w:val="0047074C"/>
    <w:rsid w:val="00470770"/>
    <w:rsid w:val="00480612"/>
    <w:rsid w:val="004816A7"/>
    <w:rsid w:val="00490065"/>
    <w:rsid w:val="004919F6"/>
    <w:rsid w:val="00491E56"/>
    <w:rsid w:val="0049200C"/>
    <w:rsid w:val="004933E0"/>
    <w:rsid w:val="0049458D"/>
    <w:rsid w:val="004A0C4E"/>
    <w:rsid w:val="004A29CA"/>
    <w:rsid w:val="004A2A86"/>
    <w:rsid w:val="004A2EF8"/>
    <w:rsid w:val="004A384D"/>
    <w:rsid w:val="004A3913"/>
    <w:rsid w:val="004A61F7"/>
    <w:rsid w:val="004A6FA0"/>
    <w:rsid w:val="004A7238"/>
    <w:rsid w:val="004B14A9"/>
    <w:rsid w:val="004B2AA9"/>
    <w:rsid w:val="004B2CCE"/>
    <w:rsid w:val="004B32E4"/>
    <w:rsid w:val="004B5172"/>
    <w:rsid w:val="004B7132"/>
    <w:rsid w:val="004B73E9"/>
    <w:rsid w:val="004B7DBB"/>
    <w:rsid w:val="004C76E8"/>
    <w:rsid w:val="004C78A1"/>
    <w:rsid w:val="004E75EB"/>
    <w:rsid w:val="004F03BE"/>
    <w:rsid w:val="004F09B4"/>
    <w:rsid w:val="004F1EEA"/>
    <w:rsid w:val="004F1F0F"/>
    <w:rsid w:val="005026D9"/>
    <w:rsid w:val="005046BF"/>
    <w:rsid w:val="00512457"/>
    <w:rsid w:val="005144E1"/>
    <w:rsid w:val="00516B87"/>
    <w:rsid w:val="00517F52"/>
    <w:rsid w:val="005220A8"/>
    <w:rsid w:val="005220EE"/>
    <w:rsid w:val="005234F2"/>
    <w:rsid w:val="0052480A"/>
    <w:rsid w:val="0052578E"/>
    <w:rsid w:val="00526BEF"/>
    <w:rsid w:val="00527CB1"/>
    <w:rsid w:val="00532DC0"/>
    <w:rsid w:val="00532E4B"/>
    <w:rsid w:val="005334EF"/>
    <w:rsid w:val="00536514"/>
    <w:rsid w:val="00536C45"/>
    <w:rsid w:val="00536E52"/>
    <w:rsid w:val="00537CB5"/>
    <w:rsid w:val="00541219"/>
    <w:rsid w:val="005419A6"/>
    <w:rsid w:val="0054682D"/>
    <w:rsid w:val="00546EEC"/>
    <w:rsid w:val="00546F14"/>
    <w:rsid w:val="0054797A"/>
    <w:rsid w:val="00553E5A"/>
    <w:rsid w:val="00557393"/>
    <w:rsid w:val="005619D7"/>
    <w:rsid w:val="00563748"/>
    <w:rsid w:val="00565AA0"/>
    <w:rsid w:val="00570AAC"/>
    <w:rsid w:val="005735F8"/>
    <w:rsid w:val="00573950"/>
    <w:rsid w:val="00573B0B"/>
    <w:rsid w:val="005816A4"/>
    <w:rsid w:val="005824D8"/>
    <w:rsid w:val="00582EA8"/>
    <w:rsid w:val="00583988"/>
    <w:rsid w:val="00584EB0"/>
    <w:rsid w:val="00586E12"/>
    <w:rsid w:val="0059095E"/>
    <w:rsid w:val="00593C12"/>
    <w:rsid w:val="00595941"/>
    <w:rsid w:val="005A1B7E"/>
    <w:rsid w:val="005A38AA"/>
    <w:rsid w:val="005A4541"/>
    <w:rsid w:val="005B454D"/>
    <w:rsid w:val="005B53A6"/>
    <w:rsid w:val="005C09CC"/>
    <w:rsid w:val="005C1138"/>
    <w:rsid w:val="005C1AA2"/>
    <w:rsid w:val="005C37DE"/>
    <w:rsid w:val="005C4623"/>
    <w:rsid w:val="005C5394"/>
    <w:rsid w:val="005C644A"/>
    <w:rsid w:val="005C7A33"/>
    <w:rsid w:val="005C7EA6"/>
    <w:rsid w:val="005D07CB"/>
    <w:rsid w:val="005D0ABE"/>
    <w:rsid w:val="005D2518"/>
    <w:rsid w:val="005E0D78"/>
    <w:rsid w:val="005E3B4A"/>
    <w:rsid w:val="005E4CAC"/>
    <w:rsid w:val="005E6AC2"/>
    <w:rsid w:val="005F0E33"/>
    <w:rsid w:val="005F1D4D"/>
    <w:rsid w:val="005F2B76"/>
    <w:rsid w:val="005F3B82"/>
    <w:rsid w:val="005F71F7"/>
    <w:rsid w:val="00610AD6"/>
    <w:rsid w:val="00611D24"/>
    <w:rsid w:val="0061236A"/>
    <w:rsid w:val="006176CB"/>
    <w:rsid w:val="006179D6"/>
    <w:rsid w:val="00620951"/>
    <w:rsid w:val="0062104B"/>
    <w:rsid w:val="00622262"/>
    <w:rsid w:val="00624064"/>
    <w:rsid w:val="00624231"/>
    <w:rsid w:val="006261E3"/>
    <w:rsid w:val="006316FB"/>
    <w:rsid w:val="006320B0"/>
    <w:rsid w:val="00633215"/>
    <w:rsid w:val="006342B1"/>
    <w:rsid w:val="00634D5A"/>
    <w:rsid w:val="00640E23"/>
    <w:rsid w:val="006446FC"/>
    <w:rsid w:val="00645224"/>
    <w:rsid w:val="00646510"/>
    <w:rsid w:val="006475E6"/>
    <w:rsid w:val="00650185"/>
    <w:rsid w:val="00654132"/>
    <w:rsid w:val="00654930"/>
    <w:rsid w:val="00654FD3"/>
    <w:rsid w:val="00655D34"/>
    <w:rsid w:val="00657368"/>
    <w:rsid w:val="00657602"/>
    <w:rsid w:val="006576ED"/>
    <w:rsid w:val="00662433"/>
    <w:rsid w:val="006668B4"/>
    <w:rsid w:val="006676E6"/>
    <w:rsid w:val="0067025D"/>
    <w:rsid w:val="00670F5C"/>
    <w:rsid w:val="00671A9B"/>
    <w:rsid w:val="00671BA6"/>
    <w:rsid w:val="006758AE"/>
    <w:rsid w:val="00681149"/>
    <w:rsid w:val="00683798"/>
    <w:rsid w:val="00686CEC"/>
    <w:rsid w:val="006872E8"/>
    <w:rsid w:val="00690C0A"/>
    <w:rsid w:val="00693C38"/>
    <w:rsid w:val="00694049"/>
    <w:rsid w:val="00695378"/>
    <w:rsid w:val="006964D6"/>
    <w:rsid w:val="006A0B11"/>
    <w:rsid w:val="006A417F"/>
    <w:rsid w:val="006A48A6"/>
    <w:rsid w:val="006A6A82"/>
    <w:rsid w:val="006B09E4"/>
    <w:rsid w:val="006B169E"/>
    <w:rsid w:val="006B6308"/>
    <w:rsid w:val="006B649F"/>
    <w:rsid w:val="006B746A"/>
    <w:rsid w:val="006C2B7A"/>
    <w:rsid w:val="006C402E"/>
    <w:rsid w:val="006C5B79"/>
    <w:rsid w:val="006C5FFC"/>
    <w:rsid w:val="006C60ED"/>
    <w:rsid w:val="006D10F9"/>
    <w:rsid w:val="006D591E"/>
    <w:rsid w:val="006D5B85"/>
    <w:rsid w:val="006D733C"/>
    <w:rsid w:val="006D7969"/>
    <w:rsid w:val="006E21F2"/>
    <w:rsid w:val="006E2376"/>
    <w:rsid w:val="006E2460"/>
    <w:rsid w:val="006E28C2"/>
    <w:rsid w:val="006E2D8B"/>
    <w:rsid w:val="006E4443"/>
    <w:rsid w:val="006E5368"/>
    <w:rsid w:val="006E5BAF"/>
    <w:rsid w:val="006E5DEE"/>
    <w:rsid w:val="006E7C56"/>
    <w:rsid w:val="006F0604"/>
    <w:rsid w:val="006F20BB"/>
    <w:rsid w:val="006F2859"/>
    <w:rsid w:val="006F336A"/>
    <w:rsid w:val="006F365C"/>
    <w:rsid w:val="006F41B6"/>
    <w:rsid w:val="006F475D"/>
    <w:rsid w:val="006F529C"/>
    <w:rsid w:val="006F6AC1"/>
    <w:rsid w:val="006F79AE"/>
    <w:rsid w:val="00700038"/>
    <w:rsid w:val="0070241D"/>
    <w:rsid w:val="007047AA"/>
    <w:rsid w:val="00711600"/>
    <w:rsid w:val="00714551"/>
    <w:rsid w:val="0071547C"/>
    <w:rsid w:val="00717032"/>
    <w:rsid w:val="007222C2"/>
    <w:rsid w:val="007247CA"/>
    <w:rsid w:val="00727FB7"/>
    <w:rsid w:val="007311AE"/>
    <w:rsid w:val="00732E3F"/>
    <w:rsid w:val="00736EA6"/>
    <w:rsid w:val="007449A0"/>
    <w:rsid w:val="007479DF"/>
    <w:rsid w:val="00760116"/>
    <w:rsid w:val="00762FBD"/>
    <w:rsid w:val="0076447F"/>
    <w:rsid w:val="007678F0"/>
    <w:rsid w:val="00767C1C"/>
    <w:rsid w:val="00771326"/>
    <w:rsid w:val="00771479"/>
    <w:rsid w:val="00771775"/>
    <w:rsid w:val="00774D60"/>
    <w:rsid w:val="00782CA3"/>
    <w:rsid w:val="00784C91"/>
    <w:rsid w:val="007854D9"/>
    <w:rsid w:val="00786B69"/>
    <w:rsid w:val="00790F67"/>
    <w:rsid w:val="007917A7"/>
    <w:rsid w:val="007925ED"/>
    <w:rsid w:val="007927A6"/>
    <w:rsid w:val="00793F91"/>
    <w:rsid w:val="00794DC8"/>
    <w:rsid w:val="007967CE"/>
    <w:rsid w:val="00797E3E"/>
    <w:rsid w:val="00797E8B"/>
    <w:rsid w:val="007A11F5"/>
    <w:rsid w:val="007A7089"/>
    <w:rsid w:val="007B1C15"/>
    <w:rsid w:val="007B2D13"/>
    <w:rsid w:val="007B4883"/>
    <w:rsid w:val="007B5880"/>
    <w:rsid w:val="007C36F6"/>
    <w:rsid w:val="007C3D85"/>
    <w:rsid w:val="007C3EDB"/>
    <w:rsid w:val="007C5671"/>
    <w:rsid w:val="007C59F9"/>
    <w:rsid w:val="007D020D"/>
    <w:rsid w:val="007D3072"/>
    <w:rsid w:val="007D513B"/>
    <w:rsid w:val="007D651E"/>
    <w:rsid w:val="007D761A"/>
    <w:rsid w:val="007D7DF3"/>
    <w:rsid w:val="007D7FC6"/>
    <w:rsid w:val="007E0A88"/>
    <w:rsid w:val="007E229C"/>
    <w:rsid w:val="007E2AFE"/>
    <w:rsid w:val="007E3221"/>
    <w:rsid w:val="007E5288"/>
    <w:rsid w:val="007F1607"/>
    <w:rsid w:val="007F24CF"/>
    <w:rsid w:val="007F337B"/>
    <w:rsid w:val="007F678C"/>
    <w:rsid w:val="0080031F"/>
    <w:rsid w:val="0080037D"/>
    <w:rsid w:val="008033BA"/>
    <w:rsid w:val="00804463"/>
    <w:rsid w:val="00807B9A"/>
    <w:rsid w:val="008105E5"/>
    <w:rsid w:val="008133A7"/>
    <w:rsid w:val="00824A79"/>
    <w:rsid w:val="00830A42"/>
    <w:rsid w:val="0083201B"/>
    <w:rsid w:val="00834E81"/>
    <w:rsid w:val="00835A96"/>
    <w:rsid w:val="00836C1A"/>
    <w:rsid w:val="008421F8"/>
    <w:rsid w:val="00843154"/>
    <w:rsid w:val="0084436D"/>
    <w:rsid w:val="0084484F"/>
    <w:rsid w:val="00850921"/>
    <w:rsid w:val="00855F4F"/>
    <w:rsid w:val="008577AB"/>
    <w:rsid w:val="00861AB3"/>
    <w:rsid w:val="00863817"/>
    <w:rsid w:val="00864AC5"/>
    <w:rsid w:val="00864C62"/>
    <w:rsid w:val="00872F9E"/>
    <w:rsid w:val="008771FC"/>
    <w:rsid w:val="0087779F"/>
    <w:rsid w:val="00880360"/>
    <w:rsid w:val="00881F3A"/>
    <w:rsid w:val="00881FC0"/>
    <w:rsid w:val="00884A4C"/>
    <w:rsid w:val="008928D1"/>
    <w:rsid w:val="00893FFD"/>
    <w:rsid w:val="008A1A13"/>
    <w:rsid w:val="008A38F4"/>
    <w:rsid w:val="008A3BB2"/>
    <w:rsid w:val="008A6DEE"/>
    <w:rsid w:val="008B16B4"/>
    <w:rsid w:val="008B1AC6"/>
    <w:rsid w:val="008B2A9C"/>
    <w:rsid w:val="008B44EF"/>
    <w:rsid w:val="008B4C09"/>
    <w:rsid w:val="008B566E"/>
    <w:rsid w:val="008B5B9B"/>
    <w:rsid w:val="008B687F"/>
    <w:rsid w:val="008B6AAC"/>
    <w:rsid w:val="008B714E"/>
    <w:rsid w:val="008B764F"/>
    <w:rsid w:val="008C04AD"/>
    <w:rsid w:val="008C3F7A"/>
    <w:rsid w:val="008C4338"/>
    <w:rsid w:val="008D000F"/>
    <w:rsid w:val="008D3B06"/>
    <w:rsid w:val="008E0FB7"/>
    <w:rsid w:val="008E3A8B"/>
    <w:rsid w:val="008E6D55"/>
    <w:rsid w:val="008F1751"/>
    <w:rsid w:val="008F5001"/>
    <w:rsid w:val="008F5044"/>
    <w:rsid w:val="00905B64"/>
    <w:rsid w:val="009077AA"/>
    <w:rsid w:val="009118EE"/>
    <w:rsid w:val="00915903"/>
    <w:rsid w:val="00915DF6"/>
    <w:rsid w:val="0092169D"/>
    <w:rsid w:val="009218FB"/>
    <w:rsid w:val="00921AC1"/>
    <w:rsid w:val="0092217A"/>
    <w:rsid w:val="009252C8"/>
    <w:rsid w:val="009307D2"/>
    <w:rsid w:val="009324BC"/>
    <w:rsid w:val="009331BB"/>
    <w:rsid w:val="00935171"/>
    <w:rsid w:val="00936196"/>
    <w:rsid w:val="00940C5E"/>
    <w:rsid w:val="0094171E"/>
    <w:rsid w:val="00941A78"/>
    <w:rsid w:val="00944558"/>
    <w:rsid w:val="009449F2"/>
    <w:rsid w:val="00945343"/>
    <w:rsid w:val="00950B7F"/>
    <w:rsid w:val="009571A1"/>
    <w:rsid w:val="00957FC7"/>
    <w:rsid w:val="00961F3A"/>
    <w:rsid w:val="009650D4"/>
    <w:rsid w:val="009663A2"/>
    <w:rsid w:val="00972FC1"/>
    <w:rsid w:val="00973FEC"/>
    <w:rsid w:val="00974292"/>
    <w:rsid w:val="00974768"/>
    <w:rsid w:val="0097654C"/>
    <w:rsid w:val="00976C7F"/>
    <w:rsid w:val="00977065"/>
    <w:rsid w:val="00977696"/>
    <w:rsid w:val="00980317"/>
    <w:rsid w:val="009824FF"/>
    <w:rsid w:val="00983862"/>
    <w:rsid w:val="00984784"/>
    <w:rsid w:val="00984A4B"/>
    <w:rsid w:val="00985244"/>
    <w:rsid w:val="00985AEE"/>
    <w:rsid w:val="009868E5"/>
    <w:rsid w:val="00990ABD"/>
    <w:rsid w:val="00991DC4"/>
    <w:rsid w:val="00993276"/>
    <w:rsid w:val="0099425C"/>
    <w:rsid w:val="009978B3"/>
    <w:rsid w:val="009A11E8"/>
    <w:rsid w:val="009A271A"/>
    <w:rsid w:val="009A7603"/>
    <w:rsid w:val="009B1336"/>
    <w:rsid w:val="009B2E0A"/>
    <w:rsid w:val="009B48E0"/>
    <w:rsid w:val="009B7A5A"/>
    <w:rsid w:val="009C5DC6"/>
    <w:rsid w:val="009D3C10"/>
    <w:rsid w:val="009D7EE6"/>
    <w:rsid w:val="009E0F04"/>
    <w:rsid w:val="009E1540"/>
    <w:rsid w:val="009E190A"/>
    <w:rsid w:val="009E2DEA"/>
    <w:rsid w:val="009E5028"/>
    <w:rsid w:val="009E6B13"/>
    <w:rsid w:val="009F06C8"/>
    <w:rsid w:val="009F219A"/>
    <w:rsid w:val="009F33A6"/>
    <w:rsid w:val="009F3452"/>
    <w:rsid w:val="009F357F"/>
    <w:rsid w:val="009F5118"/>
    <w:rsid w:val="00A00C39"/>
    <w:rsid w:val="00A01BAB"/>
    <w:rsid w:val="00A02BA5"/>
    <w:rsid w:val="00A04B88"/>
    <w:rsid w:val="00A0770E"/>
    <w:rsid w:val="00A121FA"/>
    <w:rsid w:val="00A16CC6"/>
    <w:rsid w:val="00A273EA"/>
    <w:rsid w:val="00A3039B"/>
    <w:rsid w:val="00A32086"/>
    <w:rsid w:val="00A32FEC"/>
    <w:rsid w:val="00A341BF"/>
    <w:rsid w:val="00A3486C"/>
    <w:rsid w:val="00A36E21"/>
    <w:rsid w:val="00A407A7"/>
    <w:rsid w:val="00A41884"/>
    <w:rsid w:val="00A43C16"/>
    <w:rsid w:val="00A5054B"/>
    <w:rsid w:val="00A51AB0"/>
    <w:rsid w:val="00A532D8"/>
    <w:rsid w:val="00A578EC"/>
    <w:rsid w:val="00A6005C"/>
    <w:rsid w:val="00A60553"/>
    <w:rsid w:val="00A6168E"/>
    <w:rsid w:val="00A61842"/>
    <w:rsid w:val="00A71402"/>
    <w:rsid w:val="00A71C76"/>
    <w:rsid w:val="00A74157"/>
    <w:rsid w:val="00A75A55"/>
    <w:rsid w:val="00A76467"/>
    <w:rsid w:val="00A77A8D"/>
    <w:rsid w:val="00A81B4C"/>
    <w:rsid w:val="00A84D5D"/>
    <w:rsid w:val="00A866FD"/>
    <w:rsid w:val="00A867C2"/>
    <w:rsid w:val="00A91F46"/>
    <w:rsid w:val="00A924E4"/>
    <w:rsid w:val="00A953F0"/>
    <w:rsid w:val="00A96F4B"/>
    <w:rsid w:val="00AA0381"/>
    <w:rsid w:val="00AA11BB"/>
    <w:rsid w:val="00AA1B99"/>
    <w:rsid w:val="00AA2799"/>
    <w:rsid w:val="00AA48A9"/>
    <w:rsid w:val="00AB7523"/>
    <w:rsid w:val="00AC50EC"/>
    <w:rsid w:val="00AC5124"/>
    <w:rsid w:val="00AD24FF"/>
    <w:rsid w:val="00AD2BD3"/>
    <w:rsid w:val="00AD2EFC"/>
    <w:rsid w:val="00AD7AAE"/>
    <w:rsid w:val="00AE29DC"/>
    <w:rsid w:val="00AE5BC5"/>
    <w:rsid w:val="00AE6F69"/>
    <w:rsid w:val="00AE791C"/>
    <w:rsid w:val="00AF097E"/>
    <w:rsid w:val="00AF0DEC"/>
    <w:rsid w:val="00AF0E7F"/>
    <w:rsid w:val="00AF34EB"/>
    <w:rsid w:val="00AF4BC0"/>
    <w:rsid w:val="00B02901"/>
    <w:rsid w:val="00B12391"/>
    <w:rsid w:val="00B138D3"/>
    <w:rsid w:val="00B13E37"/>
    <w:rsid w:val="00B17E02"/>
    <w:rsid w:val="00B2011C"/>
    <w:rsid w:val="00B21081"/>
    <w:rsid w:val="00B262B9"/>
    <w:rsid w:val="00B27853"/>
    <w:rsid w:val="00B303B9"/>
    <w:rsid w:val="00B32012"/>
    <w:rsid w:val="00B324A6"/>
    <w:rsid w:val="00B344CA"/>
    <w:rsid w:val="00B364A9"/>
    <w:rsid w:val="00B378BA"/>
    <w:rsid w:val="00B41AD0"/>
    <w:rsid w:val="00B43A5D"/>
    <w:rsid w:val="00B44794"/>
    <w:rsid w:val="00B454F3"/>
    <w:rsid w:val="00B50514"/>
    <w:rsid w:val="00B52892"/>
    <w:rsid w:val="00B56189"/>
    <w:rsid w:val="00B63083"/>
    <w:rsid w:val="00B63813"/>
    <w:rsid w:val="00B64F56"/>
    <w:rsid w:val="00B67D57"/>
    <w:rsid w:val="00B72E0E"/>
    <w:rsid w:val="00B75504"/>
    <w:rsid w:val="00B81107"/>
    <w:rsid w:val="00B82921"/>
    <w:rsid w:val="00B872D1"/>
    <w:rsid w:val="00B970A6"/>
    <w:rsid w:val="00B976EF"/>
    <w:rsid w:val="00BA0170"/>
    <w:rsid w:val="00BA419F"/>
    <w:rsid w:val="00BA4CE8"/>
    <w:rsid w:val="00BA5E97"/>
    <w:rsid w:val="00BB266A"/>
    <w:rsid w:val="00BB36C9"/>
    <w:rsid w:val="00BB3754"/>
    <w:rsid w:val="00BB466B"/>
    <w:rsid w:val="00BB4FA0"/>
    <w:rsid w:val="00BC123C"/>
    <w:rsid w:val="00BC12EA"/>
    <w:rsid w:val="00BC4AD5"/>
    <w:rsid w:val="00BC57D9"/>
    <w:rsid w:val="00BC7714"/>
    <w:rsid w:val="00BD0C1F"/>
    <w:rsid w:val="00BD6358"/>
    <w:rsid w:val="00BD6889"/>
    <w:rsid w:val="00BE555B"/>
    <w:rsid w:val="00BE7218"/>
    <w:rsid w:val="00BF30D6"/>
    <w:rsid w:val="00BF35A6"/>
    <w:rsid w:val="00BF7798"/>
    <w:rsid w:val="00C013EC"/>
    <w:rsid w:val="00C06334"/>
    <w:rsid w:val="00C07BC8"/>
    <w:rsid w:val="00C10CE7"/>
    <w:rsid w:val="00C11C34"/>
    <w:rsid w:val="00C15416"/>
    <w:rsid w:val="00C17376"/>
    <w:rsid w:val="00C2361B"/>
    <w:rsid w:val="00C23667"/>
    <w:rsid w:val="00C24402"/>
    <w:rsid w:val="00C25812"/>
    <w:rsid w:val="00C25A84"/>
    <w:rsid w:val="00C31D53"/>
    <w:rsid w:val="00C32187"/>
    <w:rsid w:val="00C34577"/>
    <w:rsid w:val="00C34773"/>
    <w:rsid w:val="00C34996"/>
    <w:rsid w:val="00C34B01"/>
    <w:rsid w:val="00C41A19"/>
    <w:rsid w:val="00C4236D"/>
    <w:rsid w:val="00C471A3"/>
    <w:rsid w:val="00C502B2"/>
    <w:rsid w:val="00C50990"/>
    <w:rsid w:val="00C52725"/>
    <w:rsid w:val="00C52CA3"/>
    <w:rsid w:val="00C54054"/>
    <w:rsid w:val="00C562BF"/>
    <w:rsid w:val="00C57A6A"/>
    <w:rsid w:val="00C61B52"/>
    <w:rsid w:val="00C67418"/>
    <w:rsid w:val="00C7327D"/>
    <w:rsid w:val="00C7328C"/>
    <w:rsid w:val="00C7452E"/>
    <w:rsid w:val="00C766AD"/>
    <w:rsid w:val="00C80AB0"/>
    <w:rsid w:val="00C81F5D"/>
    <w:rsid w:val="00C82F7B"/>
    <w:rsid w:val="00C846DD"/>
    <w:rsid w:val="00C90A39"/>
    <w:rsid w:val="00C924D8"/>
    <w:rsid w:val="00C940CD"/>
    <w:rsid w:val="00C97A09"/>
    <w:rsid w:val="00CA086F"/>
    <w:rsid w:val="00CA4EF5"/>
    <w:rsid w:val="00CA6D9C"/>
    <w:rsid w:val="00CA6DC4"/>
    <w:rsid w:val="00CB152A"/>
    <w:rsid w:val="00CB16A4"/>
    <w:rsid w:val="00CB1B65"/>
    <w:rsid w:val="00CB37A8"/>
    <w:rsid w:val="00CB3871"/>
    <w:rsid w:val="00CB553B"/>
    <w:rsid w:val="00CB7217"/>
    <w:rsid w:val="00CC1CBB"/>
    <w:rsid w:val="00CC2534"/>
    <w:rsid w:val="00CC6ACC"/>
    <w:rsid w:val="00CD1725"/>
    <w:rsid w:val="00CD182C"/>
    <w:rsid w:val="00CD2A08"/>
    <w:rsid w:val="00CD4370"/>
    <w:rsid w:val="00CE097E"/>
    <w:rsid w:val="00CE12D0"/>
    <w:rsid w:val="00CE18FD"/>
    <w:rsid w:val="00CE6005"/>
    <w:rsid w:val="00CE6F5F"/>
    <w:rsid w:val="00CF027C"/>
    <w:rsid w:val="00CF265F"/>
    <w:rsid w:val="00CF4751"/>
    <w:rsid w:val="00CF6EBE"/>
    <w:rsid w:val="00CF76DA"/>
    <w:rsid w:val="00CF7D21"/>
    <w:rsid w:val="00CF7E43"/>
    <w:rsid w:val="00D04AB1"/>
    <w:rsid w:val="00D05DD3"/>
    <w:rsid w:val="00D108F2"/>
    <w:rsid w:val="00D10B7C"/>
    <w:rsid w:val="00D11872"/>
    <w:rsid w:val="00D140D2"/>
    <w:rsid w:val="00D14B51"/>
    <w:rsid w:val="00D14E04"/>
    <w:rsid w:val="00D2029D"/>
    <w:rsid w:val="00D229B0"/>
    <w:rsid w:val="00D2637C"/>
    <w:rsid w:val="00D26967"/>
    <w:rsid w:val="00D276C9"/>
    <w:rsid w:val="00D312DC"/>
    <w:rsid w:val="00D31928"/>
    <w:rsid w:val="00D34159"/>
    <w:rsid w:val="00D36CD5"/>
    <w:rsid w:val="00D37CFB"/>
    <w:rsid w:val="00D40217"/>
    <w:rsid w:val="00D40457"/>
    <w:rsid w:val="00D40D7D"/>
    <w:rsid w:val="00D42FE3"/>
    <w:rsid w:val="00D43AA9"/>
    <w:rsid w:val="00D541C2"/>
    <w:rsid w:val="00D55087"/>
    <w:rsid w:val="00D55DB2"/>
    <w:rsid w:val="00D566FF"/>
    <w:rsid w:val="00D623DD"/>
    <w:rsid w:val="00D626E1"/>
    <w:rsid w:val="00D65004"/>
    <w:rsid w:val="00D6538C"/>
    <w:rsid w:val="00D655E3"/>
    <w:rsid w:val="00D675C2"/>
    <w:rsid w:val="00D67641"/>
    <w:rsid w:val="00D70B9C"/>
    <w:rsid w:val="00D71C0F"/>
    <w:rsid w:val="00D71FD9"/>
    <w:rsid w:val="00D7246F"/>
    <w:rsid w:val="00D733B0"/>
    <w:rsid w:val="00D764E9"/>
    <w:rsid w:val="00D77295"/>
    <w:rsid w:val="00D7783D"/>
    <w:rsid w:val="00D80039"/>
    <w:rsid w:val="00D80935"/>
    <w:rsid w:val="00D84C6C"/>
    <w:rsid w:val="00D8521F"/>
    <w:rsid w:val="00D85956"/>
    <w:rsid w:val="00D85AB9"/>
    <w:rsid w:val="00D860AD"/>
    <w:rsid w:val="00D863AD"/>
    <w:rsid w:val="00D86C5E"/>
    <w:rsid w:val="00D87E5A"/>
    <w:rsid w:val="00D90236"/>
    <w:rsid w:val="00D945F1"/>
    <w:rsid w:val="00DA076D"/>
    <w:rsid w:val="00DA1B4F"/>
    <w:rsid w:val="00DA2031"/>
    <w:rsid w:val="00DA2867"/>
    <w:rsid w:val="00DA5A79"/>
    <w:rsid w:val="00DA6104"/>
    <w:rsid w:val="00DA6451"/>
    <w:rsid w:val="00DB0C50"/>
    <w:rsid w:val="00DB117F"/>
    <w:rsid w:val="00DB120E"/>
    <w:rsid w:val="00DB2BAC"/>
    <w:rsid w:val="00DB75D2"/>
    <w:rsid w:val="00DC07C3"/>
    <w:rsid w:val="00DC0B73"/>
    <w:rsid w:val="00DC11AE"/>
    <w:rsid w:val="00DC3328"/>
    <w:rsid w:val="00DC5B4B"/>
    <w:rsid w:val="00DC7C95"/>
    <w:rsid w:val="00DD1220"/>
    <w:rsid w:val="00DD2170"/>
    <w:rsid w:val="00DD2335"/>
    <w:rsid w:val="00DD3C21"/>
    <w:rsid w:val="00DD5167"/>
    <w:rsid w:val="00DE10E9"/>
    <w:rsid w:val="00DF043C"/>
    <w:rsid w:val="00DF16E9"/>
    <w:rsid w:val="00DF6908"/>
    <w:rsid w:val="00E000A5"/>
    <w:rsid w:val="00E00CD9"/>
    <w:rsid w:val="00E0183C"/>
    <w:rsid w:val="00E04201"/>
    <w:rsid w:val="00E06E34"/>
    <w:rsid w:val="00E115EE"/>
    <w:rsid w:val="00E11F13"/>
    <w:rsid w:val="00E121CD"/>
    <w:rsid w:val="00E12208"/>
    <w:rsid w:val="00E12B57"/>
    <w:rsid w:val="00E16302"/>
    <w:rsid w:val="00E1685D"/>
    <w:rsid w:val="00E2114A"/>
    <w:rsid w:val="00E21487"/>
    <w:rsid w:val="00E22D61"/>
    <w:rsid w:val="00E301E7"/>
    <w:rsid w:val="00E30AB3"/>
    <w:rsid w:val="00E3388F"/>
    <w:rsid w:val="00E34B16"/>
    <w:rsid w:val="00E35174"/>
    <w:rsid w:val="00E36A67"/>
    <w:rsid w:val="00E37E07"/>
    <w:rsid w:val="00E430D8"/>
    <w:rsid w:val="00E44412"/>
    <w:rsid w:val="00E52785"/>
    <w:rsid w:val="00E54483"/>
    <w:rsid w:val="00E562ED"/>
    <w:rsid w:val="00E6087C"/>
    <w:rsid w:val="00E6098A"/>
    <w:rsid w:val="00E60BEB"/>
    <w:rsid w:val="00E633F7"/>
    <w:rsid w:val="00E706BD"/>
    <w:rsid w:val="00E7279E"/>
    <w:rsid w:val="00E7318A"/>
    <w:rsid w:val="00E74ACE"/>
    <w:rsid w:val="00E876FA"/>
    <w:rsid w:val="00E92E5E"/>
    <w:rsid w:val="00E9435A"/>
    <w:rsid w:val="00E94B6C"/>
    <w:rsid w:val="00E94CC4"/>
    <w:rsid w:val="00EA1350"/>
    <w:rsid w:val="00EA36EA"/>
    <w:rsid w:val="00EA430B"/>
    <w:rsid w:val="00EA4F67"/>
    <w:rsid w:val="00EA642A"/>
    <w:rsid w:val="00EB02CA"/>
    <w:rsid w:val="00EB0D07"/>
    <w:rsid w:val="00EB2F92"/>
    <w:rsid w:val="00EB455F"/>
    <w:rsid w:val="00EC0CED"/>
    <w:rsid w:val="00EC1CE0"/>
    <w:rsid w:val="00EC2B0A"/>
    <w:rsid w:val="00EC3AB0"/>
    <w:rsid w:val="00EC6337"/>
    <w:rsid w:val="00ED4258"/>
    <w:rsid w:val="00EE02F3"/>
    <w:rsid w:val="00EE0714"/>
    <w:rsid w:val="00EE5FBD"/>
    <w:rsid w:val="00EF24D0"/>
    <w:rsid w:val="00EF291D"/>
    <w:rsid w:val="00EF2B91"/>
    <w:rsid w:val="00EF46AC"/>
    <w:rsid w:val="00EF481F"/>
    <w:rsid w:val="00EF4ADA"/>
    <w:rsid w:val="00EF5045"/>
    <w:rsid w:val="00EF72D9"/>
    <w:rsid w:val="00F02385"/>
    <w:rsid w:val="00F03251"/>
    <w:rsid w:val="00F04D58"/>
    <w:rsid w:val="00F069A2"/>
    <w:rsid w:val="00F102CB"/>
    <w:rsid w:val="00F12AD5"/>
    <w:rsid w:val="00F17260"/>
    <w:rsid w:val="00F17D7C"/>
    <w:rsid w:val="00F20D87"/>
    <w:rsid w:val="00F21844"/>
    <w:rsid w:val="00F21A23"/>
    <w:rsid w:val="00F24A88"/>
    <w:rsid w:val="00F2602F"/>
    <w:rsid w:val="00F26873"/>
    <w:rsid w:val="00F270D3"/>
    <w:rsid w:val="00F331DF"/>
    <w:rsid w:val="00F33BC0"/>
    <w:rsid w:val="00F40C05"/>
    <w:rsid w:val="00F41471"/>
    <w:rsid w:val="00F4264F"/>
    <w:rsid w:val="00F427CB"/>
    <w:rsid w:val="00F44B55"/>
    <w:rsid w:val="00F453AA"/>
    <w:rsid w:val="00F45DB2"/>
    <w:rsid w:val="00F4600B"/>
    <w:rsid w:val="00F477FB"/>
    <w:rsid w:val="00F525F2"/>
    <w:rsid w:val="00F54403"/>
    <w:rsid w:val="00F60407"/>
    <w:rsid w:val="00F60728"/>
    <w:rsid w:val="00F618E0"/>
    <w:rsid w:val="00F61BF9"/>
    <w:rsid w:val="00F66993"/>
    <w:rsid w:val="00F678E5"/>
    <w:rsid w:val="00F734E0"/>
    <w:rsid w:val="00F75644"/>
    <w:rsid w:val="00F77457"/>
    <w:rsid w:val="00F84D20"/>
    <w:rsid w:val="00F864FD"/>
    <w:rsid w:val="00F8777E"/>
    <w:rsid w:val="00F90169"/>
    <w:rsid w:val="00F9175D"/>
    <w:rsid w:val="00F918B1"/>
    <w:rsid w:val="00F92E6E"/>
    <w:rsid w:val="00F9535A"/>
    <w:rsid w:val="00FA1AFB"/>
    <w:rsid w:val="00FA3A72"/>
    <w:rsid w:val="00FA5518"/>
    <w:rsid w:val="00FA6150"/>
    <w:rsid w:val="00FB2751"/>
    <w:rsid w:val="00FB2881"/>
    <w:rsid w:val="00FB3536"/>
    <w:rsid w:val="00FB5AB4"/>
    <w:rsid w:val="00FB5ECB"/>
    <w:rsid w:val="00FB6A61"/>
    <w:rsid w:val="00FC15D2"/>
    <w:rsid w:val="00FC5192"/>
    <w:rsid w:val="00FC5252"/>
    <w:rsid w:val="00FC6B45"/>
    <w:rsid w:val="00FD084D"/>
    <w:rsid w:val="00FD2E66"/>
    <w:rsid w:val="00FD4B5E"/>
    <w:rsid w:val="00FE2C04"/>
    <w:rsid w:val="00FE47BD"/>
    <w:rsid w:val="00FE4BF7"/>
    <w:rsid w:val="00FE4D9B"/>
    <w:rsid w:val="00FE7843"/>
    <w:rsid w:val="00FF4A90"/>
    <w:rsid w:val="00FF69C8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F5CD"/>
  <w15:docId w15:val="{7C78FD85-1EAA-41C8-88EA-4A33BFD0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FF2"/>
    <w:pPr>
      <w:widowControl w:val="0"/>
      <w:ind w:firstLineChars="200" w:firstLine="200"/>
      <w:jc w:val="both"/>
    </w:pPr>
    <w:rPr>
      <w:rFonts w:ascii="Times New Roman" w:eastAsia="SimSu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D21"/>
    <w:pPr>
      <w:keepNext/>
      <w:keepLines/>
      <w:adjustRightInd w:val="0"/>
      <w:snapToGrid w:val="0"/>
      <w:spacing w:before="156" w:beforeAutospacing="1" w:after="100" w:afterAutospacing="1"/>
      <w:ind w:rightChars="100" w:right="240"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21"/>
    <w:pPr>
      <w:keepNext/>
      <w:keepLines/>
      <w:adjustRightInd w:val="0"/>
      <w:snapToGrid w:val="0"/>
      <w:spacing w:before="100" w:beforeAutospacing="1" w:after="100" w:afterAutospacing="1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107"/>
    <w:pPr>
      <w:keepNext/>
      <w:keepLines/>
      <w:adjustRightInd w:val="0"/>
      <w:snapToGrid w:val="0"/>
      <w:ind w:firstLineChars="0" w:firstLine="0"/>
      <w:outlineLvl w:val="2"/>
    </w:pPr>
    <w:rPr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"/>
    <w:basedOn w:val="Normal"/>
    <w:link w:val="a0"/>
    <w:rsid w:val="001F7FF2"/>
    <w:pPr>
      <w:ind w:firstLine="480"/>
      <w:jc w:val="center"/>
    </w:pPr>
    <w:rPr>
      <w:sz w:val="21"/>
    </w:rPr>
  </w:style>
  <w:style w:type="character" w:styleId="PlaceholderText">
    <w:name w:val="Placeholder Text"/>
    <w:basedOn w:val="DefaultParagraphFont"/>
    <w:uiPriority w:val="99"/>
    <w:semiHidden/>
    <w:rsid w:val="00376D08"/>
    <w:rPr>
      <w:color w:val="808080"/>
    </w:rPr>
  </w:style>
  <w:style w:type="character" w:customStyle="1" w:styleId="a0">
    <w:name w:val="表格 字符"/>
    <w:basedOn w:val="DefaultParagraphFont"/>
    <w:link w:val="a"/>
    <w:rsid w:val="001F7FF2"/>
    <w:rPr>
      <w:rFonts w:ascii="Times New Roman" w:eastAsia="SimSun" w:hAnsi="Times New Roman"/>
    </w:rPr>
  </w:style>
  <w:style w:type="paragraph" w:styleId="Header">
    <w:name w:val="header"/>
    <w:basedOn w:val="Normal"/>
    <w:link w:val="HeaderChar"/>
    <w:uiPriority w:val="99"/>
    <w:unhideWhenUsed/>
    <w:rsid w:val="00C9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24D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2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24D8"/>
    <w:rPr>
      <w:rFonts w:ascii="Times New Roman" w:eastAsia="SimSun" w:hAnsi="Times New Roman"/>
      <w:sz w:val="18"/>
      <w:szCs w:val="18"/>
    </w:rPr>
  </w:style>
  <w:style w:type="paragraph" w:customStyle="1" w:styleId="a1">
    <w:name w:val="表格式"/>
    <w:basedOn w:val="Normal"/>
    <w:next w:val="Normal"/>
    <w:qFormat/>
    <w:rsid w:val="0084484F"/>
    <w:pPr>
      <w:ind w:firstLineChars="0" w:firstLine="0"/>
      <w:jc w:val="center"/>
    </w:pPr>
    <w:rPr>
      <w:rFonts w:cs="Times New Roman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F7D21"/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7D21"/>
    <w:rPr>
      <w:rFonts w:ascii="Times New Roman" w:eastAsia="SimSun" w:hAnsi="Times New Roman"/>
      <w:b/>
      <w:bCs/>
      <w:kern w:val="44"/>
      <w:sz w:val="30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107"/>
    <w:rPr>
      <w:rFonts w:ascii="Times New Roman" w:eastAsia="SimSun" w:hAnsi="Times New Roman"/>
      <w:bCs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1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71"/>
    <w:rPr>
      <w:rFonts w:ascii="Times New Roman" w:eastAsia="SimSu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25F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5F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5F2"/>
    <w:rPr>
      <w:rFonts w:ascii="Times New Roman" w:eastAsia="SimSu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5F2"/>
    <w:rPr>
      <w:rFonts w:ascii="Times New Roman" w:eastAsia="SimSun" w:hAnsi="Times New Roman"/>
      <w:b/>
      <w:bCs/>
      <w:sz w:val="24"/>
    </w:rPr>
  </w:style>
  <w:style w:type="paragraph" w:styleId="ListParagraph">
    <w:name w:val="List Paragraph"/>
    <w:basedOn w:val="Normal"/>
    <w:uiPriority w:val="34"/>
    <w:qFormat/>
    <w:rsid w:val="00301A6E"/>
    <w:pPr>
      <w:ind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9594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941"/>
    <w:rPr>
      <w:rFonts w:ascii="Times New Roman" w:eastAsia="SimSun" w:hAnsi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959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111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7A3AE-02D7-4005-B830-D31DC0C5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7280</Words>
  <Characters>41498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龙骑士</dc:creator>
  <dc:description>NE.Ref</dc:description>
  <cp:lastModifiedBy>Ed1730</cp:lastModifiedBy>
  <cp:revision>2</cp:revision>
  <cp:lastPrinted>2018-06-11T03:38:00Z</cp:lastPrinted>
  <dcterms:created xsi:type="dcterms:W3CDTF">2018-07-13T09:34:00Z</dcterms:created>
  <dcterms:modified xsi:type="dcterms:W3CDTF">2018-07-13T09:34:00Z</dcterms:modified>
</cp:coreProperties>
</file>