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Issac Alvarez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Issacalv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@gmail.com | 210-430-5764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0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right" w:leader="none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 San Antonio 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 of Artificial Intelligence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Expected Dec 2025</w:t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Concentration: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Intelligent and Autonomous Systems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 San Antonio 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Electrical Engineering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Dec 2023 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008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Concentration: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Computer Engineering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GPA: 3.60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Certificates: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Computer Programming for Engineers , Artificial Intelligence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0" w:sz="6" w:val="single"/>
        </w:pBd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Brain Tumor Classification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UTSA</w:t>
        <w:tab/>
        <w:t xml:space="preserve">Oct 2023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collaborated to design a Convolutional Neural Network Model (CNN) by using Tensorflow and Keras to detect and classify brain tumors from MRI images.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Tuned and analyzed hyper-parameters of the architecture to improve accuracy to 70% and reduce loss to 0.30.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Continuously analyzing and enhancing the project by applying additional frameworks and conducting in-depth research in deep learning algorithms to further improve the model’s performance and capabilities.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Biomedical Engineering Payload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UTSA</w:t>
        <w:tab/>
        <w:t xml:space="preserve"> Aug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the UTSA Aeronautics and Rocket Club (ARC) payload team for the Spaceport America Cup rocketry competition, with the focus on developing a scientific payload that tested Microbial Fuel Cells (MFC).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Altium Designer to successfully design schematics and PCBs for implementation on the payload, while adhering to necessary cubesat dimensions and mass constraints.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accurate records of all engineering documentation related to the project, which included technical drawings, relevant specifications, and reports for judging.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the development of an interorganizational electrical engineering training program with a focus on skills such as Altium design, Microcontroller programming and Power optimization, thus reducing new member training timetable by 50%.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 Vision Surgical Implant Reader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UTSA</w:t>
        <w:tab/>
        <w:t xml:space="preserve">Jan 2023 – Dec 2023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led a senior design capstone team to develop an innovative software solution to decode structurally encoded implants from medical X-ray imaging.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technical guidance in the development of product specifications, designs, standards, and test protocols regarding image processing and structural analysis.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240" w:lineRule="auto"/>
        <w:ind w:left="27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Streamlined the CAD implant model assembly processing by utilizing the Fusion 360 API that reduced existing model assembly timetable by 90%.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0" w:sz="6" w:val="single"/>
        </w:pBd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Python, C , C++ , MATLAB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Altium, Git, Github, LabVIEW, PSPICE, Fusion360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Libraries/Frameworks: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Python: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Fusion 360 API, OpenCV, Tensorflow, Keras, SciPy, pandas, scikit-learn, Matplotlib, seaborn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MATLAB: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Fuzzy Logic Toolbox, Image Processing Toolbox, Deep Learning Toolbox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Equipment: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Function Generator, MyDAQ, Oscilloscope, NI ElvisBoard, Soldering (THT &amp; SMD), 3D printing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</w:r>
    </w:p>
    <w:p w:rsidR="00000000" w:rsidDel="00000000" w:rsidP="00000000" w:rsidRDefault="00000000" w:rsidRPr="00000000" w14:paraId="00000025">
      <w:pPr>
        <w:widowControl w:val="0"/>
        <w:pBdr>
          <w:bottom w:color="000000" w:space="0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Aeronautics and Rocket Club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EE Advisor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2021 - Present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