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lvgldemo</w:t>
            </w:r>
            <w:r>
              <w:t xml:space="preserve"> </w:t>
            </w:r>
            <w:r>
              <w:t xml:space="preserve">与</w:t>
            </w:r>
            <w:r>
              <w:t xml:space="preserve"> </w:t>
            </w:r>
            <w:r>
              <w:rPr>
                <w:rStyle w:val="VerbatimChar"/>
              </w:rPr>
              <w:t xml:space="preserve">fb</w:t>
            </w:r>
            <w:r>
              <w:t xml:space="preserve"> </w:t>
            </w:r>
            <w:r>
              <w:t xml:space="preserve">均为可直接运行的应用，构成整机图形能力</w:t>
            </w:r>
          </w:p>
        </w:tc>
      </w:tr>
    </w:tbl>
    <w:p>
      <w:pPr>
        <w:pStyle w:val="BodyText"/>
      </w:pPr>
      <w:r>
        <w:rPr>
          <w:bCs/>
          <w:b/>
        </w:rPr>
        <w:t xml:space="preserve">用到的 openvela 组件</w:t>
      </w:r>
      <w:r>
        <w:t xml:space="preserve">：板级支持包（</w:t>
      </w:r>
      <w:r>
        <w:rPr>
          <w:rStyle w:val="VerbatimChar"/>
        </w:rPr>
        <w:t xml:space="preserve">vendor/sifli/boards/sf32lb52/</w:t>
      </w:r>
      <w:r>
        <w:t xml:space="preserve">）、统一构建系统（</w:t>
      </w:r>
      <w:r>
        <w:rPr>
          <w:rStyle w:val="VerbatimChar"/>
        </w:rPr>
        <w:t xml:space="preserve">build/envsetup.sh</w:t>
      </w:r>
      <w:r>
        <w:t xml:space="preserve"> </w:t>
      </w:r>
      <w:r>
        <w:t xml:space="preserve">+</w:t>
      </w:r>
      <w:r>
        <w:t xml:space="preserve"> </w:t>
      </w:r>
      <w:r>
        <w:rPr>
          <w:rStyle w:val="VerbatimChar"/>
        </w:rPr>
        <w:t xml:space="preserve">build/cmake</w:t>
      </w:r>
      <w:r>
        <w:t xml:space="preserve"> </w:t>
      </w:r>
      <w:r>
        <w:t xml:space="preserve">自定义模块）、板级配置系统（Kconfig/defconfig）、镜像打包流程。</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 xml:space="preserve">建议在官方板级文档中补充</w:t>
      </w:r>
      <w:r>
        <w:t xml:space="preserve">：本板 USB 为片内 USB CDC ACM（VID</w:t>
      </w:r>
      <w:r>
        <w:t xml:space="preserve"> </w:t>
      </w:r>
      <w:r>
        <w:rPr>
          <w:rStyle w:val="VerbatimChar"/>
        </w:rPr>
        <w:t xml:space="preserve">0x38F4</w:t>
      </w:r>
      <w:r>
        <w:t xml:space="preserve">）与板载 CH343 USB-UART 桥并存，两者用途不同（前者由固件提供</w:t>
      </w:r>
      <w:r>
        <w:t xml:space="preserve"> </w:t>
      </w:r>
      <w:r>
        <w:rPr>
          <w:rStyle w:val="VerbatimChar"/>
        </w:rPr>
        <w:t xml:space="preserve">/dev/ttyACM0</w:t>
      </w:r>
      <w:r>
        <w:t xml:space="preserve">，后者承载 UART1 控制台与 ROM 下载），文档未明确区分，实测时容易混淆。</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诚实边界：上表中 UART2 到 USB-TTL 到桥到 pppd 这一段需要三根杜邦线，尚未接上，因此 ppp0 起链与端到端对话尚未做实机联调。这是本次交付中唯一“代码完成、验证未闭环”的部分——它需要的是物理接线，不是代码；接线表与验证步骤已写进 board/sf32lb52_net/README.md。</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IP 承载只差物理接线：板侧代码、PC 侧网关全链路都已在真机上验证，但 UART2（PA20/PA27）与 USB-TTL 之间那三根杜邦线尚未接上，故 ppp0 起链与端到端对话尚未做实机联调。这是本次交付中唯一“代码完成、验证未闭环”的部分。</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