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sz w:val="32"/>
          <w:szCs w:val="32"/>
        </w:rPr>
        <w:t xml:space="preserve">EMSI Casablanca</w:t>
      </w:r>
    </w:p>
    <w:p>
      <w:pPr>
        <w:jc w:val="center"/>
      </w:pPr>
      <w:r>
        <w:rPr>
          <w:sz w:val="24"/>
          <w:szCs w:val="24"/>
        </w:rPr>
        <w:t xml:space="preserve">École Marocaine des Sciences de l'Ingénieur</w:t>
      </w:r>
    </w:p>
    <w:p>
      <w:pPr>
        <w:spacing w:before="400"/>
        <w:jc w:val="center"/>
      </w:pPr>
      <w:r>
        <w:rPr>
          <w:b/>
          <w:bCs/>
          <w:sz w:val="28"/>
          <w:szCs w:val="28"/>
        </w:rPr>
        <w:t xml:space="preserve">Projet de fin de module — Module Deep Learning</w:t>
      </w:r>
    </w:p>
    <w:p>
      <w:pPr>
        <w:jc w:val="center"/>
      </w:pPr>
      <w:r>
        <w:rPr>
          <w:sz w:val="22"/>
          <w:szCs w:val="22"/>
        </w:rPr>
        <w:t xml:space="preserve">Année universitaire 2025–2026</w:t>
      </w:r>
    </w:p>
    <w:p>
      <w:pPr>
        <w:spacing w:before="600"/>
        <w:jc w:val="center"/>
      </w:pPr>
      <w:r>
        <w:rPr>
          <w:b/>
          <w:bCs/>
          <w:sz w:val="26"/>
          <w:szCs w:val="26"/>
        </w:rPr>
        <w:t xml:space="preserve">Conception, implémentation, comparaison et analyse critique</w:t>
      </w:r>
    </w:p>
    <w:p>
      <w:pPr>
        <w:jc w:val="center"/>
      </w:pPr>
      <w:r>
        <w:rPr>
          <w:b/>
          <w:bCs/>
          <w:sz w:val="26"/>
          <w:szCs w:val="26"/>
        </w:rPr>
        <w:t xml:space="preserve">de modèles de deep learning pour données tabulaires, images et séquences</w:t>
      </w:r>
    </w:p>
    <w:p>
      <w:pPr>
        <w:spacing w:before="600"/>
        <w:jc w:val="center"/>
      </w:pPr>
      <w:r>
        <w:rPr>
          <w:i/>
          <w:iCs/>
          <w:sz w:val="24"/>
          <w:szCs w:val="24"/>
        </w:rPr>
        <w:t xml:space="preserve">Rapport scientifique</w:t>
      </w:r>
    </w:p>
    <w:p>
      <w:pPr>
        <w:spacing w:before="800"/>
        <w:jc w:val="center"/>
      </w:pPr>
      <w:r>
        <w:rPr>
          <w:sz w:val="22"/>
          <w:szCs w:val="22"/>
        </w:rPr>
        <w:t xml:space="preserve">Filière : Informatique</w:t>
      </w:r>
    </w:p>
    <w:p>
      <w:pPr>
        <w:jc w:val="center"/>
      </w:pPr>
      <w:r>
        <w:rPr>
          <w:sz w:val="22"/>
          <w:szCs w:val="22"/>
        </w:rPr>
        <w:t xml:space="preserve">Présenté par : [Votre Nom]</w:t>
      </w:r>
    </w:p>
    <w:p>
      <w:pPr>
        <w:jc w:val="center"/>
      </w:pPr>
      <w:r>
        <w:rPr>
          <w:i/>
          <w:iCs/>
          <w:sz w:val="20"/>
          <w:szCs w:val="20"/>
        </w:rPr>
        <w:t xml:space="preserve">Travail individuel</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160"/>
      </w:pPr>
      <w:r>
        <w:t xml:space="preserve">Ce rapport présente le travail réalisé dans le cadre du projet de fin de module de Deep Learning à l'EMSI Casablanca. Conformément au cahier des charges, le projet couvre trois familles d'architectures de réseaux de neurones — perceptron multicouche (MLP), réseau de neurones convolutionnel (CNN) et architectures récurrentes (RNN, LSTM, GRU, Seq2Seq) — appliquées chacune à un jeu de données réel correspondant à sa structure : données tabulaires, images, et séquences.</w:t>
      </w:r>
    </w:p>
    <w:p>
      <w:pPr>
        <w:spacing w:after="160"/>
      </w:pPr>
      <w:r>
        <w:t xml:space="preserve">Par souci de cohérence pédagogique et de motivation personnelle, les trois parties s'appuient, dans la mesure du possible, sur des données liées au football : statistiques de matchs de la Premier League anglaise (Parties I et III) et, pour la Partie II, le jeu de données d'images standard CIFAR-10. Ce choix de fil conducteur s'écarte, pour les Parties I et III, des jeux de données explicitement suggérés par le cahier des charges. Cette décision est assumée et discutée en détail dans la section consacrée au choix du dataset de chaque partie concernée ; elle reste soumise à validation par l'enseignant(e), comme le permet la clause du cahier des charges autorisant « tout autre dataset équivalent validé par l'enseignant(e) ».</w:t>
      </w:r>
    </w:p>
    <w:p>
      <w:pPr>
        <w:spacing w:after="160"/>
      </w:pPr>
      <w:r>
        <w:t xml:space="preserve">L'objectif général du projet est de démontrer la capacité à adapter le choix d'une architecture à la nature des données étudiées, à justifier ce choix sur des bases théoriques solides, à le mettre en œuvre rigoureusement sous PyTorch, et à interpréter de façon critique les résultats expérimentaux obtenus. Le rapport est structuré en trois parties correspondant aux trois familles de modèles, suivies d'une discussion transversale finale reliant les trois approches.</w:t>
      </w:r>
    </w:p>
    <w:p>
      <w:r>
        <w:br w:type="page"/>
      </w:r>
    </w:p>
    <w:p>
      <w:pPr>
        <w:pStyle w:val="Heading1"/>
      </w:pPr>
      <w:r>
        <w:t xml:space="preserve">Partie I — MLP et ingénierie PyTorch</w:t>
      </w:r>
    </w:p>
    <w:p>
      <w:pPr>
        <w:pStyle w:val="Heading2"/>
      </w:pPr>
      <w:r>
        <w:t xml:space="preserve">1. Thème et objectifs</w:t>
      </w:r>
    </w:p>
    <w:p>
      <w:pPr>
        <w:spacing w:after="160"/>
      </w:pPr>
      <w:r>
        <w:t xml:space="preserve">Cette partie porte sur la classification supervisée de données tabulaires à l'aide d'un perceptron multicouche (MLP). L'objectif est de démontrer la maîtrise de la construction d'un modèle avec nn.Module, de la différence entre nn.Sequential et une classe personnalisée, de la gestion des paramètres, des stratégies d'initialisation, de la sauvegarde/rechargement, et de l'utilisation correcte du CPU/GPU.</w:t>
      </w:r>
    </w:p>
    <w:p>
      <w:pPr>
        <w:pStyle w:val="Heading2"/>
      </w:pPr>
      <w:r>
        <w:t xml:space="preserve">2. Choix du dataset</w:t>
      </w:r>
    </w:p>
    <w:p>
      <w:pPr>
        <w:spacing w:after="160"/>
      </w:pPr>
      <w:r>
        <w:t xml:space="preserve">Le dataset utilisé est constitué de statistiques de matchs de football de la Premier League anglaise (saison 2023-2024), extraites de football-data.co.uk. Pour chaque match, les variables explicatives retenues sont des statistiques de jeu observables avant la fin de la rencontre dans une optique de modélisation (tirs, tirs cadrés, fautes, corners, cartons jaunes, pour l'équipe à domicile et à l'extérieur), et la variable cible est le résultat final du match (victoire à domicile, match nul, victoire à l'extérieur).</w:t>
      </w:r>
    </w:p>
    <w:p>
      <w:pPr>
        <w:pBdr>
          <w:left w:val="single" w:color="2E75B6" w:sz="12" w:space="8"/>
        </w:pBdr>
        <w:spacing w:after="200" w:before="120"/>
        <w:ind w:left="480"/>
      </w:pPr>
      <w:r>
        <w:rPr>
          <w:i/>
          <w:iCs/>
        </w:rPr>
        <w:t xml:space="preserve">Écart par rapport au cahier des charges : le cahier des charges suggère les datasets Wine Quality, Breast Cancer Wisconsin ou Adult Income. Le dataset football utilisé ici est un substitut non listé explicitement. Il a été retenu car il s'agit d'un problème de classification tabulaire réel, multiclasse (3 classes, contrairement aux exemples suggérés qui sont majoritairement binaires), avec des variables numériques nécessitant un nettoyage et une normalisation comparables à ceux des datasets suggérés. Cette substitution doit être validée par l'enseignant(e).</w:t>
      </w:r>
    </w:p>
    <w:p>
      <w:pPr>
        <w:spacing w:after="160"/>
      </w:pPr>
      <w:r>
        <w:t xml:space="preserve">Sur le plan méthodologique, ce choix présente un avantage pédagogique : la présence de trois classes (H/D/A) permet d'illustrer la classification multiclasse avec CrossEntropyLoss et softmax implicite, alors que Breast Cancer Wisconsin, par exemple, est un problème binaire. En revanche, le signal prédictif des statistiques de jeu pour deviner un résultat déjà connu au moment où ces statistiques sont mesurées (fin de match) est artificiellement élevé : il s'agit ici d'un exercice de classification a posteriori plutôt que d'une véritable tâche prédictive avant-match, ce qui est discuté plus loin comme limite du protocole expérimental.</w:t>
      </w:r>
    </w:p>
    <w:p>
      <w:pPr>
        <w:pStyle w:val="Heading2"/>
      </w:pPr>
      <w:r>
        <w:t xml:space="preserve">3. Fondements théoriques mobilisés</w:t>
      </w:r>
    </w:p>
    <w:p>
      <w:pPr>
        <w:spacing w:after="160"/>
      </w:pPr>
      <w:r>
        <w:t xml:space="preserve">Un nn.Module est la classe de base de tout modèle PyTorch : il encapsule les paramètres apprenables et définit la méthode forward() qui calcule la sortie à partir de l'entrée. Les paramètres (poids et biais) sont des tenseurs dont l'attribut requires_grad est activé, ce qui permet à PyTorch de construire automatiquement un graphe de calcul lors de la propagation avant, puis de calculer les gradients de la fonction de perte par rapport à chaque paramètre lors de l'appel à backward() (rétropropagation). Le dictionnaire state_dict() associe à chaque paramètre nommé son tenseur de valeurs courantes ; c'est ce dictionnaire qui est sérialisé lors de la sauvegarde d'un modèle et qui est rechargé pour restaurer son état exact.</w:t>
      </w:r>
    </w:p>
    <w:p>
      <w:pPr>
        <w:spacing w:after="160"/>
      </w:pPr>
      <w:r>
        <w:t xml:space="preserve">Le choix du device (CPU ou GPU via CUDA) détermine où les tenseurs sont physiquement stockés et où les calculs sont exécutés ; un modèle et ses données doivent impérativement résider sur le même device, sous peine d'erreur d'exécution.</w:t>
      </w:r>
    </w:p>
    <w:p>
      <w:pPr>
        <w:pStyle w:val="Heading2"/>
      </w:pPr>
      <w:r>
        <w:t xml:space="preserve">4. Méthodologie et préparation des données</w:t>
      </w:r>
    </w:p>
    <w:p>
      <w:pPr>
        <w:spacing w:after="160"/>
      </w:pPr>
      <w:r>
        <w:t xml:space="preserve">Les données ont été nettoyées par suppression des lignes contenant des valeurs manquantes sur les variables retenues. La variable cible (H/D/A) a été encodée numériquement par un LabelEncoder. Les variables explicatives ont été standardisées (moyenne nulle, variance unitaire) à l'aide d'un StandardScaler, ajusté uniquement sur l'ensemble d'entraînement puis appliqué aux ensembles de validation et de test pour éviter toute fuite d'information. Le jeu de données a été séparé en trois sous-ensembles stratifiés (70 % entraînement, 15 % validation, 15 % test), la stratification garantissant une distribution comparable des trois classes dans chaque sous-ensemble malgré leur déséquilibre naturel (les victoires à domicile sont structurellement plus fréquentes au football).</w:t>
      </w:r>
    </w:p>
    <w:p>
      <w:pPr>
        <w:pStyle w:val="Heading2"/>
      </w:pPr>
      <w:r>
        <w:t xml:space="preserve">5. Implémentation</w:t>
      </w:r>
    </w:p>
    <w:p>
      <w:pPr>
        <w:spacing w:after="160"/>
      </w:pPr>
      <w:r>
        <w:t xml:space="preserve">Deux versions équivalentes du même MLP ont été implémentées. La première utilise nn.Sequential, qui empile des couches dans un conteneur séquentiel sans nécessiter de classe explicite ; cette approche est concise mais limite la flexibilité (impossible d'introduire facilement des connexions non séquentielles ou une logique conditionnelle dans le forward). La seconde définit une classe FootballMLP héritant de nn.Module, avec une méthode forward() explicite ; cette approche est plus verbeuse mais offre un contrôle total sur le flux de données, ce qui devient nécessaire dès que l'architecture s'écarte d'un simple empilement linéaire (c'est le cas, par exemple, des architectures encodeur-décodeur de la Partie III).</w:t>
      </w:r>
    </w:p>
    <w:p>
      <w:pPr>
        <w:spacing w:after="160"/>
      </w:pPr>
      <w:r>
        <w:t xml:space="preserve">L'architecture retenue comporte deux couches cachées (64 puis 32 neurones, activation ReLU) et une couche de sortie à 3 neurones (une par classe), avec un dropout de 0.3 après chaque couche cachée pour limiter le surapprentissage.</w:t>
      </w:r>
    </w:p>
    <w:p>
      <w:pPr>
        <w:pStyle w:val="Heading2"/>
      </w:pPr>
      <w:r>
        <w:t xml:space="preserve">6. Inspection des paramètres</w:t>
      </w:r>
    </w:p>
    <w:p>
      <w:pPr>
        <w:spacing w:after="160"/>
      </w:pPr>
      <w:r>
        <w:t xml:space="preserve">L'inspection via named_parameters() confirme la présence de quatre couches linéaires (fc1, fc2, out), chacune avec un tenseur de poids et un tenseur de biais, tous avec requires_grad=True. Le state_dict() expose les mêmes tenseurs sous forme de dictionnaire, utilisé pour la sauvegarde et le rechargement du modèle.</w:t>
      </w:r>
    </w:p>
    <w:p>
      <w:pPr>
        <w:pStyle w:val="Heading2"/>
      </w:pPr>
      <w:r>
        <w:t xml:space="preserve">7. Stratégies d'initialisation</w:t>
      </w:r>
    </w:p>
    <w:p>
      <w:pPr>
        <w:spacing w:after="160"/>
      </w:pPr>
      <w:r>
        <w:t xml:space="preserve">Trois stratégies d'initialisation des poids ont été comparées expérimentalement :</w:t>
      </w:r>
    </w:p>
    <w:p>
      <w:pPr>
        <w:pStyle w:val="ListParagraph"/>
        <w:numPr>
          <w:ilvl w:val="0"/>
          <w:numId w:val="2"/>
        </w:numPr>
        <w:spacing w:after="80"/>
      </w:pPr>
      <w:r>
        <w:t xml:space="preserve">Initialisation gaussienne (écart-type 0.01) : les poids sont tirés d'une loi normale centrée, faible variance. Cette initialisation très conservatrice ralentit l'apprentissage initial car les signaux propagés sont très faibles, mais évite l'explosion des activations.</w:t>
      </w:r>
    </w:p>
    <w:p>
      <w:pPr>
        <w:pStyle w:val="ListParagraph"/>
        <w:numPr>
          <w:ilvl w:val="0"/>
          <w:numId w:val="2"/>
        </w:numPr>
        <w:spacing w:after="80"/>
      </w:pPr>
      <w:r>
        <w:t xml:space="preserve">Initialisation constante (tous les poids égaux à 1.0) : cette stratégie casse la symétrie de façon insuffisante — tous les neurones d'une même couche reçoivent exactement le même gradient au premier pas, ce qui les rend fonctionnellement identiques (problème de symétrie). Elle constitue un contre-exemple pédagogique plutôt qu'une stratégie recommandée.</w:t>
      </w:r>
    </w:p>
    <w:p>
      <w:pPr>
        <w:pStyle w:val="ListParagraph"/>
        <w:numPr>
          <w:ilvl w:val="0"/>
          <w:numId w:val="2"/>
        </w:numPr>
        <w:spacing w:after="80"/>
      </w:pPr>
      <w:r>
        <w:t xml:space="preserve">Initialisation de Xavier (Glorot) : les poids sont tirés uniformément dans un intervalle dont la borne dépend du nombre de neurones d'entrée et de sortie de la couche, ce qui maintient la variance des activations à peu près constante à travers les couches. C'est la stratégie qui donne expérimentalement la convergence la plus rapide et la plus stable sur ce jeu de données.</w:t>
      </w:r>
    </w:p>
    <w:p>
      <w:pPr>
        <w:spacing w:after="160"/>
      </w:pPr>
      <w:r>
        <w:t xml:space="preserve">Les courbes d'apprentissage comparatives (voir outputs/figures/part1_init_comparison.png) confirment cette hiérarchie : Xavier converge dès les premières époques, l'initialisation gaussienne converge plus lentement mais de façon stable, et l'initialisation constante présente la perte la plus élevée et la plus instable, illustrant concrètement le problème de symétrie des neurones.</w:t>
      </w:r>
    </w:p>
    <w:p>
      <w:pPr>
        <w:pStyle w:val="Heading2"/>
      </w:pPr>
      <w:r>
        <w:t xml:space="preserve">8. Sauvegarde, rechargement et exécution sur device</w:t>
      </w:r>
    </w:p>
    <w:p>
      <w:pPr>
        <w:spacing w:after="160"/>
      </w:pPr>
      <w:r>
        <w:t xml:space="preserve">Le meilleur modèle (sélectionné sur la perte de validation minimale) a été sauvegardé via torch.save(model.state_dict(), ...) puis rechargé dans une nouvelle instance du modèle via load_state_dict(), suivie d'un appel à model.eval() pour désactiver le dropout en phase d'inférence. Le modèle et les tenseurs de données ont été systématiquement déplacés sur le device disponible (GPU si CUDA est accessible, CPU sinon) avant tout calcul, garantissant la cohérence des opérations.</w:t>
      </w:r>
    </w:p>
    <w:p>
      <w:pPr>
        <w:pStyle w:val="Heading2"/>
      </w:pPr>
      <w:r>
        <w:t xml:space="preserve">9. Résultats et évaluation</w:t>
      </w:r>
    </w:p>
    <w:p>
      <w:pPr>
        <w:spacing w:after="160"/>
      </w:pPr>
      <w:r>
        <w:t xml:space="preserve">Sur l'ensemble de test, le modèle rechargé a été évalué à l'aide d'un rapport de classification (précision, rappel, F1-score par classe) et d'une matrice de confusion (voir outputs/figures/part1_confusion_matrix.png). Les résultats détaillés chiffrés figurent dans les sorties du notebook notebooks/Partie1_MLP.ipynb.</w:t>
      </w:r>
    </w:p>
    <w:p>
      <w:pPr>
        <w:spacing w:after="160"/>
      </w:pPr>
      <w:r>
        <w:t xml:space="preserve">La matrice de confusion révèle généralement une meilleure performance sur la classe « victoire à domicile » (classe majoritaire et la plus facile à distinguer statistiquement) et une confusion plus marquée entre « nul » et « victoire à l'extérieur », ces deux classes partageant des profils statistiques de jeu plus proches (matchs disputés).</w:t>
      </w:r>
    </w:p>
    <w:p>
      <w:pPr>
        <w:pStyle w:val="Heading2"/>
      </w:pPr>
      <w:r>
        <w:t xml:space="preserve">10. Analyse critique</w:t>
      </w:r>
    </w:p>
    <w:p>
      <w:pPr>
        <w:spacing w:after="160"/>
      </w:pPr>
      <w:r>
        <w:t xml:space="preserve">Le MLP capture efficacement les relations non linéaires entre statistiques de jeu agrégées et résultat final, mais il traite chaque variable de façon indépendante de sa position temporelle dans le match et ignore toute structure séquentielle (par exemple, l'évolution du score au fil du temps). Une limite méthodologique importante du protocole est que les statistiques utilisées (tirs, corners, fautes) sont mesurées sur l'intégralité du match, donc disponibles seulement une fois le résultat déjà connu : il s'agit d'un exercice de classification a posteriori, utile pour illustrer les mécanismes du MLP, mais non directement transposable à une tâche de prédiction avant-match en conditions réelles.</w:t>
      </w:r>
    </w:p>
    <w:p>
      <w:pPr>
        <w:pStyle w:val="Heading2"/>
      </w:pPr>
      <w:r>
        <w:t xml:space="preserve">11. Question de synthèse — Partie I</w:t>
      </w:r>
    </w:p>
    <w:p>
      <w:pPr>
        <w:pBdr>
          <w:left w:val="single" w:color="2E75B6" w:sz="12" w:space="8"/>
        </w:pBdr>
        <w:spacing w:after="200" w:before="120"/>
        <w:ind w:left="480"/>
      </w:pPr>
      <w:r>
        <w:rPr>
          <w:i/>
          <w:iCs/>
        </w:rPr>
        <w:t xml:space="preserve">« Dans quelle mesure un MLP bien paramétré constitue-t-il une solution pertinente pour la classification tabulaire sur un dataset réel, et quelles sont ses principales limites au regard de la structure statistique des données étudiées ? »</w:t>
      </w:r>
    </w:p>
    <w:p>
      <w:pPr>
        <w:spacing w:after="160"/>
      </w:pPr>
      <w:r>
        <w:t xml:space="preserve">Un MLP bien paramétré — architecture de profondeur raisonnable, initialisation de Xavier, régularisation par dropout, normalisation préalable des variables — constitue une solution pertinente pour la classification tabulaire dès que la relation entre variables explicatives et cible comporte des interactions non linéaires que des modèles linéaires simples ne peuvent capturer. Sur le dataset football utilisé ici, le MLP apprend effectivement à combiner plusieurs statistiques de jeu (tirs cadrés, corners, fautes) pour discriminer les trois issues possibles, et les expériences d'initialisation montrent que ce choix méthodologique a un impact mesurable sur la vitesse et la stabilité de la convergence.</w:t>
      </w:r>
    </w:p>
    <w:p>
      <w:pPr>
        <w:spacing w:after="160"/>
      </w:pPr>
      <w:r>
        <w:t xml:space="preserve">Cependant, le MLP présente des limites structurelles importantes au regard de la nature des données tabulaires footballistiques. Premièrement, il traite les variables comme un vecteur non ordonné, sans exploiter la structure relationnelle entre équipes (par exemple, la force relative de l'équipe à domicile par rapport à son adversaire historique) ni la dimension temporelle de la saison (forme récente, fatigue accumulée). Deuxièmement, le déséquilibre naturel des classes (les nuls sont structurellement moins fréquents que les victoires à domicile) peut biaiser l'apprentissage vers la classe majoritaire si aucune pondération de la perte ou aucun rééchantillonnage n'est appliqué. Troisièmement, contrairement à des modèles arborescents (gradient boosting), le MLP offre une interprétabilité directe limitée : il est difficile d'expliquer, variable par variable, pourquoi une prédiction donnée a été produite, ce qui peut être problématique pour des données tabulaires où l'explicabilité métier est souvent attendue. Enfin, comme noté plus haut, l'utilisation de statistiques post-match limite la portée prédictive réelle du protocole expérimental retenu.</w:t>
      </w:r>
    </w:p>
    <w:p>
      <w:r>
        <w:br w:type="page"/>
      </w:r>
    </w:p>
    <w:p>
      <w:pPr>
        <w:pStyle w:val="Heading1"/>
      </w:pPr>
      <w:r>
        <w:t xml:space="preserve">Partie II — CNN et vision par ordinateur</w:t>
      </w:r>
    </w:p>
    <w:p>
      <w:pPr>
        <w:pStyle w:val="Heading2"/>
      </w:pPr>
      <w:r>
        <w:t xml:space="preserve">1. Thème et objectifs</w:t>
      </w:r>
    </w:p>
    <w:p>
      <w:pPr>
        <w:spacing w:after="160"/>
      </w:pPr>
      <w:r>
        <w:t xml:space="preserve">Cette partie porte sur la classification d'images à l'aide de réseaux de neurones convolutionnels (CNN), et sur l'analyse fine des opérations convolutionnelles : corrélation croisée, padding, stride, pooling, canaux multiples et convolution 1×1. L'objectif est de comprendre pourquoi la structure spatiale des images appelle une architecture dédiée, distincte du MLP utilisé en Partie I.</w:t>
      </w:r>
    </w:p>
    <w:p>
      <w:pPr>
        <w:pStyle w:val="Heading2"/>
      </w:pPr>
      <w:r>
        <w:t xml:space="preserve">2. Choix du dataset</w:t>
      </w:r>
    </w:p>
    <w:p>
      <w:pPr>
        <w:spacing w:after="160"/>
      </w:pPr>
      <w:r>
        <w:t xml:space="preserve">Le dataset utilisé est CIFAR-10, qui figure explicitement parmi les datasets suggérés par le cahier des charges. Il contient 60 000 images couleur de 32×32 pixels réparties en 10 classes (avion, automobile, oiseau, chat, cerf, chien, grenouille, cheval, navire, camion). Ce choix ne nécessite aucune dérogation au cahier des charges.</w:t>
      </w:r>
    </w:p>
    <w:p>
      <w:pPr>
        <w:spacing w:after="160"/>
      </w:pPr>
      <w:r>
        <w:t xml:space="preserve">Dans une logique de cohérence narrative avec le reste du projet, l'analogie filée tout au long de cette partie est celle d'un système de vision automatique pour l'analyse vidéo sportive : de même qu'un système de reconnaissance d'images détecte d'abord des primitives visuelles locales avant de les combiner en concepts (objet, scène), un système d'analyse vidéo de football détecterait d'abord des primitives locales (trajectoire du ballon, posture d'un joueur) avant de reconnaître une action complète (tir, passe, dribble). Cette analogie est purement illustrative ; l'implémentation et l'évaluation portent intégralement sur CIFAR-10.</w:t>
      </w:r>
    </w:p>
    <w:p>
      <w:pPr>
        <w:pStyle w:val="Heading2"/>
      </w:pPr>
      <w:r>
        <w:t xml:space="preserve">3. Pourquoi un MLP est-il peu adapté aux images ?</w:t>
      </w:r>
    </w:p>
    <w:p>
      <w:pPr>
        <w:spacing w:after="160"/>
      </w:pPr>
      <w:r>
        <w:t xml:space="preserve">Un MLP appliqué à une image de 32×32×3 pixels doit aplatir l'image en un vecteur de 3072 valeurs avant de la traiter. Cet aplatissement détruit toute notion de proximité spatiale : deux pixels physiquement adjacents dans l'image ne sont plus traités différemment de deux pixels éloignés, alors que cette proximité porte une information visuelle essentielle (un bord, une texture, un contour).</w:t>
      </w:r>
    </w:p>
    <w:p>
      <w:pPr>
        <w:spacing w:after="160"/>
      </w:pPr>
      <w:r>
        <w:t xml:space="preserve">Les CNN reposent sur trois idées fondatrices qui corrigent ce défaut :</w:t>
      </w:r>
    </w:p>
    <w:p>
      <w:pPr>
        <w:pStyle w:val="ListParagraph"/>
        <w:numPr>
          <w:ilvl w:val="0"/>
          <w:numId w:val="2"/>
        </w:numPr>
        <w:spacing w:after="80"/>
      </w:pPr>
      <w:r>
        <w:t xml:space="preserve">Localité : un filtre de petite taille (par exemple 3×3) ne regarde qu'un voisinage local de pixels à la fois, ce qui correspond à l'hypothèse que l'information visuelle pertinente est d'abord locale (un bord, un coin) avant d'être globale.</w:t>
      </w:r>
    </w:p>
    <w:p>
      <w:pPr>
        <w:pStyle w:val="ListParagraph"/>
        <w:numPr>
          <w:ilvl w:val="0"/>
          <w:numId w:val="2"/>
        </w:numPr>
        <w:spacing w:after="80"/>
      </w:pPr>
      <w:r>
        <w:t xml:space="preserve">Partage des poids : le même filtre est appliqué à toutes les positions de l'image (convolution), ce qui réduit drastiquement le nombre de paramètres par rapport à un MLP qui devrait apprendre une pondération indépendante pour chaque pixel et chaque position.</w:t>
      </w:r>
    </w:p>
    <w:p>
      <w:pPr>
        <w:pStyle w:val="ListParagraph"/>
        <w:numPr>
          <w:ilvl w:val="0"/>
          <w:numId w:val="2"/>
        </w:numPr>
        <w:spacing w:after="80"/>
      </w:pPr>
      <w:r>
        <w:t xml:space="preserve">Hiérarchie des représentations : l'empilement de plusieurs couches convolutionnelles permet aux premières couches de détecter des motifs simples (bords, couleurs) et aux couches plus profondes de combiner ces motifs en représentations de plus haut niveau (formes, objets).</w:t>
      </w:r>
    </w:p>
    <w:p>
      <w:pPr>
        <w:pStyle w:val="Heading2"/>
      </w:pPr>
      <w:r>
        <w:t xml:space="preserve">4. Calculs dimensionnels</w:t>
      </w:r>
    </w:p>
    <w:p>
      <w:pPr>
        <w:spacing w:after="160"/>
      </w:pPr>
      <w:r>
        <w:t xml:space="preserve">La taille de sortie d'une couche de convolution se calcule par la formule suivante, où n est la taille d'entrée, k la taille du noyau, p le padding et s le stride :</w:t>
      </w:r>
    </w:p>
    <w:p>
      <w:pPr>
        <w:pBdr>
          <w:left w:val="single" w:color="2E75B6" w:sz="12" w:space="8"/>
        </w:pBdr>
        <w:spacing w:after="200" w:before="120"/>
        <w:ind w:left="480"/>
      </w:pPr>
      <w:r>
        <w:rPr>
          <w:i/>
          <w:iCs/>
        </w:rPr>
        <w:t xml:space="preserve">taille_sortie = floor( (n + 2p − k) / s ) + 1</w:t>
      </w:r>
    </w:p>
    <w:p>
      <w:pPr>
        <w:spacing w:after="160"/>
      </w:pPr>
      <w:r>
        <w:t xml:space="preserve">Pour une image d'entrée 32×32, un noyau 3×3, un padding de 1 et un stride de 1, la taille de sortie reste 32×32 (le padding compense exactement la réduction due au noyau). Sans padding (p=0), la même convolution produit une sortie 30×30. Pour une couche de max-pooling de taille 2×2 et de stride 2 (sans padding), la formule se simplifie à floor((n−k)/s)+1, ce qui donne 16×16 à partir d'une entrée 32×32. Ces calculs ont été vérifiés numériquement dans le notebook (fonctions output_size_conv et output_size_pool) avant d'être utilisés pour dimensionner les couches entièrement connectées suivant les blocs convolutionnels.</w:t>
      </w:r>
    </w:p>
    <w:p>
      <w:pPr>
        <w:pStyle w:val="Heading2"/>
      </w:pPr>
      <w:r>
        <w:t xml:space="preserve">5. Implémentations manuelles et comparaison avec PyTorch</w:t>
      </w:r>
    </w:p>
    <w:p>
      <w:pPr>
        <w:spacing w:after="160"/>
      </w:pPr>
      <w:r>
        <w:t xml:space="preserve">Trois opérations ont été implémentées manuellement en Python/PyTorch, sans recourir aux couches nn.Conv2d, nn.MaxPool2d ou nn.AvgPool2d : la corrélation croisée 2D (à l'aide de deux boucles imbriquées parcourant les positions de sortie et calculant un produit scalaire local entre le noyau et la fenêtre d'entrée correspondante), le max-pooling (prise du maximum sur chaque fenêtre glissante) et l'average-pooling (moyenne sur chaque fenêtre). Chacune de ces implémentations a ensuite été comparée numériquement à son équivalent PyTorch officiel (F.conv2d, F.max_pool2d, F.avg_pool2d) sur un tenseur aléatoire identique ; l'écart maximal observé entre les deux implémentations est nul à la précision flottante près, ce qui valide la correction des implémentations manuelles.</w:t>
      </w:r>
    </w:p>
    <w:p>
      <w:pPr>
        <w:pStyle w:val="Heading2"/>
      </w:pPr>
      <w:r>
        <w:t xml:space="preserve">6. Architectures implémentées</w:t>
      </w:r>
    </w:p>
    <w:p>
      <w:pPr>
        <w:spacing w:after="160"/>
      </w:pPr>
      <w:r>
        <w:t xml:space="preserve">Trois modèles ont été implémentés et comparés sur CIFAR-10 :</w:t>
      </w:r>
    </w:p>
    <w:p>
      <w:pPr>
        <w:pStyle w:val="ListParagraph"/>
        <w:numPr>
          <w:ilvl w:val="0"/>
          <w:numId w:val="2"/>
        </w:numPr>
        <w:spacing w:after="80"/>
      </w:pPr>
      <w:r>
        <w:t xml:space="preserve">Un MLP de référence (ImageMLP) : aplatit l'image puis applique deux couches cachées entièrement connectées. Ce modèle sert de référence pour quantifier le gain apporté par la structure convolutionnelle.</w:t>
      </w:r>
    </w:p>
    <w:p>
      <w:pPr>
        <w:pStyle w:val="ListParagraph"/>
        <w:numPr>
          <w:ilvl w:val="0"/>
          <w:numId w:val="2"/>
        </w:numPr>
        <w:spacing w:after="80"/>
      </w:pPr>
      <w:r>
        <w:t xml:space="preserve">Un CNN inspiré de LeNet, modernisé par l'ajout de Batch Normalization après chaque convolution et d'une convolution 1×1 intermédiaire. La convolution 1×1 ne capture aucune information spatiale supplémentaire (son noyau ne couvre qu'un seul pixel à la fois) mais permet de mélanger l'information entre canaux à coût de calcul réduit, un peu à la manière d'une couche entièrement connectée appliquée indépendamment à chaque position spatiale.</w:t>
      </w:r>
    </w:p>
    <w:p>
      <w:pPr>
        <w:pStyle w:val="ListParagraph"/>
        <w:numPr>
          <w:ilvl w:val="0"/>
          <w:numId w:val="2"/>
        </w:numPr>
        <w:spacing w:after="80"/>
      </w:pPr>
      <w:r>
        <w:t xml:space="preserve">Un CNN amélioré (CNNImproved), plus profond, combinant un stride de 2 dès la première convolution (réduction de résolution sans pooling explicite), du Batch Normalization systématique, une convolution 1×1, et un average pooling final avant la tête de classification.</w:t>
      </w:r>
    </w:p>
    <w:p>
      <w:pPr>
        <w:pStyle w:val="Heading2"/>
      </w:pPr>
      <w:r>
        <w:t xml:space="preserve">7. Étude expérimentale de l'influence des choix architecturaux</w:t>
      </w:r>
    </w:p>
    <w:p>
      <w:pPr>
        <w:spacing w:after="160"/>
      </w:pPr>
      <w:r>
        <w:t xml:space="preserve">Une étude ablative a comparé quatre configurations d'un CNN simplifié, en faisant varier un seul facteur à la fois : absence de padding, padding de 1, stride de 2 (au lieu de 1) dans la première convolution, et average pooling (au lieu de max pooling). Les résultats détaillés (précision sur l'ensemble de test pour chaque configuration) figurent dans les sorties du notebook notebooks/Partie2_CNN.ipynb (section « Étude des configurations architecturales »).</w:t>
      </w:r>
    </w:p>
    <w:p>
      <w:pPr>
        <w:spacing w:after="160"/>
      </w:pPr>
      <w:r>
        <w:t xml:space="preserve">Sur le plan théorique, ces facteurs ont des effets attendus distincts : le padding préserve la résolution spatiale et évite de perdre l'information portée par les bords de l'image au fil des couches ; le stride réduit la résolution plus agressivement qu'un pooling séparé mais à moindre coût de calcul, au prix d'une perte d'information potentiellement plus importante si l'image contient des détails fins ; le max-pooling tend à préserver les activations les plus fortes (utile pour détecter la présence d'un motif), tandis que l'average-pooling lisse l'information et peut être préférable lorsque le bruit local doit être atténué plutôt qu'amplifié.</w:t>
      </w:r>
    </w:p>
    <w:p>
      <w:pPr>
        <w:pStyle w:val="Heading2"/>
      </w:pPr>
      <w:r>
        <w:t xml:space="preserve">8. Visualisation et interprétation des cartes de caractéristiques</w:t>
      </w:r>
    </w:p>
    <w:p>
      <w:pPr>
        <w:spacing w:after="160"/>
      </w:pPr>
      <w:r>
        <w:t xml:space="preserve">Les cartes d'activation (feature maps) de la première couche convolutionnelle du modèle LeNet modifié ont été extraites via un hook PyTorch (register_forward_hook) sur une image test, puis visualisées (voir outputs/figures/part2_feature_maps.png). Conformément à la théorie, les filtres de cette première couche réagissent typiquement à des motifs visuels simples et génériques : certains filtres répondent fortement aux contours et transitions de luminosité, d'autres à des zones de couleur homogène, confirmant que les premières couches d'un CNN apprennent des détecteurs de bas niveau avant que les couches plus profondes ne combinent ces signaux en représentations sémantiques de plus haut niveau.</w:t>
      </w:r>
    </w:p>
    <w:p>
      <w:pPr>
        <w:pStyle w:val="Heading2"/>
      </w:pPr>
      <w:r>
        <w:t xml:space="preserve">9. Comparaison MLP vs CNN</w:t>
      </w:r>
    </w:p>
    <w:p>
      <w:pPr>
        <w:spacing w:after="160"/>
      </w:pPr>
      <w:r>
        <w:t xml:space="preserve">La comparaison directe entre le MLP de référence et les architectures convolutionnelles (voir outputs/figures/part2_model_comparison.png et les précisions de test rapportées dans le notebook) montre invariablement un écart de performance significatif en faveur des CNN sur CIFAR-10, conforme à l'attente théorique : pour un budget de paramètres comparable, le MLP ne peut pas exploiter la structure spatiale de l'image et converge vers une précision de test nettement inférieure à celle des architectures convolutionnelles, qui bénéficient du partage de poids et de la localité des filtres.</w:t>
      </w:r>
    </w:p>
    <w:p>
      <w:pPr>
        <w:pStyle w:val="Heading2"/>
      </w:pPr>
      <w:r>
        <w:t xml:space="preserve">10. Analyse critique</w:t>
      </w:r>
    </w:p>
    <w:p>
      <w:pPr>
        <w:spacing w:after="160"/>
      </w:pPr>
      <w:r>
        <w:t xml:space="preserve">Les architectures convolutionnelles testées restent de complexité modeste comparées aux standards actuels de la vision par ordinateur (ResNet, EfficientNet, architectures à attention) ; elles ont été dimensionnées volontairement pour rester interprétables et entraînables rapidement dans le cadre de cet exercice pédagogique. La principale limite observée concerne le risque de surapprentissage sur un dataset de taille modérée comme CIFAR-10 lorsque le réseau devient profond sans régularisation suffisante (d'où l'usage de Batch Normalization, de dropout et d'augmentation de données — retournement horizontal et recadrage aléatoire — dans l'implémentation). Une seconde limite est que l'étude ablative n'isole qu'un facteur à la fois ; des interactions entre facteurs (par exemple entre stride et profondeur du réseau) ne sont pas explorées de façon exhaustive.</w:t>
      </w:r>
    </w:p>
    <w:p>
      <w:pPr>
        <w:pStyle w:val="Heading2"/>
      </w:pPr>
      <w:r>
        <w:t xml:space="preserve">11. Question de synthèse — Partie II</w:t>
      </w:r>
    </w:p>
    <w:p>
      <w:pPr>
        <w:pBdr>
          <w:left w:val="single" w:color="2E75B6" w:sz="12" w:space="8"/>
        </w:pBdr>
        <w:spacing w:after="200" w:before="120"/>
        <w:ind w:left="480"/>
      </w:pPr>
      <w:r>
        <w:rPr>
          <w:i/>
          <w:iCs/>
        </w:rPr>
        <w:t xml:space="preserve">« Pourquoi un CNN est-il plus pertinent qu'un MLP pour une tâche de classification d'images sur un dataset réel, et comment les choix de padding, stride, pooling et profondeur influencent-ils réellement les performances du modèle ? »</w:t>
      </w:r>
    </w:p>
    <w:p>
      <w:pPr>
        <w:spacing w:after="160"/>
      </w:pPr>
      <w:r>
        <w:t xml:space="preserve">Un CNN est plus pertinent qu'un MLP pour la classification d'images car il intègre, dans sa structure même, deux hypothèses qui correspondent à la nature physique des images : la pertinence de l'information locale (localité des filtres) et l'invariance par translation (partage des poids). Ces deux propriétés réduisent considérablement le nombre de paramètres nécessaires comparé à un MLP qui devrait, en théorie, apprendre indépendamment la même transformation pour chaque position de l'image, ce qui se traduit expérimentalement, sur CIFAR-10, par une précision de test nettement supérieure pour un budget de calcul comparable, comme le confirment les résultats de comparaison MLP vs CNN obtenus dans cette partie.</w:t>
      </w:r>
    </w:p>
    <w:p>
      <w:pPr>
        <w:spacing w:after="160"/>
      </w:pPr>
      <w:r>
        <w:t xml:space="preserve">Les choix architecturaux étudiés influencent les performances de façon cohérente avec la théorie sous-jacente. Le padding détermine si l'information portée par les bords de l'image est préservée à travers les couches successives : son absence tend à réduire progressivement la résolution spatiale utile et peut amputer l'information périphérique pertinente. Le stride agit comme un mécanisme de sous-échantillonnage intégré directement à la convolution : un stride supérieur à 1 réduit la résolution et le coût de calcul plus rapidement qu'un pooling séparé, mais au prix d'une perte d'information plus brutale si la résolution réduite ne permet plus de distinguer des détails discriminants. Le type de pooling (max vs average) influence la nature de l'information préservée — saillance maximale d'un motif pour le max-pooling, information moyenne et lissée pour l'average-pooling — un choix qui doit être adapté à la nature du signal visuel à détecter. Enfin, la profondeur du réseau permet la construction d'une hiérarchie de représentations de plus en plus abstraites, mais augmente le risque de surapprentissage si elle n'est pas accompagnée d'une régularisation adéquate, comme observé dans l'étude ablative de cette partie. La visualisation des cartes de caractéristiques confirme directement ce mécanisme hiérarchique : les filtres de première couche détectent des primitives visuelles génériques (contours, transitions de couleur), point de départ de la construction progressive de représentations sémantiques par les couches plus profondes.</w:t>
      </w:r>
    </w:p>
    <w:p>
      <w:r>
        <w:br w:type="page"/>
      </w:r>
    </w:p>
    <w:p>
      <w:pPr>
        <w:pStyle w:val="Heading1"/>
      </w:pPr>
      <w:r>
        <w:t xml:space="preserve">Partie III — RNN, LSTM, GRU et Seq2Seq</w:t>
      </w:r>
    </w:p>
    <w:p>
      <w:pPr>
        <w:pStyle w:val="Heading2"/>
      </w:pPr>
      <w:r>
        <w:t xml:space="preserve">1. Thème et objectifs</w:t>
      </w:r>
    </w:p>
    <w:p>
      <w:pPr>
        <w:spacing w:after="160"/>
      </w:pPr>
      <w:r>
        <w:t xml:space="preserve">Cette partie porte sur la modélisation de séquences à l'aide d'architectures récurrentes (RNN simple, LSTM, GRU) et sur la construction d'un système encodeur-décodeur (Seq2Seq) pour une tâche de génération de séquence. L'objectif est de démontrer la maîtrise des modèles de langage probabilistes, de la rétropropagation à travers le temps (BPTT), du gradient clipping, du teacher forcing, et des stratégies de décodage (glouton, beam search).</w:t>
      </w:r>
    </w:p>
    <w:p>
      <w:pPr>
        <w:pStyle w:val="Heading2"/>
      </w:pPr>
      <w:r>
        <w:t xml:space="preserve">2. Choix du dataset et écart par rapport au cahier des charges</w:t>
      </w:r>
    </w:p>
    <w:p>
      <w:pPr>
        <w:pBdr>
          <w:left w:val="single" w:color="2E75B6" w:sz="12" w:space="8"/>
        </w:pBdr>
        <w:spacing w:after="200" w:before="120"/>
        <w:ind w:left="480"/>
      </w:pPr>
      <w:r>
        <w:rPr>
          <w:i/>
          <w:iCs/>
        </w:rPr>
        <w:t xml:space="preserve">Écart majeur par rapport au cahier des charges : le cahier des charges suggère explicitement un corpus textuel réel (IMDb, Tatoeba/fra-eng, ou un corpus de prédiction du prochain token issu d'un texte naturel). Le corpus utilisé dans cette partie n'est pas un corpus linguistique : il s'agit de séquences chronologiques de résultats de matchs de football (victoire, nul, défaite) pour chaque équipe de Premier League sur plusieurs saisons, encodées sur un alphabet de seulement trois symboles plus les tokens spéciaux. Ce choix doit être explicitement validé par l'enseignant(e) avant d'être considéré comme conforme au cahier des charges.</w:t>
      </w:r>
    </w:p>
    <w:p>
      <w:pPr>
        <w:spacing w:after="160"/>
      </w:pPr>
      <w:r>
        <w:t xml:space="preserve">Ce choix a été fait pour prolonger le fil conducteur footballistique du projet, mais il convient d'en mesurer honnêtement les conséquences pédagogiques et scientifiques. D'un point de vue positif, la structure du problème reste fidèle aux principes théoriques visés : chaque séquence est un objet ordonné dans le temps, la tâche de modèle de langage (prédire le symbole suivant) et la tâche Seq2Seq (prédire une sous-séquence future à partir d'une sous-séquence passée) sont formellement identiques à leurs équivalents textuels, et les mêmes mécanismes (BPTT, gradient clipping, teacher forcing, beam search) s'appliquent sans modification du code ou de la théorie sous-jacente.</w:t>
      </w:r>
    </w:p>
    <w:p>
      <w:pPr>
        <w:spacing w:after="160"/>
      </w:pPr>
      <w:r>
        <w:t xml:space="preserve">D'un point de vue critique, cependant, un alphabet de 3 symboles est très éloigné de la richesse d'un vocabulaire textuel réel (plusieurs milliers à dizaines de milliers de tokens pour IMDb ou Tatoeba). Cette réduction draconienne de la taille du vocabulaire simplifie artificiellement la tâche de modélisation : la perplexité d'un modèle aléatoire uniforme sur 3 classes est mécaniquement bornée à 3, alors qu'elle serait de plusieurs milliers sur un vocabulaire textuel réel, ce qui rend toute comparaison directe de perplexité avec la littérature impossible. De plus, l'absence de structure syntaxique ou sémantique dans la séquence (un résultat de match n'a pas de « grammaire » comparable à celle d'une langue naturelle) limite la portée des conclusions que l'on peut tirer sur la capacité des modèles récurrents à capturer des dépendances de long terme complexes, telles que les dépendances syntaxiques à longue portée qui motivent historiquement l'introduction des LSTM et GRU face aux RNN simples.</w:t>
      </w:r>
    </w:p>
    <w:p>
      <w:pPr>
        <w:spacing w:after="160"/>
      </w:pPr>
      <w:r>
        <w:t xml:space="preserve">En conséquence, les résultats et analyses présentés dans cette partie doivent être lus comme une démonstration valide des mécanismes techniques des architectures récurrentes et du pipeline Seq2Seq, mais pas comme une évaluation de leur capacité à modéliser un véritable phénomène linguistique. Si une validation stricte d'un corpus textuel réel est requise par l'enseignant(e), la recommandation est de reproduire le même pipeline (déjà implémenté de façon générique dans le code) sur un corpus tel que Tatoeba fra-eng ou IMDb, en ne changeant que l'étape de tokenisation et de construction du vocabulaire.</w:t>
      </w:r>
    </w:p>
    <w:p>
      <w:pPr>
        <w:pStyle w:val="Heading2"/>
      </w:pPr>
      <w:r>
        <w:t xml:space="preserve">3. Fondements théoriques</w:t>
      </w:r>
    </w:p>
    <w:p>
      <w:pPr>
        <w:pStyle w:val="Heading3"/>
      </w:pPr>
      <w:r>
        <w:t xml:space="preserve">3.1 Objectif probabiliste d'un modèle de langage</w:t>
      </w:r>
    </w:p>
    <w:p>
      <w:pPr>
        <w:spacing w:after="160"/>
      </w:pPr>
      <w:r>
        <w:t xml:space="preserve">Un modèle de langage apprend à approximer la distribution de probabilité jointe d'une séquence de tokens x_1, ..., x_T. Par la règle de chaîne des probabilités, cette distribution jointe se factorise en un produit de probabilités conditionnelles, chacune ne dépendant que des tokens précédents :</w:t>
      </w:r>
    </w:p>
    <w:p>
      <w:pPr>
        <w:pBdr>
          <w:left w:val="single" w:color="2E75B6" w:sz="12" w:space="8"/>
        </w:pBdr>
        <w:spacing w:after="200" w:before="120"/>
        <w:ind w:left="480"/>
      </w:pPr>
      <w:r>
        <w:rPr>
          <w:i/>
          <w:iCs/>
        </w:rPr>
        <w:t xml:space="preserve">P(x_1, x_2, ..., x_T) = P(x_1) · P(x_2 | x_1) · P(x_3 | x_1, x_2) · ... · P(x_T | x_1, ..., x_{T-1})</w:t>
      </w:r>
    </w:p>
    <w:p>
      <w:pPr>
        <w:spacing w:after="160"/>
      </w:pPr>
      <w:r>
        <w:t xml:space="preserve">Un réseau récurrent approxime chacun de ces termes conditionnels à l'aide d'un état caché h_t qui résume, à chaque pas de temps, l'information pertinente issue des tokens déjà observés.</w:t>
      </w:r>
    </w:p>
    <w:p>
      <w:pPr>
        <w:pStyle w:val="Heading3"/>
      </w:pPr>
      <w:r>
        <w:t xml:space="preserve">3.2 Perplexité</w:t>
      </w:r>
    </w:p>
    <w:p>
      <w:pPr>
        <w:spacing w:after="160"/>
      </w:pPr>
      <w:r>
        <w:t xml:space="preserve">La perplexité est définie comme l'exponentielle de la perte d'entropie croisée moyenne du modèle sur une séquence. Elle mesure le degré de surprise moyen du modèle face à la séquence réelle observée : une perplexité de 1 correspondrait à une prédiction parfaite et déterministe, tandis qu'une perplexité égale à la taille du vocabulaire correspondrait à une prédiction uniforme aléatoire, c'est-à-dire à l'absence totale d'apprentissage utile.</w:t>
      </w:r>
    </w:p>
    <w:p>
      <w:pPr>
        <w:pStyle w:val="Heading3"/>
      </w:pPr>
      <w:r>
        <w:t xml:space="preserve">3.3 BPTT et gradient clipping</w:t>
      </w:r>
    </w:p>
    <w:p>
      <w:pPr>
        <w:spacing w:after="160"/>
      </w:pPr>
      <w:r>
        <w:t xml:space="preserve">La rétropropagation à travers le temps (Backpropagation Through Time, BPTT) consiste à dérouler le réseau récurrent sur l'ensemble des pas de temps de la séquence, puis à rétropropager le gradient de la perte à travers chacun de ces pas. Sur des séquences longues, ce déroulement répété peut provoquer une explosion ou, au contraire, une disparition progressive du gradient au fur et à mesure qu'il traverse les pas de temps, ce qui rend l'apprentissage instable ou inefficace. Le gradient clipping, qui consiste à écrêter la norme globale du gradient à une valeur maximale fixée avant la mise à jour des paramètres, est une parade standard contre l'explosion du gradient ; il ne résout en revanche pas le problème de disparition du gradient, qui motive plutôt l'utilisation de cellules à mémoire telles que le LSTM ou le GRU.</w:t>
      </w:r>
    </w:p>
    <w:p>
      <w:pPr>
        <w:pStyle w:val="Heading3"/>
      </w:pPr>
      <w:r>
        <w:t xml:space="preserve">3.4 LSTM et GRU</w:t>
      </w:r>
    </w:p>
    <w:p>
      <w:pPr>
        <w:spacing w:after="160"/>
      </w:pPr>
      <w:r>
        <w:t xml:space="preserve">Le LSTM (Long Short-Term Memory) introduit une cellule mémoire distincte de l'état caché, régulée par trois portes (entrée, oubli, sortie) qui contrôlent explicitement quelle information est ajoutée, conservée ou supprimée de la mémoire à chaque pas de temps. Le GRU (Gated Recurrent Unit) simplifie ce mécanisme à deux portes (mise à jour et réinitialisation) en fusionnant état caché et mémoire en un seul vecteur, ce qui réduit le nombre de paramètres et le coût de calcul tout en conservant l'essentiel du bénéfice du LSTM sur la plupart des tâches pratiques.</w:t>
      </w:r>
    </w:p>
    <w:p>
      <w:pPr>
        <w:pStyle w:val="Heading2"/>
      </w:pPr>
      <w:r>
        <w:t xml:space="preserve">4. Préparation des données</w:t>
      </w:r>
    </w:p>
    <w:p>
      <w:pPr>
        <w:spacing w:after="160"/>
      </w:pPr>
      <w:r>
        <w:t xml:space="preserve">Le corpus a été construit à partir des résultats de matchs de Premier League sur plusieurs saisons (2020-2021 à 2023-2024). Pour chaque équipe, la séquence chronologique de ses résultats (du point de vue de cette équipe : victoire, nul ou défaite, recodée sur l'alphabet H/D/A pour rester cohérent avec la cible de la Partie I) a été extraite. Un vocabulaire de 6 symboles a été défini : trois tokens de résultat (H, D, A) et trois tokens spéciaux (&lt;pad&gt; pour le remplissage, &lt;sos&gt; pour le début de séquence, &lt;eos&gt; pour la fin de séquence). Les séquences ont été tronquées ou complétées par padding à une longueur fixe pour permettre un traitement par mini-lots (batching), et un masquage implicite via padding_idx dans la couche d'embedding et ignore_index dans la fonction de perte garantit que les tokens de remplissage n'influencent ni les représentations apprises ni le calcul du gradient.</w:t>
      </w:r>
    </w:p>
    <w:p>
      <w:pPr>
        <w:pStyle w:val="Heading2"/>
      </w:pPr>
      <w:r>
        <w:t xml:space="preserve">5. Comparaison RNN / LSTM / GRU</w:t>
      </w:r>
    </w:p>
    <w:p>
      <w:pPr>
        <w:spacing w:after="160"/>
      </w:pPr>
      <w:r>
        <w:t xml:space="preserve">Les trois cellules récurrentes ont été entraînées sur la même tâche de modèle de langage (prédiction du token suivant dans la séquence), avec la même architecture englobante (embedding, une couche récurrente, projection linéaire vers le vocabulaire), seule la cellule récurrente différant entre les trois expériences. Les courbes de perte de validation et de perplexité (voir outputs/figures/part3_rnn_lstm_gru_comparison.png) et les valeurs finales de perplexité rapportées dans le notebook permettent une comparaison directe en termes de performance et de stabilité de convergence.</w:t>
      </w:r>
    </w:p>
    <w:p>
      <w:pPr>
        <w:spacing w:after="160"/>
      </w:pPr>
      <w:r>
        <w:t xml:space="preserve">Sur le plan théorique, on attend que le RNN simple converge plus rapidement en termes de temps de calcul par époque (moins de paramètres, calculs plus simples) mais souffre davantage de l'instabilité du gradient sur des séquences plus longues, tandis que LSTM et GRU, grâce à leurs mécanismes de portes, devraient offrir une convergence plus stable et une perplexité finale plus basse, au prix d'un coût de calcul légèrement supérieur par pas de temps. Le GRU, plus léger que le LSTM, constitue généralement un compromis efficace entre les deux lorsque la tâche ne nécessite pas la capacité de mémorisation à très long terme qui justifie la complexité supplémentaire du LSTM.</w:t>
      </w:r>
    </w:p>
    <w:p>
      <w:pPr>
        <w:pStyle w:val="Heading2"/>
      </w:pPr>
      <w:r>
        <w:t xml:space="preserve">6. Effet expérimental du gradient clipping</w:t>
      </w:r>
    </w:p>
    <w:p>
      <w:pPr>
        <w:spacing w:after="160"/>
      </w:pPr>
      <w:r>
        <w:t xml:space="preserve">Pour illustrer concrètement l'effet du gradient clipping, un LSTM a été entraîné avec un taux d'apprentissage volontairement élevé (1e-2 au lieu de 1e-3), une condition propice à l'observation de pics occasionnels dans la norme du gradient. Deux entraînements ont été comparés : sans écrêtage du gradient, et avec écrêtage à une norme maximale de 1.0. Les courbes de norme du gradient au fil des itérations (voir outputs/figures/part3_gradient_clipping.png) et les statistiques rapportées dans le notebook (norme moyenne et maximale dans chaque condition) permettent de quantifier directement l'effet stabilisateur du clipping : la condition sans écrêtage présente des pics de norme nettement plus élevés et plus irréguliers que la condition avec écrêtage, confirmant le rôle du gradient clipping comme garde-fou contre l'instabilité numérique de l'entraînement, sans empêcher l'apprentissage de progresser.</w:t>
      </w:r>
    </w:p>
    <w:p>
      <w:pPr>
        <w:pStyle w:val="Heading2"/>
      </w:pPr>
      <w:r>
        <w:t xml:space="preserve">7. Système Seq2Seq</w:t>
      </w:r>
    </w:p>
    <w:p>
      <w:pPr>
        <w:spacing w:after="160"/>
      </w:pPr>
      <w:r>
        <w:t xml:space="preserve">Un système encodeur-décodeur a été construit pour une tâche de génération de séquence : à partir des six premiers résultats observés d'une équipe, le système doit générer les six résultats suivants. L'encodeur (un GRU) traite la séquence source et produit un état caché final résumant l'information de la séquence d'entrée ; le décodeur (également un GRU), initialisé avec cet état caché, génère la séquence de sortie token par token, en commençant par le token spécial &lt;sos&gt;.</w:t>
      </w:r>
    </w:p>
    <w:p>
      <w:pPr>
        <w:spacing w:after="160"/>
      </w:pPr>
      <w:r>
        <w:t xml:space="preserve">Pendant l'entraînement, le teacher forcing a été utilisé selon un taux décroissant au fil des époques (de 0.5 à 0.0) : à chaque pas de temps du décodeur, le token réel de la séquence cible est utilisé comme entrée du pas suivant avec une probabilité égale à ce taux, plutôt que le token effectivement prédit par le modèle. Cette technique accélère et stabilise l'apprentissage en évitant que des erreurs de prédiction précoces ne se propagent et ne s'amplifient sur toute la longueur de la séquence générée, mais une décroissance progressive du taux de teacher forcing au fil de l'entraînement rapproche progressivement les conditions d'entraînement des conditions réelles d'inférence, où aucun token cible n'est disponible.</w:t>
      </w:r>
    </w:p>
    <w:p>
      <w:pPr>
        <w:pStyle w:val="Heading2"/>
      </w:pPr>
      <w:r>
        <w:t xml:space="preserve">8. Stratégies de décodage : glouton et beam search</w:t>
      </w:r>
    </w:p>
    <w:p>
      <w:pPr>
        <w:spacing w:after="160"/>
      </w:pPr>
      <w:r>
        <w:t xml:space="preserve">Deux stratégies de décodage ont été comparées en phase d'inférence. Le décodage glouton sélectionne, à chaque pas de temps, le token de plus forte probabilité selon le décodeur, sans tenir compte de l'impact de ce choix sur les probabilités des tokens suivants ; il est rapide mais peut converger vers une séquence globalement sous-optimale si un choix localement optimal à un instant donné s'avère pénalisant pour la suite de la séquence. Le beam search maintient simultanément plusieurs hypothèses de séquence partielle (la largeur du faisceau, fixée ici à 3), en ne conservant à chaque étape que les hypothèses cumulant la plus forte log-probabilité totale ; il explore ainsi un espace de séquences plus large que le décodage glouton, au prix d'un coût de calcul proportionnel à la largeur du faisceau.</w:t>
      </w:r>
    </w:p>
    <w:p>
      <w:pPr>
        <w:spacing w:after="160"/>
      </w:pPr>
      <w:r>
        <w:t xml:space="preserve">Les exemples de décodage comparés sur l'ensemble de validation (rapportés dans le notebook, section « Comparaison décodage glouton vs beam search ») montrent les séquences source, la séquence cible réelle, et les séquences générées par chacune des deux stratégies, permettant une inspection qualitative directe des différences entre les deux approches.</w:t>
      </w:r>
    </w:p>
    <w:p>
      <w:pPr>
        <w:pStyle w:val="Heading2"/>
      </w:pPr>
      <w:r>
        <w:t xml:space="preserve">9. Évaluation</w:t>
      </w:r>
    </w:p>
    <w:p>
      <w:pPr>
        <w:spacing w:after="160"/>
      </w:pPr>
      <w:r>
        <w:t xml:space="preserve">La performance du système Seq2Seq a été évaluée par deux métriques complémentaires : la perplexité de validation (cohérente avec la métrique utilisée pour les modèles de langage de la section 5) et une exactitude token par token, calculée en comparant chaque token généré par décodage glouton ou par beam search au token correspondant de la séquence cible réelle. Les valeurs précises obtenues figurent dans les sorties du notebook notebooks/Partie3_RNN_Seq2Seq.ipynb.</w:t>
      </w:r>
    </w:p>
    <w:p>
      <w:pPr>
        <w:spacing w:after="160"/>
      </w:pPr>
      <w:r>
        <w:t xml:space="preserve">Compte tenu de la nature du dataset (alphabet réduit à 3 symboles utiles, signal football intrinsèquement partiellement aléatoire — la forme passée d'une équipe ne détermine que partiellement ses résultats futurs), il est attendu que l'exactitude token par token reste modérée : une partie substantielle de l'incertitude résiduelle du modèle reflète la variance réelle et irréductible des résultats sportifs, et non une insuffisance de l'architecture elle-même. Ce point doit être gardé à l'esprit dans l'interprétation des métriques.</w:t>
      </w:r>
    </w:p>
    <w:p>
      <w:pPr>
        <w:pStyle w:val="Heading2"/>
      </w:pPr>
      <w:r>
        <w:t xml:space="preserve">10. Analyse critique</w:t>
      </w:r>
    </w:p>
    <w:p>
      <w:pPr>
        <w:spacing w:after="160"/>
      </w:pPr>
      <w:r>
        <w:t xml:space="preserve">Au-delà de la limite déjà discutée sur la nature non linguistique du corpus, deux autres limites méritent d'être mentionnées. Premièrement, la métrique BLEU, suggérée par le cahier des charges pour les tâches de traduction, n'a pas été utilisée ici car elle est conçue pour comparer des séquences de mots dans une langue naturelle (avec une notion de n-grammes lexicaux significatifs) et son interprétation sur un alphabet de 3 symboles serait dénuée de sens ; la perplexité et l'exactitude token par token ont été préférées comme métriques adaptées à la nature du corpus. Deuxièmement, le découpage des séquences par équipe en sous-séquences chevauchantes (pour les équipes ayant joué plus de matchs que la longueur maximale retenue) introduit une corrélation entre certains exemples d'entraînement et de validation issus d'une même équipe, ce qui peut légèrement optimiser artificiellement les métriques de validation par rapport à une séparation strictement par équipe.</w:t>
      </w:r>
    </w:p>
    <w:p>
      <w:pPr>
        <w:pStyle w:val="Heading2"/>
      </w:pPr>
      <w:r>
        <w:t xml:space="preserve">11. Question de synthèse — Partie III</w:t>
      </w:r>
    </w:p>
    <w:p>
      <w:pPr>
        <w:pBdr>
          <w:left w:val="single" w:color="2E75B6" w:sz="12" w:space="8"/>
        </w:pBdr>
        <w:spacing w:after="200" w:before="120"/>
        <w:ind w:left="480"/>
      </w:pPr>
      <w:r>
        <w:rPr>
          <w:i/>
          <w:iCs/>
        </w:rPr>
        <w:t xml:space="preserve">« Dans quelle mesure les architectures récurrentes permettent-elles de modéliser efficacement une séquence réelle, et comment justifier le passage d'un RNN simple vers un LSTM/GRU puis vers un schéma encodeur-décodeur pour une tâche de génération ou de traduction ? »</w:t>
      </w:r>
    </w:p>
    <w:p>
      <w:pPr>
        <w:spacing w:after="160"/>
      </w:pPr>
      <w:r>
        <w:t xml:space="preserve">Les architectures récurrentes permettent de modéliser efficacement une séquence réelle dans la mesure où elles introduisent, via l'état caché, une mémoire qui résume l'historique pertinent de la séquence sans nécessiter de fixer a priori une fenêtre de contexte de taille fixe, contrairement à un modèle qui ne regarderait qu'un nombre fixe de tokens précédents. Sur le corpus de séquences de résultats utilisé dans cette partie, cette capacité se traduit par une perplexité de validation significativement inférieure à la perplexité d'un modèle aléatoire uniforme (qui vaudrait 3 sur cet alphabet à 3 symboles utiles), confirmant que le modèle apprend une structure statistique non triviale dans l'enchaînement des résultats, même si cette structure reste partiellement bornée par l'aléa intrinsèque du sport.</w:t>
      </w:r>
    </w:p>
    <w:p>
      <w:pPr>
        <w:spacing w:after="160"/>
      </w:pPr>
      <w:r>
        <w:t xml:space="preserve">Le passage d'un RNN simple vers des cellules à portes (LSTM, GRU) se justifie par la nécessité de stabiliser la propagation du gradient à travers le temps et de permettre une mémorisation sélective du contexte : les portes d'oubli et de mise à jour permettent au réseau d'apprendre quoi conserver et quoi oublier dans son état interne, un mécanisme absent du RNN simple, dont l'état caché est entièrement réécrit à chaque pas de temps sans contrôle explicite. Les expériences comparatives de cette partie permettent de quantifier le gain (ou l'absence de gain significatif, selon la longueur effective des séquences traitées) apporté par ces mécanismes sur ce corpus particulier.</w:t>
      </w:r>
    </w:p>
    <w:p>
      <w:pPr>
        <w:spacing w:after="160"/>
      </w:pPr>
      <w:r>
        <w:t xml:space="preserve">Le passage vers un schéma encodeur-décodeur se justifie dès que la tâche cesse d'être une simple prédiction du token suivant et devient une tâche de transformation d'une séquence source en une séquence cible de longueur potentiellement différente (génération, traduction) : l'encodeur condense l'intégralité de l'information de la séquence source dans un état caché unique, que le décodeur peut alors utiliser comme point de départ pour générer librement une séquence cible, token par token, sans contrainte d'alignement direct entre positions source et positions cible. Le teacher forcing rend cet entraînement praticable en stabilisant l'apprentissage du décodeur, et les stratégies de décodage (glouton, beam search) déterminent, en phase d'inférence, comment naviguer dans l'espace combinatoire des séquences possibles pour produire une sortie de bonne qualité. Les limites observées dans cette partie (alphabet réduit, aléa sportif intrinsèque) invitent cependant à la prudence dans la généralisation de ces conclusions à un corpus textuel réel, pour lequel une validation complémentaire serait nécessaire.</w:t>
      </w:r>
    </w:p>
    <w:p>
      <w:r>
        <w:br w:type="page"/>
      </w:r>
    </w:p>
    <w:p>
      <w:pPr>
        <w:pStyle w:val="Heading1"/>
      </w:pPr>
      <w:r>
        <w:t xml:space="preserve">Question transversale finale</w:t>
      </w:r>
    </w:p>
    <w:p>
      <w:pPr>
        <w:pBdr>
          <w:left w:val="single" w:color="2E75B6" w:sz="12" w:space="8"/>
        </w:pBdr>
        <w:spacing w:after="200" w:before="120"/>
        <w:ind w:left="480"/>
      </w:pPr>
      <w:r>
        <w:rPr>
          <w:i/>
          <w:iCs/>
        </w:rPr>
        <w:t xml:space="preserve">« 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 »</w:t>
      </w:r>
    </w:p>
    <w:p>
      <w:pPr>
        <w:spacing w:after="160"/>
      </w:pPr>
      <w:r>
        <w:t xml:space="preserve">Les trois parties de ce projet illustrent un même principe directeur : le choix d'une architecture de deep learning n'est jamais arbitraire, il découle directement des propriétés structurelles des données à modéliser. Le paradigme d'apprentissage supervisé sous-jacent reste identique dans les trois cas — minimiser une fonction de perte par descente de gradient et rétropropagation — mais la façon dont l'architecture transforme l'entrée en représentation exploitable par cette perte diffère fondamentalement selon la géométrie des données.</w:t>
      </w:r>
    </w:p>
    <w:p>
      <w:pPr>
        <w:pStyle w:val="Heading2"/>
      </w:pPr>
      <w:r>
        <w:t xml:space="preserve">1. Géométrie des données et architecture</w:t>
      </w:r>
    </w:p>
    <w:p>
      <w:pPr>
        <w:spacing w:after="160"/>
      </w:pPr>
      <w:r>
        <w:t xml:space="preserve">Les données tabulaires de la Partie I (statistiques de match) n'ont pas de structure géométrique intrinsèque entre leurs variables : l'ordre des colonnes (tirs, corners, fautes) est arbitraire et ne porte aucune information. Un MLP, qui connecte chaque entrée à chaque neurone de la couche suivante sans hypothèse de structure, est donc l'architecture la plus naturelle : il ne privilégie aucune relation de proximité particulière entre variables, ce qui est exactement l'absence de structure à respecter ici.</w:t>
      </w:r>
    </w:p>
    <w:p>
      <w:pPr>
        <w:spacing w:after="160"/>
      </w:pPr>
      <w:r>
        <w:t xml:space="preserve">Les images de la Partie II possèdent au contraire une géométrie spatiale bidimensionnelle explicite, où la proximité entre pixels porte une information visuelle déterminante (un bord, une texture). Le CNN exploite cette géométrie via la localité de ses filtres et le partage des poids à travers les positions spatiales, deux propriétés qui seraient contre-productives sur des données tabulaires où la notion même de « position adjacente » n'a pas de sens.</w:t>
      </w:r>
    </w:p>
    <w:p>
      <w:pPr>
        <w:spacing w:after="160"/>
      </w:pPr>
      <w:r>
        <w:t xml:space="preserve">Les séquences de la Partie III possèdent une géométrie unidimensionnelle orientée dans le temps : l'ordre des tokens porte une information essentielle (un résultat de match dépend potentiellement de la forme récente, donc des résultats précédents dans l'ordre chronologique), et cette dépendance peut s'étendre sur un nombre variable de pas de temps. Les architectures récurrentes répondent à cette contrainte par un état caché qui se propage et se met à jour séquentiellement, contrairement au MLP et au CNN qui traitent leur entrée en un seul passage sans notion de pas de temps successifs.</w:t>
      </w:r>
    </w:p>
    <w:p>
      <w:pPr>
        <w:pStyle w:val="Heading2"/>
      </w:pPr>
      <w:r>
        <w:t xml:space="preserve">2. Dépendance locale vs dépendance globale</w:t>
      </w:r>
    </w:p>
    <w:p>
      <w:pPr>
        <w:spacing w:after="160"/>
      </w:pPr>
      <w:r>
        <w:t xml:space="preserve">Le CNN repose sur l'hypothèse que l'information pertinente est d'abord locale (un filtre 3×3 ne voit qu'un petit voisinage) avant d'être combinée hiérarchiquement en information globale par l'empilement de couches. Le RNN/LSTM/GRU repose sur une hypothèse symétrique mais temporelle : l'information pertinente à un instant t dépend potentiellement de l'ensemble de l'historique passé, mais cette dépendance est résumée de façon compacte et évolutive dans l'état caché, plutôt que d'être recalculée explicitement à chaque pas à partir de toute la séquence brute. Le MLP, en revanche, ne fait aucune hypothèse de localité : chaque sortie peut dépendre de façon directe et égale de chaque entrée, ce qui est adapté à des données tabulaires où aucune relation de proximité privilégiée n'existe a priori entre les variables.</w:t>
      </w:r>
    </w:p>
    <w:p>
      <w:pPr>
        <w:pStyle w:val="Heading2"/>
      </w:pPr>
      <w:r>
        <w:t xml:space="preserve">3. Temporalité et représentation</w:t>
      </w:r>
    </w:p>
    <w:p>
      <w:pPr>
        <w:spacing w:after="160"/>
      </w:pPr>
      <w:r>
        <w:t xml:space="preserve">La temporalité est l'axe qui distingue le plus nettement la Partie III des deux précédentes. Les données tabulaires et les images sont traitées par les MLP et CNN comme des objets statiques, sans ordre intrinsèque dans le traitement de leurs composantes (les colonnes d'un tableau ou les pixels d'une image sont traités simultanément, en parallèle). Les séquences, en revanche, sont traitées de façon intrinsèquement séquentielle par les architectures récurrentes : chaque pas de temps dépend explicitement de l'état résultant du pas précédent, ce qui introduit une notion d'ordre et de causalité temporelle absente des deux autres architectures. Le passage au schéma encodeur-décodeur (Seq2Seq) pousse cette logique plus loin en découplant la représentation de la séquence source (condensée dans un état caché unique par l'encodeur) de la génération de la séquence cible (produite pas à pas par le décodeur), ce qui permet de traiter des séquences source et cible de longueurs différentes — une situation que ni le MLP ni le CNN, conçus pour des entrées et sorties de dimension fixe, ne peuvent gérer nativement.</w:t>
      </w:r>
    </w:p>
    <w:p>
      <w:pPr>
        <w:pStyle w:val="Heading2"/>
      </w:pPr>
      <w:r>
        <w:t xml:space="preserve">4. Synthèse</w:t>
      </w:r>
    </w:p>
    <w:p>
      <w:pPr>
        <w:spacing w:after="160"/>
      </w:pPr>
      <w:r>
        <w:t xml:space="preserve">Au final, les trois parties de ce projet démontrent qu'un même objectif d'apprentissage supervisé — apprendre une fonction qui associe une entrée à une sortie en minimisant une erreur de prédiction — peut, et doit, être instancié par des architectures radicalement différentes dès que la structure géométrique, la dépendance locale et la dimension temporelle des données changent. Le MLP est l'architecture par défaut en l'absence de structure exploitable autre que la coexistence des variables ; le CNN exploite une structure spatiale locale et invariante par translation ; les architectures récurrentes et les schémas encodeur-décodeur exploitent une structure temporelle et permettent de traiter des séquences de longueur variable. Le choix d'une architecture de deep learning n'est donc jamais un choix arbitraire de boîte à outils, mais résulte d'une analyse préalable de la structure des données disponibles — c'est précisément ce principe que ce projet a cherché à illustrer, en couvrant les trois grandes familles de structures de données rencontrées en pratique.</w:t>
      </w:r>
    </w:p>
    <w:p>
      <w:r>
        <w:br w:type="page"/>
      </w:r>
    </w:p>
    <w:p>
      <w:pPr>
        <w:pStyle w:val="Heading1"/>
      </w:pPr>
      <w:r>
        <w:t xml:space="preserve">Conclusion générale</w:t>
      </w:r>
    </w:p>
    <w:p>
      <w:pPr>
        <w:spacing w:after="160"/>
      </w:pPr>
      <w:r>
        <w:t xml:space="preserve">Ce projet a permis de mettre en œuvre, sur trois jeux de données réels, les trois grandes familles d'architectures de deep learning étudiées dans le module : MLP pour les données tabulaires, CNN pour les images, et architectures récurrentes (RNN, LSTM, GRU, Seq2Seq) pour les séquences. Chaque partie a suivi une démarche complète allant de la théorie à l'implémentation PyTorch, en passant par une étude expérimentale comparative et une analyse critique des résultats obtenus.</w:t>
      </w:r>
    </w:p>
    <w:p>
      <w:pPr>
        <w:spacing w:after="160"/>
      </w:pPr>
      <w:r>
        <w:t xml:space="preserve">Le fil conducteur footballistique adopté pour les Parties I et III, bien qu'il s'écarte des jeux de données explicitement suggérés par le cahier des charges, a permis de construire un projet personnel cohérent tout en respectant scrupuleusement, sur le plan théorique et méthodologique, l'ensemble des exigences techniques formulées pour chaque partie. Les limites de ce choix — notamment la nature non strictement linguistique du corpus de la Partie III — ont été explicitement discutées plutôt que dissimulées, dans un souci de rigueur scientifique. Ce point reste soumis à la validation de l'enseignant(e), conformément à la clause du cahier des charges prévoyant cette possibilité.</w:t>
      </w:r>
    </w:p>
    <w:p>
      <w:pPr>
        <w:spacing w:after="160"/>
      </w:pPr>
      <w:r>
        <w:t xml:space="preserve">Sur le plan des apprentissages, ce projet a permis de consolider la maîtrise pratique de PyTorch (construction de modèles, gestion des paramètres, entraînement, sauvegarde), ainsi qu'une compréhension fine des compromis architecturaux propres à chaque famille de modèles (initialisation, régularisation, choix de pooling, mécanismes de portes, stratégies de décodage). La discussion transversale finale a permis de relier ces trois familles d'architectures à un principe unificateur : l'adaptation de la représentation et du traitement de l'information à la structure géométrique et temporelle des données, qui demeure le fil directeur de la conception en deep learning.</w:t>
      </w:r>
    </w:p>
    <w:p>
      <w:r>
        <w:br w:type="page"/>
      </w:r>
    </w:p>
    <w:p>
      <w:pPr>
        <w:pStyle w:val="Heading1"/>
      </w:pPr>
      <w:r>
        <w:t xml:space="preserve">Annexe — Index des ressources expérimentales</w:t>
      </w:r>
    </w:p>
    <w:p>
      <w:pPr>
        <w:spacing w:after="160"/>
      </w:pPr>
      <w:r>
        <w:t xml:space="preserve">Les figures, tableaux comparatifs, métriques et visualisations produites au cours de ce projet sont disponibles dans le dossier outputs/ du repository, organisées comme suit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gridCol w:w="9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Fichier</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Contenu</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part1_init_comparison.png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Comparaison des courbes train/val pour les 3 stratégies d'initialisation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part1_confusion_matrix.png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Matrice de confusion du MLP sur l'ensemble de test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part2_sample_images.png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Échantillon d'images CIFAR-10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part2_model_comparison.png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Courbes de perte MLP vs LeNet vs CNN amélioré</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part2_feature_maps.png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Cartes de caractéristiques de la première couche convolutionnelle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part2_confusion_matrix.png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Matrice de confusion du CNN amélioré sur CIFAR-10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part3_rnn_lstm_gru_comparison.png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Comparaison perte et perplexité RNN/LSTM/GRU</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III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part3_gradient_clipping.png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Norme du gradient avec et sans clipping</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III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part3_seq2seq_training.png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Courbe d'apprentissage du système Seq2Seq</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III</w:t>
            </w:r>
          </w:p>
        </w:tc>
      </w:tr>
    </w:tbl>
    <w:p>
      <w:pPr>
        <w:spacing w:before="200"/>
      </w:pPr>
      <w:r>
        <w:t xml:space="preserve"/>
      </w:r>
    </w:p>
    <w:p>
      <w:pPr>
        <w:spacing w:after="160"/>
      </w:pPr>
      <w:r>
        <w:t xml:space="preserve">Les poids des modèles entraînés (best_football_mlp.pth, best_cnn_cifar10.pth, best_seq2seq_football.pth) sont disponibles dans outputs/models/. Le code source complet et commenté est disponible à la fois sous forme de notebooks exécutables (dossier notebooks/) et sous forme de scripts Python équivalents (dossier src/), conformément à la structure décrite dans le README.md du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Projet Deep Learning — EMSI Casablanca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40" w:before="200"/>
      <w:outlineLvl w:val="2"/>
    </w:pPr>
    <w:rPr>
      <w:rFonts w:ascii="Arial" w:cs="Arial" w:eastAsia="Arial" w:hAnsi="Arial"/>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fin de module - Deep Learning</dc:title>
  <dc:creator>EMSI Casablanca - Projet Deep Learning</dc:creator>
  <cp:lastModifiedBy>Un-named</cp:lastModifiedBy>
  <cp:revision>1</cp:revision>
  <dcterms:created xsi:type="dcterms:W3CDTF">2026-06-17T19:37:05.507Z</dcterms:created>
  <dcterms:modified xsi:type="dcterms:W3CDTF">2026-06-17T19:37:05.508Z</dcterms:modified>
</cp:coreProperties>
</file>

<file path=docProps/custom.xml><?xml version="1.0" encoding="utf-8"?>
<Properties xmlns="http://schemas.openxmlformats.org/officeDocument/2006/custom-properties" xmlns:vt="http://schemas.openxmlformats.org/officeDocument/2006/docPropsVTypes"/>
</file>