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Monsieur Imad Saleh</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Discipline : Sciences de l’information et de la communication</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2002/... Professeur, Université Paris 8</w:t>
      </w:r>
    </w:p>
    <w:p>
      <w:pPr>
        <w:pStyle w:val="Normal1"/>
        <w:spacing w:lineRule="auto" w:line="240" w:before="240" w:after="240"/>
        <w:rPr/>
      </w:pPr>
      <w:r>
        <w:rPr/>
        <w:t>1997 - 2002, Maître des conférences, Université Paris 8</w:t>
      </w:r>
    </w:p>
    <w:p>
      <w:pPr>
        <w:pStyle w:val="Normal1"/>
        <w:spacing w:lineRule="auto" w:line="240" w:before="240" w:after="240"/>
        <w:rPr/>
      </w:pPr>
      <w:r>
        <w:rPr/>
        <w:t>2012 - 2016, Membre élu du CNU 71e section.</w:t>
      </w:r>
    </w:p>
    <w:p>
      <w:pPr>
        <w:pStyle w:val="Normal1"/>
        <w:spacing w:lineRule="auto" w:line="240" w:before="240" w:after="240"/>
        <w:rPr/>
      </w:pPr>
      <w:r>
        <w:rPr/>
        <w:t>2004 - 2020, Directeur du Laboratoire Paragraphe EA 349 (composé de 9 Professeurs, 41 MCF et 54 doctorants)</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2016/..., Directeur de la série "Digital Tools &amp; Uses" ISTE editions, London, UK.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2012 - 2014, Directeur de l'école doctorale "Cognition, Langage, Interaction"​.</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2006 - 2012, Directeur adjoint de l'école doctorale "Cognition, Langage, Interaction"​.</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2004 - 2006, Directeur de l'école doctorale "Société, Information, Informatique, Communication".</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Aller à la page </w:t>
      </w:r>
      <w:r>
        <w:rPr>
          <w:rFonts w:eastAsia="Roboto" w:cs="Roboto" w:ascii="Roboto" w:hAnsi="Roboto"/>
          <w:sz w:val="21"/>
          <w:szCs w:val="21"/>
        </w:rPr>
        <w:t>2</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0" w:after="240"/>
        <w:jc w:val="both"/>
        <w:rPr>
          <w:rFonts w:ascii="Roboto" w:hAnsi="Roboto" w:eastAsia="Roboto" w:cs="Roboto"/>
          <w:sz w:val="21"/>
          <w:szCs w:val="21"/>
        </w:rPr>
      </w:pPr>
      <w:r>
        <w:rPr>
          <w:rFonts w:eastAsia="Roboto" w:cs="Roboto" w:ascii="Roboto" w:hAnsi="Roboto"/>
          <w:sz w:val="21"/>
          <w:szCs w:val="21"/>
        </w:rPr>
        <w:t>2004 – 2007 : Co-directeur du CITU : Programme commun aux laboratoires LETA et Paragraphe des Universités Paris 1 et Paris 8. le CITU est dédié à la recherche dans le domaine de la création transdisciplinaire et des médias émergents. Ce projet était soutenu par l'Union Européenne (FEDER), le Ministère de la Culture et de la Communication (DRAC Ile de France) et la Région Ile de France.</w:t>
      </w:r>
    </w:p>
    <w:p>
      <w:pPr>
        <w:pStyle w:val="Normal1"/>
        <w:spacing w:lineRule="auto" w:line="240" w:before="240" w:after="240"/>
        <w:jc w:val="both"/>
        <w:rPr>
          <w:rFonts w:ascii="Roboto" w:hAnsi="Roboto" w:eastAsia="Roboto" w:cs="Roboto"/>
          <w:sz w:val="21"/>
          <w:szCs w:val="21"/>
        </w:rPr>
      </w:pPr>
      <w:r>
        <w:rPr>
          <w:rFonts w:eastAsia="Roboto" w:cs="Roboto" w:ascii="Roboto" w:hAnsi="Roboto"/>
          <w:sz w:val="21"/>
          <w:szCs w:val="21"/>
        </w:rPr>
        <w:t>1996/..., Publication : Auteur (une quinzaine d'ouvrages), Directeur de collections (une quarantaine d'ouvrages) et environ 200 Articles dans des conférences ou des revues nationales et internationales.</w:t>
      </w:r>
    </w:p>
    <w:p>
      <w:pPr>
        <w:pStyle w:val="Normal1"/>
        <w:spacing w:lineRule="auto" w:line="240" w:before="240" w:after="240"/>
        <w:jc w:val="both"/>
        <w:rPr>
          <w:rFonts w:ascii="Roboto" w:hAnsi="Roboto" w:eastAsia="Roboto" w:cs="Roboto"/>
          <w:sz w:val="21"/>
          <w:szCs w:val="21"/>
        </w:rPr>
      </w:pPr>
      <w:r>
        <w:rPr>
          <w:rFonts w:eastAsia="Roboto" w:cs="Roboto" w:ascii="Roboto" w:hAnsi="Roboto"/>
          <w:sz w:val="21"/>
          <w:szCs w:val="21"/>
        </w:rPr>
        <w:t>1989/..., Co-fondateur, avec Jean-Pierre Balpe et Roger Laufer, de la conférence H2PTM en 1989. Cette conférence a été parmi les premières conférences sur l’hypertexte et l’hypermédia. En 2021 aura lieu la 16ème édition à Paris 8. Elle est considérée par l’AERES comme le fleuron des conférences en Sciences de l’Information et de la Communication.</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2008/..., Co-fondateur et co-président avec le professeur Abderrezak Dourari du cycle des colloques internationaux sur "La Néologie, les corpus informatisés et les processus d’élaboration des langues de moindre diffusion", Algérie.</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1996/..., Président d'une trentaine de conférences nationales et internationales.</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Aller à la page 3</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r>
    </w:p>
    <w:p>
      <w:pPr>
        <w:pStyle w:val="Normal1"/>
        <w:spacing w:lineRule="auto" w:line="240" w:before="0" w:after="240"/>
        <w:rPr>
          <w:rFonts w:ascii="Roboto" w:hAnsi="Roboto" w:eastAsia="Roboto" w:cs="Roboto"/>
          <w:sz w:val="21"/>
          <w:szCs w:val="21"/>
        </w:rPr>
      </w:pPr>
      <w:r>
        <w:rPr>
          <w:rFonts w:eastAsia="Roboto" w:cs="Roboto" w:ascii="Roboto" w:hAnsi="Roboto"/>
          <w:sz w:val="21"/>
          <w:szCs w:val="21"/>
        </w:rPr>
        <w:t>1996/..., Invité par plusieurs universités étrangères : Canada, Brésil, Vietnam, Japon, Tunisie, Algérie,...</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2002/..., Thèses dirigées et soutenues : 26, Jury ou rapporteur de thèses : 60, Habilitation à Diriger des Recherches (HDR) : 15.</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2001/..., Membre de comités scientifiques de conférences nationales et internationales (environ 300)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2005 - 2015, Directeur du département Hypermédia.</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2000/..., Expertises nationales et internationales :  AERES, ANR, ANRT/CIFRE, Programme Fernand Braudel FMSH, Cap Digital, Projets Europiens, Erasmus.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2004/..., Créateur et responsable du master « Technologie de l’hypermédia (M2)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2013/..., Co-créateur et co-responsable du master « Analyse et Valorisation des usages numériques (M2) ».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2006/..., Directeur de la collection « Information, Hypermédia, Communication », aux Editions Hermès Science Publishing/Lavoisier.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2006/..., Membres de comité d'une dizaine de revues nationales et internationales.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2004/…, Membres de comité de sélections de la 71ème section des universités (Paris 8, Rennes 2, Aix-en-Provence, Haute-Savoie, CNAM…).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 xml:space="preserve">2006 – 2014, Membre invité du conseil scientifique de l’université Paris 8 et de l’université Cergy-Pontoise. </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2001/…, Lauréat de plusieurs projets de recherches à hauteur de 3 millions Euros.</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1990 - 1996 : Gérant et directeur de la société informatique : MS2I (spécialisée en Bases de données et de l'intelligence artificielle).</w:t>
      </w:r>
    </w:p>
    <w:p>
      <w:pPr>
        <w:pStyle w:val="Normal1"/>
        <w:spacing w:lineRule="auto" w:line="240" w:before="240" w:after="240"/>
        <w:rPr>
          <w:rFonts w:ascii="Roboto" w:hAnsi="Roboto" w:eastAsia="Roboto" w:cs="Roboto"/>
          <w:sz w:val="21"/>
          <w:szCs w:val="21"/>
        </w:rPr>
      </w:pPr>
      <w:r>
        <w:rPr>
          <w:rFonts w:eastAsia="Roboto" w:cs="Roboto" w:ascii="Roboto" w:hAnsi="Roboto"/>
          <w:sz w:val="21"/>
          <w:szCs w:val="21"/>
        </w:rPr>
        <w:t>Aller à la page 1</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492</Words>
  <Characters>2894</Characters>
  <CharactersWithSpaces>3370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2022-10-02T15:25:54Z</dcterms:modified>
  <cp:revision>2</cp:revision>
  <dc:subject/>
  <dc:title/>
</cp:coreProperties>
</file>