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left"/>
      </w:pPr>
      <w:r>
        <w:rPr>
          <w:rFonts w:ascii="Arial" w:hAnsi="Arial"/>
          <w:b/>
          <w:color w:val="1F4E78"/>
          <w:sz w:val="40"/>
        </w:rPr>
        <w:t>Mapeo de Integración: Rendiciones, Cobros y Liquidaciones</w:t>
      </w:r>
    </w:p>
    <w:p>
      <w:pPr>
        <w:spacing w:after="480"/>
      </w:pPr>
      <w:r>
        <w:rPr>
          <w:rFonts w:ascii="Arial" w:hAnsi="Arial"/>
          <w:i/>
          <w:color w:val="595959"/>
          <w:sz w:val="24"/>
        </w:rPr>
        <w:t>Especificación de Interfaz de Salida (POST) al ERP - Proyecto TSP</w:t>
      </w:r>
    </w:p>
    <w:p>
      <w:pPr>
        <w:spacing w:before="240" w:after="160"/>
      </w:pPr>
      <w:r>
        <w:rPr>
          <w:rFonts w:ascii="Arial" w:hAnsi="Arial"/>
          <w:b/>
          <w:color w:val="1F4E78"/>
          <w:sz w:val="28"/>
        </w:rPr>
        <w:t>1. Introducción y Contexto de la Interfaz</w:t>
      </w:r>
    </w:p>
    <w:p>
      <w:pPr>
        <w:spacing w:after="240"/>
      </w:pPr>
      <w:r>
        <w:t xml:space="preserve">El presente documento especifica el mapeo de campos y el funcionamiento lógico de la interfaz POST utilizada para enviar los datos de </w:t>
      </w:r>
      <w:r>
        <w:rPr>
          <w:b/>
        </w:rPr>
        <w:t>Cobros (Cobranzas) y Liquidaciones (Rendiciones de viaje)</w:t>
      </w:r>
      <w:r>
        <w:t xml:space="preserve"> desde el sistema de base de datos </w:t>
      </w:r>
      <w:r>
        <w:rPr>
          <w:b/>
        </w:rPr>
        <w:t>UniGIS TMS (Proyecto TSP)</w:t>
      </w:r>
      <w:r>
        <w:t xml:space="preserve"> hacia el sistema ERP del cliente. El objetivo principal es la sincronización y conciliación financiera de los viajes una vez ejecutados.</w:t>
      </w:r>
    </w:p>
    <w:p>
      <w:pPr>
        <w:spacing w:after="360"/>
      </w:pPr>
      <w:r>
        <w:t>La base de datos del proyecto TSP es idéntica a la del entorno EUP (Europastry ES, bajo modelo de Shipper/Cargador), por lo que comparte su modelo físico de tablas base (dbo.Vehiculo, dbo.Conductor, dbo.Transporte, dbo.Cobros, dbo.Parada). La diferencia radica exclusivamente en los campos dinámicos custom (sufijos _Dyn) definidos para el negocio de TSP.</w:t>
      </w:r>
    </w:p>
    <w:p>
      <w:pPr>
        <w:spacing w:before="360" w:after="160"/>
      </w:pPr>
      <w:r>
        <w:rPr>
          <w:rFonts w:ascii="Arial" w:hAnsi="Arial"/>
          <w:b/>
          <w:color w:val="1F4E78"/>
          <w:sz w:val="28"/>
        </w:rPr>
        <w:t>2. Arquitectura de Cobros y Rendiciones (Modelo de BD)</w:t>
      </w:r>
    </w:p>
    <w:p>
      <w:pPr>
        <w:spacing w:after="120"/>
      </w:pPr>
      <w:r>
        <w:t>En la base de datos transaccional del TMS (SQL Server), el circuito financiero del viaje se gestiona a través de las siguientes tablas:</w:t>
      </w:r>
    </w:p>
    <w:p>
      <w:pPr>
        <w:pStyle w:val="ListBullet"/>
      </w:pPr>
      <w:r>
        <w:rPr>
          <w:b/>
        </w:rPr>
        <w:t xml:space="preserve">dbo.Cobros: </w:t>
      </w:r>
      <w:r>
        <w:t>Almacena las transacciones de pago realizadas físicamente por los conductores a través del móvil (Efectivo, Tarjeta, TPV, Cheque, Pagaré). Contiene el importe cobrado, número de recibo, banco, fecha de vencimiento y foto del comprobante.</w:t>
      </w:r>
    </w:p>
    <w:p>
      <w:pPr>
        <w:pStyle w:val="ListBullet"/>
      </w:pPr>
      <w:r>
        <w:rPr>
          <w:b/>
        </w:rPr>
        <w:t xml:space="preserve">dbo.ParadaCobro: </w:t>
      </w:r>
      <w:r>
        <w:t>Tabla puente que asocia cada cobro realizado con la parada (dbo.Parada) del viaje correspondiente.</w:t>
      </w:r>
    </w:p>
    <w:p>
      <w:pPr>
        <w:pStyle w:val="ListBullet"/>
      </w:pPr>
      <w:r>
        <w:rPr>
          <w:b/>
        </w:rPr>
        <w:t xml:space="preserve">dbo.Parada (TipoParada = 10 - Rendición): </w:t>
      </w:r>
      <w:r>
        <w:t>Al finalizar el viaje, un Stored Procedure (como dbo.Z_SP_GenerarRendicion_V2) evalúa los rechazos y mercancías sobrantes, generando una parada especial de tipo 10 (Rendición/Liquidación) con los bultos/pesos sobrantes a retornar al depósito de llegada.</w:t>
      </w:r>
    </w:p>
    <w:p>
      <w:pPr>
        <w:pStyle w:val="ListBullet"/>
        <w:spacing w:after="360"/>
      </w:pPr>
      <w:r>
        <w:rPr>
          <w:b/>
        </w:rPr>
        <w:t xml:space="preserve">Relación con el Viaje: </w:t>
      </w:r>
      <w:r>
        <w:t>El viaje (dbo.Viaje) actúa como el eje agrupador de la ejecución. Relaciona el vehículo (dbo.Vehiculo), el conductor (dbo.Conductor) y la empresa transportista (dbo.Transporte). El ERP utiliza estas relaciones para liquidar las tarifas y consolidar los cobros.</w:t>
      </w:r>
    </w:p>
    <w:p>
      <w:pPr>
        <w:spacing w:before="360" w:after="160"/>
      </w:pPr>
      <w:r>
        <w:rPr>
          <w:rFonts w:ascii="Arial" w:hAnsi="Arial"/>
          <w:b/>
          <w:color w:val="1F4E78"/>
          <w:sz w:val="28"/>
        </w:rPr>
        <w:t>3. Tabla de Mapeo del JSON (POST al ERP)</w:t>
      </w:r>
    </w:p>
    <w:p>
      <w:pPr>
        <w:spacing w:after="240"/>
      </w:pPr>
      <w:r>
        <w:t>A continuación se detalla cómo mapear cada propiedad del payload JSON con las tablas y columnas estándar y dinámicas de la base de datos de UniGIS / TSP (idéntica a EUP):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Nodo / Campo JSON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Tabla de BD</w:t>
            </w:r>
          </w:p>
        </w:tc>
        <w:tc>
          <w:tcPr>
            <w:tcW w:type="dxa" w:w="1872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Columna de BD</w:t>
            </w:r>
          </w:p>
        </w:tc>
        <w:tc>
          <w:tcPr>
            <w:tcW w:type="dxa" w:w="1440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 de Mapeo</w:t>
            </w:r>
          </w:p>
        </w:tc>
        <w:tc>
          <w:tcPr>
            <w:tcW w:type="dxa" w:w="1728"/>
            <w:shd w:val="clear" w:color="auto" w:fill="1F4E78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Explicación / Regla de Negocio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ApiKey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N/A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Estático / Config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Token de autorización para la API de comunicación con el ERP.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FechaDesde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dbo.Viaje / dbo.Cobros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Fecha / FechaHora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Filtro de Fecha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Inicio del rango de liquidaciones/cobros a procesar en el lote.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FechaHasta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dbo.Viaje / dbo.Cobros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Fecha / FechaHora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Filtro de Fecha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Fin del rango de liquidaciones/cobros a procesar en el lote.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CodigoSucursal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dbo.Sucursal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ReferenciaExterna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Filtro / 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Código de la sucursal/depósito emisor de las operaciones.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EstadoGuias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dbo.Guia / dbo.OrdenPedido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IdEstado / Estado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Filtro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Código de estado de los documentos de entrega a incluir (entregados, cobrados).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TipoGuia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dbo.Guia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IdTipoGuia (o .Tipo)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Filtro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Tipo de documento asociado al cobro (Factura, Remito, Albarán).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CodigoOperacion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dbo.Operacion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ReferenciaExterna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Filtro / 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Código de la operación comercial a la que pertenece la flota.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Vehiculo.Dominio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Dominio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Matrícula/patente principal de la tractora (camión). Clave primaria de búsqueda.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Vehiculo.DominioSemi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DominioSecundario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Matrícula/patente del remolque/acoplado asignado.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Vehiculo.NroSerie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NroSerie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Número de chasis/serie del fabricante.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Vehiculo.Prestador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Prestador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Proveedor o prestador del servicio del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Vehiculo.Flota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Flota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Clasificación de flota interna del dador de carga.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Vehiculo.Chasis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Chasis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Número de chasis del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Vehiculo.Volumen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Volumen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Capacidad volumétrica en metros cúbicos.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Vehiculo.Peso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Peso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Capacidad de peso en kilogramos.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Vehiculo.Ciudad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Ciudad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Ciudad de base del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Vehiculo.Marca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Marca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Marca del fabricante (ej: Scania, Volvo).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Vehiculo.Modelo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Modelo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Modelo del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Vehiculo.Combustible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Combustible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Tipo de combustible (Diésel, Eléctrico, etc.).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Vehiculo.TipoVehiculo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IdTipoVehiculo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Relación / ID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Clave foránea que resuelve en dbo.TipoVehiculo.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Vehiculo.Propietario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dbo.Propietario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Nombre / ReferenciaExterna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56B3"/>
                <w:sz w:val="17"/>
              </w:rPr>
              <w:t>Relación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Titular legal del vehículo (dueño de la chapa).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Vehiculo.Conductor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Nombre / ReferenciaExterna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56B3"/>
                <w:sz w:val="17"/>
              </w:rPr>
              <w:t>Relación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Conductor habitual asignado al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Vehiculo.Transporte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RazonSocial / Referencia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56B3"/>
                <w:sz w:val="17"/>
              </w:rPr>
              <w:t>Relación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Transportista contratado responsable del equipo.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Vehiculo.ReferenciaExterna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ReferenciaExterna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ID integrador utilizado por el ERP para identificar el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Vehiculo.Tara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Tara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Peso vacío (tara) del vehículo.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Vehiculo.IdEstadoVehiculo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IdEstadoVehiculo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ID del estado operacional en UniGIS.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Vehiculo.FechaFabricacion_opcional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dbo.Vehiculo_Dyn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FechaFabricacion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Dinámico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Fecha de fabricación del camión (para control de antigüedad en ERP).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Vehiculo.IdEstado_opcional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dbo.Vehiculo_Dyn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IdEstado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C00000"/>
                <w:sz w:val="17"/>
              </w:rPr>
              <w:t>Dinámico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Código de estado extendido en la tabla dinámica.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Vehiculo.IntegrarRNDC_Opcional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dbo.Vehiculo_Dyn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IntegrarRNDC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Dinámico (Boolean)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Indica si debe reportarse al Registro Nacional de Despacho de Carga (Argentina).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Vehiculo.IntegrarCTE_Opcional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dbo.Vehiculo_Dyn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IntegrarCTE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Dinámico (Boolean)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Indica si debe reportarse al Conhecimento de Transporte (Brasil).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Vehiculo.Varchar1 ... Varchar8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Varchar1 ... Varchar8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Estándar / Custom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Campos de texto libre mapeables para datos del ERP.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Vehiculo.Int1, Int2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dbo.Vehiculo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Int1, Int2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595959"/>
                <w:sz w:val="17"/>
              </w:rPr>
              <w:t>Estándar / Custom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Campos enteros libres.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Transporte.Referencia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Referencia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Código interno del transportista. Clave primaria lógica.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Transporte.Cuit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Cuit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Identificación fiscal de la empresa de transporte (CUIT/RUT).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Transporte.RazonSocial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RazonSocial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Nombre legal del transportista.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Transporte.NombreFantasia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NombreFantasia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Nombre comercial.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Transporte.Email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Email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Contacto de facturación o liquidaciones.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Transporte.Direccion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dbo.Transporte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Direccion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Domicilio fiscal de la empresa.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Conductor.NroDocumento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NroDocumento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Número de documento (DNI/Cédula). Clave única del conductor.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Conductor.Login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Login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Usuario de la App Mobile que registró los cobros.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Conductor.Nombre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Nombre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Nombre del conductor.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Conductor.Apellido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Apellido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Apellido del conductor.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Conductor.Licencia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Licencia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Número de carnet/licencia de conducción.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Conductor.Vencimiento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Vencimiento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Fecha de vencimiento del carnet.</w:t>
            </w:r>
          </w:p>
        </w:tc>
      </w:tr>
      <w:tr>
        <w:tc>
          <w:tcPr>
            <w:tcW w:type="dxa" w:w="2592"/>
          </w:tcPr>
          <w:p>
            <w:pPr>
              <w:spacing w:before="40" w:after="40"/>
            </w:pPr>
            <w:r>
              <w:rPr>
                <w:sz w:val="17"/>
              </w:rPr>
              <w:t>Conductor.ReferenciaExterna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dbo.Conductor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>
              <w:rPr>
                <w:sz w:val="17"/>
              </w:rPr>
              <w:t>ReferenciaExterna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>
              <w:rPr>
                <w:b/>
                <w:color w:val="008000"/>
                <w:sz w:val="17"/>
              </w:rPr>
              <w:t>Estándar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sz w:val="17"/>
              </w:rPr>
              <w:t>ID integrador del conductor en el ERP.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Arial" w:hAnsi="Arial"/>
          <w:b/>
          <w:color w:val="1F4E78"/>
          <w:sz w:val="28"/>
        </w:rPr>
        <w:t>4. Configuración de Campos Dinámicos (Tablas _Dyn)</w:t>
      </w:r>
    </w:p>
    <w:p>
      <w:pPr>
        <w:spacing w:after="120"/>
      </w:pPr>
      <w:r>
        <w:t>Al igual que en EUP, la base de datos de TSP utiliza tablas de extensión con sufijo '_Dyn' para almacenar los datos que no caben en el estándar de UniGIS pero son críticos para el ERP. Las reglas de correspondencia son:</w:t>
      </w:r>
    </w:p>
    <w:p>
      <w:pPr>
        <w:pStyle w:val="ListBullet"/>
      </w:pPr>
      <w:r>
        <w:rPr>
          <w:b/>
        </w:rPr>
        <w:t xml:space="preserve">dbo.Vehiculo_Dyn: </w:t>
      </w:r>
      <w:r>
        <w:t>Debe tener creadas las columnas para almacenar FechaFabricacion, IdEstadoVehiculo, Tara, y los flags de reportes fiscales (IntegrarRNDC, IntegrarCTE). Si el JSON contiene estos campos con valor, la interfaz los persiste en esta tabla relacionándolos por el Dominio o IdVehiculo.</w:t>
      </w:r>
    </w:p>
    <w:p>
      <w:pPr>
        <w:pStyle w:val="ListBullet"/>
      </w:pPr>
      <w:r>
        <w:rPr>
          <w:b/>
        </w:rPr>
        <w:t xml:space="preserve">dbo.Conductor_Dyn: </w:t>
      </w:r>
      <w:r>
        <w:t>Almacena la fecha de nacimiento y los estados fiscales del conductor. Se relaciona mediante el IdConductor o NroDocumento.</w:t>
      </w:r>
    </w:p>
    <w:p>
      <w:pPr>
        <w:pStyle w:val="ListBullet"/>
      </w:pPr>
      <w:r>
        <w:rPr>
          <w:b/>
        </w:rPr>
        <w:t xml:space="preserve">dbo.Transporte_Dyn: </w:t>
      </w:r>
      <w:r>
        <w:t>Almacena el estado administrativo en la publicación de ofertas de viajes (Tendering) y sus flags correspondientes.</w:t>
      </w:r>
    </w:p>
    <w:p>
      <w:pPr>
        <w:spacing w:before="360" w:after="160"/>
      </w:pPr>
      <w:r>
        <w:rPr>
          <w:rFonts w:ascii="Arial" w:hAnsi="Arial"/>
          <w:b/>
          <w:color w:val="1F4E78"/>
          <w:sz w:val="28"/>
        </w:rPr>
        <w:t>5. Sincronización y Conciliación con el ERP</w:t>
      </w:r>
    </w:p>
    <w:p>
      <w:pPr>
        <w:spacing w:after="120"/>
      </w:pPr>
      <w:r>
        <w:t>Cuando el ERP recibe el POST con este JSON, ejecuta los siguientes cruces en su módulo de finanzas y tesorería:</w:t>
      </w:r>
    </w:p>
    <w:p>
      <w:pPr>
        <w:pStyle w:val="ListBullet"/>
      </w:pPr>
      <w:r>
        <w:rPr>
          <w:b/>
        </w:rPr>
        <w:t xml:space="preserve">Conciliación de Cobros: </w:t>
      </w:r>
      <w:r>
        <w:t>El ERP cruza los documentos de facturación (Guias/Pedidos) incluidos en la consulta con las transacciones registradas en dbo.Cobros para verificar el pago efectivo (Efectivo/TPV/Cheque). Si hay diferencias (Caso 2: menor al total, Caso 3: cobro en exceso), se generan las cuentas corrientes de cliente correspondientes.</w:t>
      </w:r>
    </w:p>
    <w:p>
      <w:pPr>
        <w:pStyle w:val="ListBullet"/>
      </w:pPr>
      <w:r>
        <w:rPr>
          <w:b/>
        </w:rPr>
        <w:t xml:space="preserve">Liquidación de Transportistas: </w:t>
      </w:r>
      <w:r>
        <w:t>Utilizando el vehículo (Dominio), conductor (NroDocumento) y transportista (Referencia/Cuit), el ERP valida las tarifas acordadas en el contrato para calcular el pago del flete al transportista (dbo.Transporte), descontando posibles incidencias (rechazos/sobrantes) informadas en la parada de tipo 10 (Rendición).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