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Arial" w:hAnsi="Arial"/>
          <w:b/>
          <w:color w:val="1F4E78"/>
          <w:sz w:val="44"/>
        </w:rPr>
        <w:t>Mapeo de Integración IFTMIN (XML) ➔ UNIGIS (BD)</w:t>
      </w:r>
    </w:p>
    <w:p>
      <w:pPr>
        <w:spacing w:after="480"/>
      </w:pPr>
      <w:r>
        <w:rPr>
          <w:rFonts w:ascii="Arial" w:hAnsi="Arial"/>
          <w:i/>
          <w:color w:val="595959"/>
          <w:sz w:val="26"/>
        </w:rPr>
        <w:t>Validación, Correcciones de Concepto y Completitud de Campos</w:t>
      </w:r>
    </w:p>
    <w:p>
      <w:pPr>
        <w:spacing w:after="360"/>
      </w:pPr>
      <w:r>
        <w:t xml:space="preserve">Este documento presenta el análisis y mapeo validado para la integración de los mensajes XML de instrucción de transporte </w:t>
      </w:r>
      <w:r>
        <w:rPr>
          <w:b/>
        </w:rPr>
        <w:t>IFTMIN (EDIFACT / Portic)</w:t>
      </w:r>
      <w:r>
        <w:t xml:space="preserve"> hacia el sistema de base de datos de </w:t>
      </w:r>
      <w:r>
        <w:rPr>
          <w:b/>
        </w:rPr>
        <w:t>UNIGIS TMS (Europastry)</w:t>
      </w:r>
      <w:r>
        <w:t>. Las modificaciones resuelven inconsistencias críticas de negocio encontradas en el borrador original y completan campos obligatorios para el flujo terrestre/marítimo.</w:t>
      </w:r>
    </w:p>
    <w:p>
      <w:pPr>
        <w:spacing w:before="240" w:after="160"/>
      </w:pPr>
      <w:r>
        <w:rPr>
          <w:rFonts w:ascii="Arial" w:hAnsi="Arial"/>
          <w:b/>
          <w:color w:val="1F4E78"/>
          <w:sz w:val="30"/>
        </w:rPr>
        <w:t>1. Tabla de Mapeo Validada y Completada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 XML (IFTMIN)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 BD Original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Campo BD Propuesto</w:t>
            </w:r>
          </w:p>
        </w:tc>
        <w:tc>
          <w:tcPr>
            <w:tcW w:type="dxa" w:w="115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44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Descripción y Notas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tred_document.message.number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Viaje.ReferenciaExteterna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Viaje.ReferenciaExterna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Corrección de error tipográfico (ReferenciaExteterna -&gt; ReferenciaExterna). ID externo del viaje.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tred_date.time.period (137)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 o Viaje.FechaCreacion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Calificador 137 representa la fecha de emisión del mensaje/documento.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tred_id.of.the.means.of.transport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Vehiculo.Dominio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Vehiculo.Dominio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Matrícula del camión (patente) o ID del buque (TDT).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tred_carrier.name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Empresa.RazonSocial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Transporte.RazonSocial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En UNIGIS, Empresa es el dador de carga (Tenant). El carrier se modela en la entidad Transporte (o Transportista).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tred_date.time.period (200)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Viaje.FechaInicioPlan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Viaje.FechaInicioPlan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Calificador 200 representa la fecha estimada de salida/inicio plan.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tred_date.time.period (2)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Viaje.FechaFinPlan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Viaje.FechaFinPlan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Calificador 2 representa la fecha estimada de entrega/fin de viaje.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tred_party.id.identification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Transporte.CUIT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Transporte.CUIT (o .ReferenciaExterna)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Identificación fiscal del transportista (si la parte es CA).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tred_name.and.address.line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Empresa.RazonSocial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Sucursal.Nombre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Al estar dentro del bloque NAD que describe el destino/origen, representa el nombre de la sucursal/parada, no de la Empresa.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tred_street.and.number...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Sucursal.Direccion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Sucursal.Direccion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Dirección física de la parada.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tred_city.name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Sucursal.Localidad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Sucursal.Localidad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Localidad/Ciudad del punto de parada.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tred_post.code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Sucursal.CodigoPostal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Sucursal.CodigoPostal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Código Postal.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trcd_reference (BN)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[Vacío]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Viaje.ReferenciaAdicional</w:t>
              <w:br/>
              <w:t>(o Viaje.Z_BookingNumber)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Completado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BN = Booking Number. Si Viaje.ReferenciaExterna ya se usa para el ID de mensaje, se guarda en campos adicionales.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tred_goods.item.number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ParadaItem.Orden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ParadaItem.Orden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Índice o renglón de ítem en la parada.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tred_number.of.packages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ParadaItem.Cantidad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ParadaItem.Cantidad (o .Bultos)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Cantidad de bultos declarados para el ítem.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tred_free.text (AAA)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ParadaItem.Descripcion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ParadaItem.Descripcion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Calificador AAA representa la descripción de la mercadería.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tred_type.of.packages.id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ParadaItem.TipoITem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ParadaItem.TipoItem (o .Z_TipoBulto)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Corrección de mayúsculas (TipoITem -&gt; TipoItem). Tipo de embalaje (Caja, Palet, etc.).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tred_equipment.id.number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ParadaItem_Dyn.Z_PromocionCampana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Parada_Dyn.Z_Contenedor</w:t>
              <w:br/>
              <w:t>(o UnidadContenedora.RefExt)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Grave: Este campo lleva la sigla/número del contenedor (ej. MSKU1234567). No tiene relación con una promoción/campaña.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anxe_sender.identification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Parada.Idcliente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Parada.IdCliente</w:t>
              <w:br/>
              <w:t>(o Viaje.Z_TerminalID)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Corrección de mayúsculas (Idcliente -&gt; IdCliente). Representa la terminal/depósito origen del mensaje.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tred_transport.stage.qualifier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Viaje_Dyn.Etapa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Viaje_Dyn.Etapa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Correcto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Define la etapa del transporte (ej. principal, previo).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tred_seal.number</w:t>
            </w:r>
          </w:p>
        </w:tc>
        <w:tc>
          <w:tcPr>
            <w:tcW w:type="dxa" w:w="172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Viaje_Dyn.IdPrecinto</w:t>
            </w:r>
          </w:p>
        </w:tc>
        <w:tc>
          <w:tcPr>
            <w:tcW w:type="dxa" w:w="1872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Parada_Dyn.Z_Precinto</w:t>
              <w:br/>
              <w:t>(o Viaje_Dyn.IdPrecinto)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Corregido</w:t>
            </w:r>
          </w:p>
        </w:tc>
        <w:tc>
          <w:tcPr>
            <w:tcW w:type="dxa" w:w="2448"/>
          </w:tcPr>
          <w:p>
            <w:pPr>
              <w:spacing w:before="40" w:after="40"/>
              <w:jc w:val="left"/>
            </w:pPr>
            <w:r>
              <w:rPr>
                <w:sz w:val="17"/>
              </w:rPr>
              <w:t>El precinto se asocia físicamente al contenedor. Dado que 1 Contenedor = 1 Parada, se recomienda a nivel parada.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1F4E78"/>
          <w:sz w:val="30"/>
        </w:rPr>
        <w:t>2. Detalles de Correcciones Críticas</w:t>
      </w:r>
    </w:p>
    <w:p>
      <w:pPr>
        <w:pStyle w:val="ListBullet"/>
      </w:pPr>
      <w:r>
        <w:rPr>
          <w:b/>
        </w:rPr>
        <w:t xml:space="preserve">Número de Contenedor (tred_equipment.id.number): </w:t>
      </w:r>
      <w:r>
        <w:t xml:space="preserve">En tu borrador estaba asignado a 'ParadaItem_Dyn.Z_PromocionCampana'. Esto sobrescribiría datos comerciales de campaña con la sigla física del contenedor (ej. MSKU1234567). Se ha corregido para apuntar a </w:t>
      </w:r>
      <w:r>
        <w:rPr>
          <w:b/>
        </w:rPr>
        <w:t>Parada_Dyn.Z_Contenedor</w:t>
      </w:r>
      <w:r>
        <w:t xml:space="preserve"> (atributo custom en parada) o a la entidad nativa </w:t>
      </w:r>
      <w:r>
        <w:rPr>
          <w:b/>
        </w:rPr>
        <w:t>UnidadContenedora.ReferenciaExterna</w:t>
      </w:r>
      <w:r>
        <w:t>.</w:t>
      </w:r>
    </w:p>
    <w:p>
      <w:pPr>
        <w:pStyle w:val="ListBullet"/>
      </w:pPr>
      <w:r>
        <w:rPr>
          <w:b/>
        </w:rPr>
        <w:t xml:space="preserve">Asignación de Precintos (tred_seal.number): </w:t>
      </w:r>
      <w:r>
        <w:t xml:space="preserve">Mapearlo a 'Viaje_Dyn.IdPrecinto' asume que todo el viaje terrestre lleva un único precinto. Si el viaje transporta múltiples contenedores (paradas), cada parada debe llevar su precinto independiente. Se recomienda utilizar </w:t>
      </w:r>
      <w:r>
        <w:rPr>
          <w:b/>
        </w:rPr>
        <w:t>Parada_Dyn.Z_Precinto</w:t>
      </w:r>
      <w:r>
        <w:t xml:space="preserve"> o la relación nativa de recursos.</w:t>
      </w:r>
    </w:p>
    <w:p>
      <w:pPr>
        <w:pStyle w:val="ListBullet"/>
      </w:pPr>
      <w:r>
        <w:rPr>
          <w:b/>
        </w:rPr>
        <w:t xml:space="preserve">Concepto de Empresa y Transporte: </w:t>
      </w:r>
      <w:r>
        <w:t xml:space="preserve">En UNIGIS, 'Empresa' representa a tu propia compañía (dador de carga/tenant). El transportista contratado debe guardarse en </w:t>
      </w:r>
      <w:r>
        <w:rPr>
          <w:b/>
        </w:rPr>
        <w:t>Transporte.RazonSocial</w:t>
      </w:r>
      <w:r>
        <w:t xml:space="preserve">. Del mismo modo, el nombre del punto físico de carga/descarga (ej. terminal o depósito) es </w:t>
      </w:r>
      <w:r>
        <w:rPr>
          <w:b/>
        </w:rPr>
        <w:t>Sucursal.Nombre</w:t>
      </w:r>
      <w:r>
        <w:t xml:space="preserve"> y no la razón social de la empresa.</w:t>
      </w:r>
    </w:p>
    <w:p>
      <w:pPr>
        <w:pStyle w:val="ListBullet"/>
      </w:pPr>
      <w:r>
        <w:rPr>
          <w:b/>
        </w:rPr>
        <w:t xml:space="preserve">Booking Number (trcd_reference - BN): </w:t>
      </w:r>
      <w:r>
        <w:t xml:space="preserve">Se completó el campo vacío mapeándolo a </w:t>
      </w:r>
      <w:r>
        <w:rPr>
          <w:b/>
        </w:rPr>
        <w:t>Viaje.ReferenciaAdicional</w:t>
      </w:r>
      <w:r>
        <w:t xml:space="preserve"> o </w:t>
      </w:r>
      <w:r>
        <w:rPr>
          <w:b/>
        </w:rPr>
        <w:t>Viaje.Z_BookingNumber</w:t>
      </w:r>
      <w:r>
        <w:t>, dado que la referencia externa principal del viaje está ocupada por el número único del mensaje XML.</w:t>
      </w:r>
    </w:p>
    <w:p>
      <w:pPr>
        <w:pStyle w:val="ListBullet"/>
      </w:pPr>
      <w:r>
        <w:rPr>
          <w:b/>
        </w:rPr>
        <w:t xml:space="preserve">Errores Tipográficos y Casing: </w:t>
      </w:r>
      <w:r>
        <w:t>Se corrigieron errores de tipeo y minúsculas: 'ReferenciaExteterna' a 'ReferenciaExterna', 'Idcliente' a 'IdCliente' y 'TipoITem' a 'TipoItem'.</w:t>
      </w:r>
    </w:p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1F4E78"/>
          <w:sz w:val="30"/>
        </w:rPr>
        <w:t>3. Campos Adicionales Recomendados</w:t>
      </w:r>
    </w:p>
    <w:p>
      <w:pPr>
        <w:spacing w:after="120"/>
      </w:pPr>
      <w:r>
        <w:t>Para lograr un mapeo robusto del contenedor, sugerimos añadir al flujo XML los siguientes campos típicos de IFTMIN:</w:t>
      </w:r>
    </w:p>
    <w:p>
      <w:pPr>
        <w:pStyle w:val="ListBullet"/>
      </w:pPr>
      <w:r>
        <w:rPr>
          <w:b/>
        </w:rPr>
        <w:t>tred_equipment.size.and.type</w:t>
      </w:r>
      <w:r>
        <w:t xml:space="preserve"> (Tamaño/Tipo ISO, ej. 45G1, 20GP) ➔ Mapear a </w:t>
      </w:r>
      <w:r>
        <w:rPr>
          <w:b/>
        </w:rPr>
        <w:t>Parada_Dyn.Z_TipoContenedor</w:t>
      </w:r>
      <w:r>
        <w:t xml:space="preserve"> o </w:t>
      </w:r>
      <w:r>
        <w:rPr>
          <w:b/>
        </w:rPr>
        <w:t>TipoUnidadContenedora.ReferenciaExterna</w:t>
      </w:r>
      <w:r>
        <w:t>.</w:t>
      </w:r>
    </w:p>
    <w:p>
      <w:pPr>
        <w:pStyle w:val="ListBullet"/>
      </w:pPr>
      <w:r>
        <w:rPr>
          <w:b/>
        </w:rPr>
        <w:t>tred_full.or.empty.indicator</w:t>
      </w:r>
      <w:r>
        <w:t xml:space="preserve"> (Indicador de Lleno/Vacío) ➔ Mapear a </w:t>
      </w:r>
      <w:r>
        <w:rPr>
          <w:b/>
        </w:rPr>
        <w:t>Parada_Dyn.Z_EstadoEquipo</w:t>
      </w:r>
      <w:r>
        <w:t xml:space="preserve"> (valores: Full / Empty).</w:t>
      </w:r>
    </w:p>
    <w:p>
      <w:pPr>
        <w:pStyle w:val="ListBullet"/>
      </w:pPr>
      <w:r>
        <w:rPr>
          <w:b/>
        </w:rPr>
        <w:t>tred_measurements</w:t>
      </w:r>
      <w:r>
        <w:t xml:space="preserve"> (con Calificador AET para peso neto) ➔ Mapear a </w:t>
      </w:r>
      <w:r>
        <w:rPr>
          <w:b/>
        </w:rPr>
        <w:t>Parada_Dyn.Z_PesoNeto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