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E30613"/>
          <w:sz w:val="40"/>
        </w:rPr>
        <w:t>MATRIZ DE ESTADOS DE ENTIDADES — UNIGIS TMS</w:t>
      </w:r>
    </w:p>
    <w:p>
      <w:pPr>
        <w:spacing w:before="0" w:after="400"/>
      </w:pPr>
      <w:r>
        <w:rPr>
          <w:rFonts w:ascii="Calibri" w:hAnsi="Calibri"/>
          <w:i/>
          <w:color w:val="808080"/>
          <w:sz w:val="24"/>
        </w:rPr>
        <w:t>Operación Internacional y 4PL (Transpais TSP)</w:t>
      </w:r>
    </w:p>
    <w:p>
      <w:pPr>
        <w:spacing w:after="240"/>
      </w:pPr>
      <w:r>
        <w:rPr>
          <w:rFonts w:ascii="Calibri" w:hAnsi="Calibri"/>
          <w:sz w:val="22"/>
        </w:rPr>
        <w:t>Este documento presenta la matriz completa de estados del flujo de transporte en UNIGIS TMS para Transpais. Se detalla la comparación entre los estados ciertos (validados en el DDS de Operación Internacional y 4PL) y los estados propuestos/imaginados que optimizan la gestión del sistema.</w:t>
      </w:r>
    </w:p>
    <w:p>
      <w:pPr>
        <w:spacing w:before="240" w:after="120"/>
      </w:pPr>
      <w:r>
        <w:rPr>
          <w:rFonts w:ascii="Calibri" w:hAnsi="Calibri"/>
          <w:b/>
          <w:color w:val="E30613"/>
          <w:sz w:val="28"/>
        </w:rPr>
        <w:t>1. Matriz Resumen de Estados por Entidad</w:t>
      </w:r>
    </w:p>
    <w:tbl>
      <w:tblPr>
        <w:tblW w:type="auto" w:w="0"/>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2340"/>
        <w:gridCol w:w="2340"/>
        <w:gridCol w:w="2340"/>
        <w:gridCol w:w="2340"/>
      </w:tblGrid>
      <w:tr>
        <w:tc>
          <w:tcPr>
            <w:tcW w:type="dxa" w:w="2340"/>
            <w:shd w:fill="E30613"/>
            <w:tcMar>
              <w:top w:w="140" w:type="dxa"/>
              <w:bottom w:w="140" w:type="dxa"/>
              <w:left w:w="180" w:type="dxa"/>
              <w:right w:w="180" w:type="dxa"/>
            </w:tcMar>
          </w:tcPr>
          <w:p>
            <w:pPr>
              <w:spacing w:before="40" w:after="40"/>
            </w:pPr>
            <w:r>
              <w:rPr>
                <w:rFonts w:ascii="Calibri" w:hAnsi="Calibri"/>
                <w:b/>
                <w:i w:val="0"/>
                <w:color w:val="FFFFFF"/>
                <w:sz w:val="20"/>
              </w:rPr>
              <w:t>Entidad</w:t>
            </w:r>
          </w:p>
        </w:tc>
        <w:tc>
          <w:tcPr>
            <w:tcW w:type="dxa" w:w="2340"/>
            <w:shd w:fill="E30613"/>
            <w:tcMar>
              <w:top w:w="140" w:type="dxa"/>
              <w:bottom w:w="140" w:type="dxa"/>
              <w:left w:w="180" w:type="dxa"/>
              <w:right w:w="180" w:type="dxa"/>
            </w:tcMar>
          </w:tcPr>
          <w:p>
            <w:pPr>
              <w:spacing w:before="40" w:after="40"/>
            </w:pPr>
            <w:r>
              <w:rPr>
                <w:rFonts w:ascii="Calibri" w:hAnsi="Calibri"/>
                <w:b/>
                <w:i w:val="0"/>
                <w:color w:val="FFFFFF"/>
                <w:sz w:val="20"/>
              </w:rPr>
              <w:t>Estados Ciertos (DDS Real)</w:t>
            </w:r>
          </w:p>
        </w:tc>
        <w:tc>
          <w:tcPr>
            <w:tcW w:type="dxa" w:w="2340"/>
            <w:shd w:fill="E30613"/>
            <w:tcMar>
              <w:top w:w="140" w:type="dxa"/>
              <w:bottom w:w="140" w:type="dxa"/>
              <w:left w:w="180" w:type="dxa"/>
              <w:right w:w="180" w:type="dxa"/>
            </w:tcMar>
          </w:tcPr>
          <w:p>
            <w:pPr>
              <w:spacing w:before="40" w:after="40"/>
            </w:pPr>
            <w:r>
              <w:rPr>
                <w:rFonts w:ascii="Calibri" w:hAnsi="Calibri"/>
                <w:b/>
                <w:i w:val="0"/>
                <w:color w:val="FFFFFF"/>
                <w:sz w:val="20"/>
              </w:rPr>
              <w:t>Estados Propuestos (TMS)</w:t>
            </w:r>
          </w:p>
        </w:tc>
        <w:tc>
          <w:tcPr>
            <w:tcW w:type="dxa" w:w="2340"/>
            <w:shd w:fill="E30613"/>
            <w:tcMar>
              <w:top w:w="140" w:type="dxa"/>
              <w:bottom w:w="140" w:type="dxa"/>
              <w:left w:w="180" w:type="dxa"/>
              <w:right w:w="180" w:type="dxa"/>
            </w:tcMar>
          </w:tcPr>
          <w:p>
            <w:pPr>
              <w:spacing w:before="40" w:after="40"/>
            </w:pPr>
            <w:r>
              <w:rPr>
                <w:rFonts w:ascii="Calibri" w:hAnsi="Calibri"/>
                <w:b/>
                <w:i w:val="0"/>
                <w:color w:val="FFFFFF"/>
                <w:sz w:val="20"/>
              </w:rPr>
              <w:t>Descripción / Lógica Operativa</w:t>
            </w:r>
          </w:p>
        </w:tc>
      </w:tr>
      <w:tr>
        <w:tc>
          <w:tcPr>
            <w:tcW w:type="dxa" w:w="2340"/>
            <w:shd w:fill="FFFFFF"/>
            <w:tcMar>
              <w:top w:w="140" w:type="dxa"/>
              <w:bottom w:w="140" w:type="dxa"/>
              <w:left w:w="180" w:type="dxa"/>
              <w:right w:w="180" w:type="dxa"/>
            </w:tcMar>
          </w:tcPr>
          <w:p>
            <w:pPr>
              <w:spacing w:before="40" w:after="40"/>
            </w:pPr>
            <w:r>
              <w:rPr>
                <w:rFonts w:ascii="Calibri" w:hAnsi="Calibri"/>
                <w:b/>
                <w:i w:val="0"/>
                <w:color w:val="E30613"/>
                <w:sz w:val="20"/>
              </w:rPr>
              <w:t>Pedidos</w:t>
              <w:br/>
              <w:t>(dbo.Pedido)</w:t>
            </w:r>
          </w:p>
        </w:tc>
        <w:tc>
          <w:tcPr>
            <w:tcW w:type="dxa" w:w="2340"/>
            <w:shd w:fill="FFFFFF"/>
            <w:tcMar>
              <w:top w:w="140" w:type="dxa"/>
              <w:bottom w:w="140" w:type="dxa"/>
              <w:left w:w="180" w:type="dxa"/>
              <w:right w:w="180" w:type="dxa"/>
            </w:tcMar>
          </w:tcPr>
          <w:p>
            <w:pPr>
              <w:spacing w:before="40" w:after="40"/>
            </w:pPr>
            <w:r>
              <w:rPr>
                <w:rFonts w:ascii="Calibri" w:hAnsi="Calibri"/>
                <w:b w:val="0"/>
                <w:i w:val="0"/>
                <w:color w:val="1E1E1E"/>
                <w:sz w:val="20"/>
              </w:rPr>
              <w:t>INGRESADO, GRABADO, ERROR, CONFIRMADO, PLANIFICADO, LIQUIDADO</w:t>
            </w:r>
          </w:p>
        </w:tc>
        <w:tc>
          <w:tcPr>
            <w:tcW w:type="dxa" w:w="2340"/>
            <w:shd w:fill="FFFFFF"/>
            <w:tcMar>
              <w:top w:w="140" w:type="dxa"/>
              <w:bottom w:w="140" w:type="dxa"/>
              <w:left w:w="180" w:type="dxa"/>
              <w:right w:w="180" w:type="dxa"/>
            </w:tcMar>
          </w:tcPr>
          <w:p>
            <w:pPr>
              <w:spacing w:before="40" w:after="40"/>
            </w:pPr>
            <w:r>
              <w:rPr>
                <w:rFonts w:ascii="Calibri" w:hAnsi="Calibri"/>
                <w:b w:val="0"/>
                <w:i w:val="0"/>
                <w:color w:val="1E1E1E"/>
                <w:sz w:val="20"/>
              </w:rPr>
              <w:t>EN RUTA, ENTREGADO, DEVUELTO, FACTURADO</w:t>
            </w:r>
          </w:p>
        </w:tc>
        <w:tc>
          <w:tcPr>
            <w:tcW w:type="dxa" w:w="2340"/>
            <w:shd w:fill="FFFFFF"/>
            <w:tcMar>
              <w:top w:w="140" w:type="dxa"/>
              <w:bottom w:w="140" w:type="dxa"/>
              <w:left w:w="180" w:type="dxa"/>
              <w:right w:w="180" w:type="dxa"/>
            </w:tcMar>
          </w:tcPr>
          <w:p>
            <w:pPr>
              <w:spacing w:before="40" w:after="40"/>
            </w:pPr>
            <w:r>
              <w:rPr>
                <w:rFonts w:ascii="Calibri" w:hAnsi="Calibri"/>
                <w:b w:val="0"/>
                <w:i w:val="0"/>
                <w:color w:val="1E1E1E"/>
                <w:sz w:val="20"/>
              </w:rPr>
              <w:t>Los pedidos se tarifican en CONFIRMADO (forecast) y se recalculan al pasar a ENTREGADO con las cantidades reales.</w:t>
            </w:r>
          </w:p>
        </w:tc>
      </w:tr>
      <w:tr>
        <w:tc>
          <w:tcPr>
            <w:tcW w:type="dxa" w:w="2340"/>
            <w:shd w:fill="F9F9F9"/>
            <w:tcMar>
              <w:top w:w="140" w:type="dxa"/>
              <w:bottom w:w="140" w:type="dxa"/>
              <w:left w:w="180" w:type="dxa"/>
              <w:right w:w="180" w:type="dxa"/>
            </w:tcMar>
          </w:tcPr>
          <w:p>
            <w:pPr>
              <w:spacing w:before="40" w:after="40"/>
            </w:pPr>
            <w:r>
              <w:rPr>
                <w:rFonts w:ascii="Calibri" w:hAnsi="Calibri"/>
                <w:b/>
                <w:i w:val="0"/>
                <w:color w:val="E30613"/>
                <w:sz w:val="20"/>
              </w:rPr>
              <w:t>Viajes</w:t>
              <w:br/>
              <w:t>(dbo.Viaje)</w:t>
            </w:r>
          </w:p>
        </w:tc>
        <w:tc>
          <w:tcPr>
            <w:tcW w:type="dxa" w:w="2340"/>
            <w:shd w:fill="F9F9F9"/>
            <w:tcMar>
              <w:top w:w="140" w:type="dxa"/>
              <w:bottom w:w="140" w:type="dxa"/>
              <w:left w:w="180" w:type="dxa"/>
              <w:right w:w="180" w:type="dxa"/>
            </w:tcMar>
          </w:tcPr>
          <w:p>
            <w:pPr>
              <w:spacing w:before="40" w:after="40"/>
            </w:pPr>
            <w:r>
              <w:rPr>
                <w:rFonts w:ascii="Calibri" w:hAnsi="Calibri"/>
                <w:b w:val="0"/>
                <w:i w:val="0"/>
                <w:color w:val="1E1E1E"/>
                <w:sz w:val="20"/>
              </w:rPr>
              <w:t>INACTIVO, ASIGNADO, CONFIRMADO, RECHAZADO, ACTIVO, EN EJECUCIÓN, RENDIDO, LIQUIDABLE, LIQUIDADO</w:t>
            </w:r>
          </w:p>
        </w:tc>
        <w:tc>
          <w:tcPr>
            <w:tcW w:type="dxa" w:w="2340"/>
            <w:shd w:fill="F9F9F9"/>
            <w:tcMar>
              <w:top w:w="140" w:type="dxa"/>
              <w:bottom w:w="140" w:type="dxa"/>
              <w:left w:w="180" w:type="dxa"/>
              <w:right w:w="180" w:type="dxa"/>
            </w:tcMar>
          </w:tcPr>
          <w:p>
            <w:pPr>
              <w:spacing w:before="40" w:after="40"/>
            </w:pPr>
            <w:r>
              <w:rPr>
                <w:rFonts w:ascii="Calibri" w:hAnsi="Calibri"/>
                <w:b w:val="0"/>
                <w:i w:val="0"/>
                <w:color w:val="1E1E1E"/>
                <w:sz w:val="20"/>
              </w:rPr>
              <w:t>CANCELADO, REPROGRAMADO, AUDITADO</w:t>
            </w:r>
          </w:p>
        </w:tc>
        <w:tc>
          <w:tcPr>
            <w:tcW w:type="dxa" w:w="2340"/>
            <w:shd w:fill="F9F9F9"/>
            <w:tcMar>
              <w:top w:w="140" w:type="dxa"/>
              <w:bottom w:w="140" w:type="dxa"/>
              <w:left w:w="180" w:type="dxa"/>
              <w:right w:w="180" w:type="dxa"/>
            </w:tcMar>
          </w:tcPr>
          <w:p>
            <w:pPr>
              <w:spacing w:before="40" w:after="40"/>
            </w:pPr>
            <w:r>
              <w:rPr>
                <w:rFonts w:ascii="Calibri" w:hAnsi="Calibri"/>
                <w:b w:val="0"/>
                <w:i w:val="0"/>
                <w:color w:val="1E1E1E"/>
                <w:sz w:val="20"/>
              </w:rPr>
              <w:t>La liquidación de compra se pre-calcula al activar el viaje y se cierra definitivamente cuando pasa a LIQUIDABLE.</w:t>
            </w:r>
          </w:p>
        </w:tc>
      </w:tr>
      <w:tr>
        <w:tc>
          <w:tcPr>
            <w:tcW w:type="dxa" w:w="2340"/>
            <w:shd w:fill="FFFFFF"/>
            <w:tcMar>
              <w:top w:w="140" w:type="dxa"/>
              <w:bottom w:w="140" w:type="dxa"/>
              <w:left w:w="180" w:type="dxa"/>
              <w:right w:w="180" w:type="dxa"/>
            </w:tcMar>
          </w:tcPr>
          <w:p>
            <w:pPr>
              <w:spacing w:before="40" w:after="40"/>
            </w:pPr>
            <w:r>
              <w:rPr>
                <w:rFonts w:ascii="Calibri" w:hAnsi="Calibri"/>
                <w:b/>
                <w:i w:val="0"/>
                <w:color w:val="E30613"/>
                <w:sz w:val="20"/>
              </w:rPr>
              <w:t>Paradas</w:t>
              <w:br/>
              <w:t>(dbo.Parada)</w:t>
            </w:r>
          </w:p>
        </w:tc>
        <w:tc>
          <w:tcPr>
            <w:tcW w:type="dxa" w:w="2340"/>
            <w:shd w:fill="FFFFFF"/>
            <w:tcMar>
              <w:top w:w="140" w:type="dxa"/>
              <w:bottom w:w="140" w:type="dxa"/>
              <w:left w:w="180" w:type="dxa"/>
              <w:right w:w="180" w:type="dxa"/>
            </w:tcMar>
          </w:tcPr>
          <w:p>
            <w:pPr>
              <w:spacing w:before="40" w:after="40"/>
            </w:pPr>
            <w:r>
              <w:rPr>
                <w:rFonts w:ascii="Calibri" w:hAnsi="Calibri"/>
                <w:b w:val="0"/>
                <w:i w:val="0"/>
                <w:color w:val="1E1E1E"/>
                <w:sz w:val="20"/>
              </w:rPr>
              <w:t>VISITADO, Cargado, Cargado parcial, No cargado, Entregado, Entrega parcial, No entregado</w:t>
            </w:r>
          </w:p>
        </w:tc>
        <w:tc>
          <w:tcPr>
            <w:tcW w:type="dxa" w:w="2340"/>
            <w:shd w:fill="FFFFFF"/>
            <w:tcMar>
              <w:top w:w="140" w:type="dxa"/>
              <w:bottom w:w="140" w:type="dxa"/>
              <w:left w:w="180" w:type="dxa"/>
              <w:right w:w="180" w:type="dxa"/>
            </w:tcMar>
          </w:tcPr>
          <w:p>
            <w:pPr>
              <w:spacing w:before="40" w:after="40"/>
            </w:pPr>
            <w:r>
              <w:rPr>
                <w:rFonts w:ascii="Calibri" w:hAnsi="Calibri"/>
                <w:b w:val="0"/>
                <w:i w:val="0"/>
                <w:color w:val="1E1E1E"/>
                <w:sz w:val="20"/>
              </w:rPr>
              <w:t>PENDIENTE, EN GEOCERCA, DEMORADA</w:t>
            </w:r>
          </w:p>
        </w:tc>
        <w:tc>
          <w:tcPr>
            <w:tcW w:type="dxa" w:w="2340"/>
            <w:shd w:fill="FFFFFF"/>
            <w:tcMar>
              <w:top w:w="140" w:type="dxa"/>
              <w:bottom w:w="140" w:type="dxa"/>
              <w:left w:w="180" w:type="dxa"/>
              <w:right w:w="180" w:type="dxa"/>
            </w:tcMar>
          </w:tcPr>
          <w:p>
            <w:pPr>
              <w:spacing w:before="40" w:after="40"/>
            </w:pPr>
            <w:r>
              <w:rPr>
                <w:rFonts w:ascii="Calibri" w:hAnsi="Calibri"/>
                <w:b w:val="0"/>
                <w:i w:val="0"/>
                <w:color w:val="1E1E1E"/>
                <w:sz w:val="20"/>
              </w:rPr>
              <w:t>Registran la ejecución física del conductor desde la App UNIGIS X Deliveries o por geocerca automática.</w:t>
            </w:r>
          </w:p>
        </w:tc>
      </w:tr>
      <w:tr>
        <w:tc>
          <w:tcPr>
            <w:tcW w:type="dxa" w:w="2340"/>
            <w:shd w:fill="F9F9F9"/>
            <w:tcMar>
              <w:top w:w="140" w:type="dxa"/>
              <w:bottom w:w="140" w:type="dxa"/>
              <w:left w:w="180" w:type="dxa"/>
              <w:right w:w="180" w:type="dxa"/>
            </w:tcMar>
          </w:tcPr>
          <w:p>
            <w:pPr>
              <w:spacing w:before="40" w:after="40"/>
            </w:pPr>
            <w:r>
              <w:rPr>
                <w:rFonts w:ascii="Calibri" w:hAnsi="Calibri"/>
                <w:b/>
                <w:i w:val="0"/>
                <w:color w:val="E30613"/>
                <w:sz w:val="20"/>
              </w:rPr>
              <w:t>Órdenes</w:t>
              <w:br/>
              <w:t>(dbo.Orden)</w:t>
            </w:r>
          </w:p>
        </w:tc>
        <w:tc>
          <w:tcPr>
            <w:tcW w:type="dxa" w:w="2340"/>
            <w:shd w:fill="F9F9F9"/>
            <w:tcMar>
              <w:top w:w="140" w:type="dxa"/>
              <w:bottom w:w="140" w:type="dxa"/>
              <w:left w:w="180" w:type="dxa"/>
              <w:right w:w="180" w:type="dxa"/>
            </w:tcMar>
          </w:tcPr>
          <w:p>
            <w:pPr>
              <w:spacing w:before="40" w:after="40"/>
            </w:pPr>
            <w:r>
              <w:rPr>
                <w:rFonts w:ascii="Calibri" w:hAnsi="Calibri"/>
                <w:b w:val="0"/>
                <w:i w:val="0"/>
                <w:color w:val="1E1E1E"/>
                <w:sz w:val="20"/>
              </w:rPr>
              <w:t>Se asocian directamente al pedido en planificación y a la parada en ejecución.</w:t>
            </w:r>
          </w:p>
        </w:tc>
        <w:tc>
          <w:tcPr>
            <w:tcW w:type="dxa" w:w="2340"/>
            <w:shd w:fill="F9F9F9"/>
            <w:tcMar>
              <w:top w:w="140" w:type="dxa"/>
              <w:bottom w:w="140" w:type="dxa"/>
              <w:left w:w="180" w:type="dxa"/>
              <w:right w:w="180" w:type="dxa"/>
            </w:tcMar>
          </w:tcPr>
          <w:p>
            <w:pPr>
              <w:spacing w:before="40" w:after="40"/>
            </w:pPr>
            <w:r>
              <w:rPr>
                <w:rFonts w:ascii="Calibri" w:hAnsi="Calibri"/>
                <w:b w:val="0"/>
                <w:i w:val="0"/>
                <w:color w:val="1E1E1E"/>
                <w:sz w:val="20"/>
              </w:rPr>
              <w:t>INGRESADA, DESPACHADA, EN TRÁNSITO, CERRADA</w:t>
            </w:r>
          </w:p>
        </w:tc>
        <w:tc>
          <w:tcPr>
            <w:tcW w:type="dxa" w:w="2340"/>
            <w:shd w:fill="F9F9F9"/>
            <w:tcMar>
              <w:top w:w="140" w:type="dxa"/>
              <w:bottom w:w="140" w:type="dxa"/>
              <w:left w:w="180" w:type="dxa"/>
              <w:right w:w="180" w:type="dxa"/>
            </w:tcMar>
          </w:tcPr>
          <w:p>
            <w:pPr>
              <w:spacing w:before="40" w:after="40"/>
            </w:pPr>
            <w:r>
              <w:rPr>
                <w:rFonts w:ascii="Calibri" w:hAnsi="Calibri"/>
                <w:b w:val="0"/>
                <w:i w:val="0"/>
                <w:color w:val="1E1E1E"/>
                <w:sz w:val="20"/>
              </w:rPr>
              <w:t>Entidad intermedia para gestionar tramos y sub-servicios en operativas complejas de Hook/Drop o 4PL.</w:t>
            </w:r>
          </w:p>
        </w:tc>
      </w:tr>
    </w:tbl>
    <w:p>
      <w:pPr>
        <w:spacing w:before="240"/>
      </w:pPr>
    </w:p>
    <w:p>
      <w:pPr>
        <w:spacing w:before="240" w:after="120"/>
      </w:pPr>
      <w:r>
        <w:rPr>
          <w:rFonts w:ascii="Calibri" w:hAnsi="Calibri"/>
          <w:b/>
          <w:color w:val="E30613"/>
          <w:sz w:val="28"/>
        </w:rPr>
        <w:t>2. Detalle del Flujo de Ejecución de Paradas (DDS)</w:t>
      </w:r>
    </w:p>
    <w:tbl>
      <w:tblPr>
        <w:tblW w:type="auto" w:w="0"/>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3120"/>
        <w:gridCol w:w="3120"/>
        <w:gridCol w:w="3120"/>
      </w:tblGrid>
      <w:tr>
        <w:tc>
          <w:tcPr>
            <w:tcW w:type="dxa" w:w="3120"/>
            <w:shd w:fill="E30613"/>
            <w:tcMar>
              <w:top w:w="140" w:type="dxa"/>
              <w:bottom w:w="140" w:type="dxa"/>
              <w:left w:w="180" w:type="dxa"/>
              <w:right w:w="180" w:type="dxa"/>
            </w:tcMar>
          </w:tcPr>
          <w:p>
            <w:pPr>
              <w:spacing w:before="40" w:after="40"/>
            </w:pPr>
            <w:r>
              <w:rPr>
                <w:rFonts w:ascii="Calibri" w:hAnsi="Calibri"/>
                <w:b/>
                <w:i w:val="0"/>
                <w:color w:val="FFFFFF"/>
                <w:sz w:val="20"/>
              </w:rPr>
              <w:t>Tipo de Parada (DDS)</w:t>
            </w:r>
          </w:p>
        </w:tc>
        <w:tc>
          <w:tcPr>
            <w:tcW w:type="dxa" w:w="3120"/>
            <w:shd w:fill="E30613"/>
            <w:tcMar>
              <w:top w:w="140" w:type="dxa"/>
              <w:bottom w:w="140" w:type="dxa"/>
              <w:left w:w="180" w:type="dxa"/>
              <w:right w:w="180" w:type="dxa"/>
            </w:tcMar>
          </w:tcPr>
          <w:p>
            <w:pPr>
              <w:spacing w:before="40" w:after="40"/>
            </w:pPr>
            <w:r>
              <w:rPr>
                <w:rFonts w:ascii="Calibri" w:hAnsi="Calibri"/>
                <w:b/>
                <w:i w:val="0"/>
                <w:color w:val="FFFFFF"/>
                <w:sz w:val="20"/>
              </w:rPr>
              <w:t>Estado Parada</w:t>
            </w:r>
          </w:p>
        </w:tc>
        <w:tc>
          <w:tcPr>
            <w:tcW w:type="dxa" w:w="3120"/>
            <w:shd w:fill="E30613"/>
            <w:tcMar>
              <w:top w:w="140" w:type="dxa"/>
              <w:bottom w:w="140" w:type="dxa"/>
              <w:left w:w="180" w:type="dxa"/>
              <w:right w:w="180" w:type="dxa"/>
            </w:tcMar>
          </w:tcPr>
          <w:p>
            <w:pPr>
              <w:spacing w:before="40" w:after="40"/>
            </w:pPr>
            <w:r>
              <w:rPr>
                <w:rFonts w:ascii="Calibri" w:hAnsi="Calibri"/>
                <w:b/>
                <w:i w:val="0"/>
                <w:color w:val="FFFFFF"/>
                <w:sz w:val="20"/>
              </w:rPr>
              <w:t>Motivo / Acción de Negocio</w:t>
            </w:r>
          </w:p>
        </w:tc>
      </w:tr>
      <w:tr>
        <w:tc>
          <w:tcPr>
            <w:tcW w:type="dxa" w:w="3120"/>
            <w:shd w:fill="FFFFFF"/>
            <w:tcMar>
              <w:top w:w="140" w:type="dxa"/>
              <w:bottom w:w="140" w:type="dxa"/>
              <w:left w:w="180" w:type="dxa"/>
              <w:right w:w="180" w:type="dxa"/>
            </w:tcMar>
          </w:tcPr>
          <w:p>
            <w:pPr>
              <w:spacing w:before="40" w:after="40"/>
            </w:pPr>
            <w:r>
              <w:rPr>
                <w:rFonts w:ascii="Calibri" w:hAnsi="Calibri"/>
                <w:b/>
                <w:i w:val="0"/>
                <w:color w:val="E30613"/>
                <w:sz w:val="20"/>
              </w:rPr>
              <w:t>CARGA EN REMITENTE</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Cargado en remitente</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Carga confirmada</w:t>
            </w:r>
          </w:p>
        </w:tc>
      </w:tr>
      <w:tr>
        <w:tc>
          <w:tcPr>
            <w:tcW w:type="dxa" w:w="3120"/>
            <w:shd w:fill="FFFFFF"/>
            <w:tcMar>
              <w:top w:w="140" w:type="dxa"/>
              <w:bottom w:w="140" w:type="dxa"/>
              <w:left w:w="180" w:type="dxa"/>
              <w:right w:w="180" w:type="dxa"/>
            </w:tcMar>
          </w:tcPr>
          <w:p>
            <w:pPr>
              <w:spacing w:before="40" w:after="40"/>
            </w:pPr>
            <w:r>
              <w:rPr>
                <w:rFonts w:ascii="Calibri" w:hAnsi="Calibri"/>
                <w:b/>
                <w:i w:val="0"/>
                <w:color w:val="E30613"/>
                <w:sz w:val="20"/>
              </w:rPr>
              <w:t>CARGA EN REMITENTE</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Cargado parcial en remitente</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Revisión TRANSPAIS — diferencia de bultos/palets</w:t>
            </w:r>
          </w:p>
        </w:tc>
      </w:tr>
      <w:tr>
        <w:tc>
          <w:tcPr>
            <w:tcW w:type="dxa" w:w="3120"/>
            <w:shd w:fill="FFFFFF"/>
            <w:tcMar>
              <w:top w:w="140" w:type="dxa"/>
              <w:bottom w:w="140" w:type="dxa"/>
              <w:left w:w="180" w:type="dxa"/>
              <w:right w:w="180" w:type="dxa"/>
            </w:tcMar>
          </w:tcPr>
          <w:p>
            <w:pPr>
              <w:spacing w:before="40" w:after="40"/>
            </w:pPr>
            <w:r>
              <w:rPr>
                <w:rFonts w:ascii="Calibri" w:hAnsi="Calibri"/>
                <w:b/>
                <w:i w:val="0"/>
                <w:color w:val="E30613"/>
                <w:sz w:val="20"/>
              </w:rPr>
              <w:t>CARGA EN REMITENTE</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No cargado en remitente</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Revisión TRANSPAIS — mercancía no disponible</w:t>
            </w:r>
          </w:p>
        </w:tc>
      </w:tr>
      <w:tr>
        <w:tc>
          <w:tcPr>
            <w:tcW w:type="dxa" w:w="3120"/>
            <w:shd w:fill="FFF5F5"/>
            <w:tcMar>
              <w:top w:w="140" w:type="dxa"/>
              <w:bottom w:w="140" w:type="dxa"/>
              <w:left w:w="180" w:type="dxa"/>
              <w:right w:w="180" w:type="dxa"/>
            </w:tcMar>
          </w:tcPr>
          <w:p>
            <w:pPr>
              <w:spacing w:before="40" w:after="40"/>
            </w:pPr>
            <w:r>
              <w:rPr>
                <w:rFonts w:ascii="Calibri" w:hAnsi="Calibri"/>
                <w:b/>
                <w:i w:val="0"/>
                <w:color w:val="E30613"/>
                <w:sz w:val="20"/>
              </w:rPr>
              <w:t>CARGA EN DEPÓSITO SALIDA</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Cargado en depósito salida</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Carga confirmada en COL</w:t>
            </w:r>
          </w:p>
        </w:tc>
      </w:tr>
      <w:tr>
        <w:tc>
          <w:tcPr>
            <w:tcW w:type="dxa" w:w="3120"/>
            <w:shd w:fill="FFF5F5"/>
            <w:tcMar>
              <w:top w:w="140" w:type="dxa"/>
              <w:bottom w:w="140" w:type="dxa"/>
              <w:left w:w="180" w:type="dxa"/>
              <w:right w:w="180" w:type="dxa"/>
            </w:tcMar>
          </w:tcPr>
          <w:p>
            <w:pPr>
              <w:spacing w:before="40" w:after="40"/>
            </w:pPr>
            <w:r>
              <w:rPr>
                <w:rFonts w:ascii="Calibri" w:hAnsi="Calibri"/>
                <w:b/>
                <w:i w:val="0"/>
                <w:color w:val="E30613"/>
                <w:sz w:val="20"/>
              </w:rPr>
              <w:t>CARGA EN DEPÓSITO SALIDA</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Cargado parcial en depósito salida</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Revisión TRANSPAIS</w:t>
            </w:r>
          </w:p>
        </w:tc>
      </w:tr>
      <w:tr>
        <w:tc>
          <w:tcPr>
            <w:tcW w:type="dxa" w:w="3120"/>
            <w:shd w:fill="FFF5F5"/>
            <w:tcMar>
              <w:top w:w="140" w:type="dxa"/>
              <w:bottom w:w="140" w:type="dxa"/>
              <w:left w:w="180" w:type="dxa"/>
              <w:right w:w="180" w:type="dxa"/>
            </w:tcMar>
          </w:tcPr>
          <w:p>
            <w:pPr>
              <w:spacing w:before="40" w:after="40"/>
            </w:pPr>
            <w:r>
              <w:rPr>
                <w:rFonts w:ascii="Calibri" w:hAnsi="Calibri"/>
                <w:b/>
                <w:i w:val="0"/>
                <w:color w:val="E30613"/>
                <w:sz w:val="20"/>
              </w:rPr>
              <w:t>CARGA EN DEPÓSITO SALIDA</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No cargado en depósito salida</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Revisión TRANSPAIS</w:t>
            </w:r>
          </w:p>
        </w:tc>
      </w:tr>
      <w:tr>
        <w:tc>
          <w:tcPr>
            <w:tcW w:type="dxa" w:w="3120"/>
            <w:shd w:fill="FFFFFF"/>
            <w:tcMar>
              <w:top w:w="140" w:type="dxa"/>
              <w:bottom w:w="140" w:type="dxa"/>
              <w:left w:w="180" w:type="dxa"/>
              <w:right w:w="180" w:type="dxa"/>
            </w:tcMar>
          </w:tcPr>
          <w:p>
            <w:pPr>
              <w:spacing w:before="40" w:after="40"/>
            </w:pPr>
            <w:r>
              <w:rPr>
                <w:rFonts w:ascii="Calibri" w:hAnsi="Calibri"/>
                <w:b/>
                <w:i w:val="0"/>
                <w:color w:val="E30613"/>
                <w:sz w:val="20"/>
              </w:rPr>
              <w:t>CARGA EN DEPÓSITO LLEGADA</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Cargado en depósito llegada</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Carga confirmada en depósito destino</w:t>
            </w:r>
          </w:p>
        </w:tc>
      </w:tr>
      <w:tr>
        <w:tc>
          <w:tcPr>
            <w:tcW w:type="dxa" w:w="3120"/>
            <w:shd w:fill="FFFFFF"/>
            <w:tcMar>
              <w:top w:w="140" w:type="dxa"/>
              <w:bottom w:w="140" w:type="dxa"/>
              <w:left w:w="180" w:type="dxa"/>
              <w:right w:w="180" w:type="dxa"/>
            </w:tcMar>
          </w:tcPr>
          <w:p>
            <w:pPr>
              <w:spacing w:before="40" w:after="40"/>
            </w:pPr>
            <w:r>
              <w:rPr>
                <w:rFonts w:ascii="Calibri" w:hAnsi="Calibri"/>
                <w:b/>
                <w:i w:val="0"/>
                <w:color w:val="E30613"/>
                <w:sz w:val="20"/>
              </w:rPr>
              <w:t>CARGA EN DEPÓSITO LLEGADA</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Cargado parcial en depósito llegada</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Revisión TRANSPAIS</w:t>
            </w:r>
          </w:p>
        </w:tc>
      </w:tr>
      <w:tr>
        <w:tc>
          <w:tcPr>
            <w:tcW w:type="dxa" w:w="3120"/>
            <w:shd w:fill="FFFFFF"/>
            <w:tcMar>
              <w:top w:w="140" w:type="dxa"/>
              <w:bottom w:w="140" w:type="dxa"/>
              <w:left w:w="180" w:type="dxa"/>
              <w:right w:w="180" w:type="dxa"/>
            </w:tcMar>
          </w:tcPr>
          <w:p>
            <w:pPr>
              <w:spacing w:before="40" w:after="40"/>
            </w:pPr>
            <w:r>
              <w:rPr>
                <w:rFonts w:ascii="Calibri" w:hAnsi="Calibri"/>
                <w:b/>
                <w:i w:val="0"/>
                <w:color w:val="E30613"/>
                <w:sz w:val="20"/>
              </w:rPr>
              <w:t>CARGA EN DEPÓSITO LLEGADA</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No cargado en depósito llegada</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Revisión TRANSPAIS</w:t>
            </w:r>
          </w:p>
        </w:tc>
      </w:tr>
      <w:tr>
        <w:tc>
          <w:tcPr>
            <w:tcW w:type="dxa" w:w="3120"/>
            <w:shd w:fill="FFF5F5"/>
            <w:tcMar>
              <w:top w:w="140" w:type="dxa"/>
              <w:bottom w:w="140" w:type="dxa"/>
              <w:left w:w="180" w:type="dxa"/>
              <w:right w:w="180" w:type="dxa"/>
            </w:tcMar>
          </w:tcPr>
          <w:p>
            <w:pPr>
              <w:spacing w:before="40" w:after="40"/>
            </w:pPr>
            <w:r>
              <w:rPr>
                <w:rFonts w:ascii="Calibri" w:hAnsi="Calibri"/>
                <w:b/>
                <w:i w:val="0"/>
                <w:color w:val="E30613"/>
                <w:sz w:val="20"/>
              </w:rPr>
              <w:t>ENTREGA EN CONSIGNATARIO</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Entregado en consignatario</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Entrega confirmada al cliente final</w:t>
            </w:r>
          </w:p>
        </w:tc>
      </w:tr>
      <w:tr>
        <w:tc>
          <w:tcPr>
            <w:tcW w:type="dxa" w:w="3120"/>
            <w:shd w:fill="FFF5F5"/>
            <w:tcMar>
              <w:top w:w="140" w:type="dxa"/>
              <w:bottom w:w="140" w:type="dxa"/>
              <w:left w:w="180" w:type="dxa"/>
              <w:right w:w="180" w:type="dxa"/>
            </w:tcMar>
          </w:tcPr>
          <w:p>
            <w:pPr>
              <w:spacing w:before="40" w:after="40"/>
            </w:pPr>
            <w:r>
              <w:rPr>
                <w:rFonts w:ascii="Calibri" w:hAnsi="Calibri"/>
                <w:b/>
                <w:i w:val="0"/>
                <w:color w:val="E30613"/>
                <w:sz w:val="20"/>
              </w:rPr>
              <w:t>ENTREGA EN CONSIGNATARIO</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Entrega parcial en consignatario</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Revisión TRANSPAIS — se crea parada devolución</w:t>
            </w:r>
          </w:p>
        </w:tc>
      </w:tr>
      <w:tr>
        <w:tc>
          <w:tcPr>
            <w:tcW w:type="dxa" w:w="3120"/>
            <w:shd w:fill="FFF5F5"/>
            <w:tcMar>
              <w:top w:w="140" w:type="dxa"/>
              <w:bottom w:w="140" w:type="dxa"/>
              <w:left w:w="180" w:type="dxa"/>
              <w:right w:w="180" w:type="dxa"/>
            </w:tcMar>
          </w:tcPr>
          <w:p>
            <w:pPr>
              <w:spacing w:before="40" w:after="40"/>
            </w:pPr>
            <w:r>
              <w:rPr>
                <w:rFonts w:ascii="Calibri" w:hAnsi="Calibri"/>
                <w:b/>
                <w:i w:val="0"/>
                <w:color w:val="E30613"/>
                <w:sz w:val="20"/>
              </w:rPr>
              <w:t>ENTREGA EN CONSIGNATARIO</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No entregado en consignatario</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Revisión TRANSPAIS — se crea parada devolución</w:t>
            </w:r>
          </w:p>
        </w:tc>
      </w:tr>
      <w:tr>
        <w:tc>
          <w:tcPr>
            <w:tcW w:type="dxa" w:w="3120"/>
            <w:shd w:fill="FFFFFF"/>
            <w:tcMar>
              <w:top w:w="140" w:type="dxa"/>
              <w:bottom w:w="140" w:type="dxa"/>
              <w:left w:w="180" w:type="dxa"/>
              <w:right w:w="180" w:type="dxa"/>
            </w:tcMar>
          </w:tcPr>
          <w:p>
            <w:pPr>
              <w:spacing w:before="40" w:after="40"/>
            </w:pPr>
            <w:r>
              <w:rPr>
                <w:rFonts w:ascii="Calibri" w:hAnsi="Calibri"/>
                <w:b/>
                <w:i w:val="0"/>
                <w:color w:val="E30613"/>
                <w:sz w:val="20"/>
              </w:rPr>
              <w:t>ENTREGA EN DEPÓSITO SALIDA</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Entregado en depósito salida</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Confirmado</w:t>
            </w:r>
          </w:p>
        </w:tc>
      </w:tr>
      <w:tr>
        <w:tc>
          <w:tcPr>
            <w:tcW w:type="dxa" w:w="3120"/>
            <w:shd w:fill="FFFFFF"/>
            <w:tcMar>
              <w:top w:w="140" w:type="dxa"/>
              <w:bottom w:w="140" w:type="dxa"/>
              <w:left w:w="180" w:type="dxa"/>
              <w:right w:w="180" w:type="dxa"/>
            </w:tcMar>
          </w:tcPr>
          <w:p>
            <w:pPr>
              <w:spacing w:before="40" w:after="40"/>
            </w:pPr>
            <w:r>
              <w:rPr>
                <w:rFonts w:ascii="Calibri" w:hAnsi="Calibri"/>
                <w:b/>
                <w:i w:val="0"/>
                <w:color w:val="E30613"/>
                <w:sz w:val="20"/>
              </w:rPr>
              <w:t>ENTREGA EN DEPÓSITO SALIDA</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Entrega parcial / No entregado</w:t>
            </w:r>
          </w:p>
        </w:tc>
        <w:tc>
          <w:tcPr>
            <w:tcW w:type="dxa" w:w="3120"/>
            <w:shd w:fill="FFFFFF"/>
            <w:tcMar>
              <w:top w:w="140" w:type="dxa"/>
              <w:bottom w:w="140" w:type="dxa"/>
              <w:left w:w="180" w:type="dxa"/>
              <w:right w:w="180" w:type="dxa"/>
            </w:tcMar>
          </w:tcPr>
          <w:p>
            <w:pPr>
              <w:spacing w:before="40" w:after="40"/>
            </w:pPr>
            <w:r>
              <w:rPr>
                <w:rFonts w:ascii="Calibri" w:hAnsi="Calibri"/>
                <w:b w:val="0"/>
                <w:i w:val="0"/>
                <w:color w:val="1E1E1E"/>
                <w:sz w:val="20"/>
              </w:rPr>
              <w:t>Revisión TRANSPAIS</w:t>
            </w:r>
          </w:p>
        </w:tc>
      </w:tr>
      <w:tr>
        <w:tc>
          <w:tcPr>
            <w:tcW w:type="dxa" w:w="3120"/>
            <w:shd w:fill="FFF5F5"/>
            <w:tcMar>
              <w:top w:w="140" w:type="dxa"/>
              <w:bottom w:w="140" w:type="dxa"/>
              <w:left w:w="180" w:type="dxa"/>
              <w:right w:w="180" w:type="dxa"/>
            </w:tcMar>
          </w:tcPr>
          <w:p>
            <w:pPr>
              <w:spacing w:before="40" w:after="40"/>
            </w:pPr>
            <w:r>
              <w:rPr>
                <w:rFonts w:ascii="Calibri" w:hAnsi="Calibri"/>
                <w:b/>
                <w:i w:val="0"/>
                <w:color w:val="E30613"/>
                <w:sz w:val="20"/>
              </w:rPr>
              <w:t>ENTREGA EN DEPÓSITO LLEGADA</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Entregado en depósito llegada</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Confirmado</w:t>
            </w:r>
          </w:p>
        </w:tc>
      </w:tr>
      <w:tr>
        <w:tc>
          <w:tcPr>
            <w:tcW w:type="dxa" w:w="3120"/>
            <w:shd w:fill="FFF5F5"/>
            <w:tcMar>
              <w:top w:w="140" w:type="dxa"/>
              <w:bottom w:w="140" w:type="dxa"/>
              <w:left w:w="180" w:type="dxa"/>
              <w:right w:w="180" w:type="dxa"/>
            </w:tcMar>
          </w:tcPr>
          <w:p>
            <w:pPr>
              <w:spacing w:before="40" w:after="40"/>
            </w:pPr>
            <w:r>
              <w:rPr>
                <w:rFonts w:ascii="Calibri" w:hAnsi="Calibri"/>
                <w:b/>
                <w:i w:val="0"/>
                <w:color w:val="E30613"/>
                <w:sz w:val="20"/>
              </w:rPr>
              <w:t>ENTREGA EN DEPÓSITO LLEGADA</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Entrega parcial / No entregado</w:t>
            </w:r>
          </w:p>
        </w:tc>
        <w:tc>
          <w:tcPr>
            <w:tcW w:type="dxa" w:w="3120"/>
            <w:shd w:fill="FFF5F5"/>
            <w:tcMar>
              <w:top w:w="140" w:type="dxa"/>
              <w:bottom w:w="140" w:type="dxa"/>
              <w:left w:w="180" w:type="dxa"/>
              <w:right w:w="180" w:type="dxa"/>
            </w:tcMar>
          </w:tcPr>
          <w:p>
            <w:pPr>
              <w:spacing w:before="40" w:after="40"/>
            </w:pPr>
            <w:r>
              <w:rPr>
                <w:rFonts w:ascii="Calibri" w:hAnsi="Calibri"/>
                <w:b w:val="0"/>
                <w:i w:val="0"/>
                <w:color w:val="1E1E1E"/>
                <w:sz w:val="20"/>
              </w:rPr>
              <w:t>Revisión TRANSPAIS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