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firstLine="0"/>
        <w:jc w:val="center"/>
      </w:pPr>
      <w:r>
        <w:drawing>
          <wp:inline distT="0" distB="0" distL="0" distR="0">
            <wp:extent cx="1257300" cy="1257300"/>
            <wp:effectExtent t="0" r="0" b="0" l="0"/>
            <wp:docPr id="1" name="emblem" descr="Место для эмблемы университета" title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0"/>
        <w:ind w:firstLine="0"/>
        <w:jc w:val="center"/>
      </w:pPr>
    </w:p>
    <w:p>
      <w:pPr>
        <w:spacing w:after="160"/>
        <w:ind w:firstLine="0"/>
        <w:jc w:val="center"/>
      </w:pPr>
      <w:r>
        <w:rPr>
          <w:b/>
          <w:bCs/>
          <w:sz w:val="32"/>
          <w:szCs w:val="32"/>
        </w:rPr>
        <w:t xml:space="preserve">КУРСОВАЯ РАБОТА</w:t>
      </w:r>
    </w:p>
    <w:p>
      <w:pPr>
        <w:spacing w:after="480"/>
        <w:ind w:firstLine="0"/>
        <w:jc w:val="center"/>
      </w:pPr>
      <w:r>
        <w:rPr>
          <w:sz w:val="28"/>
          <w:szCs w:val="28"/>
        </w:rPr>
        <w:t xml:space="preserve">по дисциплине «Теоретические основы кибернетики»</w:t>
      </w:r>
    </w:p>
    <w:p>
      <w:pPr>
        <w:spacing w:after="0"/>
        <w:ind w:firstLine="0"/>
        <w:jc w:val="center"/>
      </w:pPr>
      <w:r>
        <w:rPr>
          <w:b/>
          <w:bCs/>
          <w:sz w:val="32"/>
          <w:szCs w:val="32"/>
        </w:rPr>
        <w:t xml:space="preserve">Гидратация глицина и корреляционное время</w:t>
      </w:r>
    </w:p>
    <w:p>
      <w:pPr>
        <w:spacing w:after="0"/>
        <w:ind w:firstLine="0"/>
        <w:jc w:val="center"/>
      </w:pPr>
      <w:r>
        <w:rPr>
          <w:b/>
          <w:bCs/>
          <w:sz w:val="32"/>
          <w:szCs w:val="32"/>
        </w:rPr>
        <w:t xml:space="preserve">водного окружения в переносчике GlyT1</w:t>
      </w:r>
    </w:p>
    <w:p>
      <w:pPr>
        <w:spacing w:before="2200"/>
        <w:ind w:firstLine="0"/>
        <w:jc w:val="center"/>
      </w:pPr>
    </w:p>
    <w:p>
      <w:pPr>
        <w:spacing w:after="0"/>
        <w:ind w:left="5200" w:firstLine="0"/>
      </w:pPr>
      <w:r>
        <w:rPr>
          <w:sz w:val="28"/>
          <w:szCs w:val="28"/>
        </w:rPr>
        <w:t xml:space="preserve">Выполнили:</w:t>
      </w:r>
    </w:p>
    <w:p>
      <w:pPr>
        <w:spacing w:after="0"/>
        <w:ind w:left="5200" w:firstLine="0"/>
      </w:pPr>
      <w:r>
        <w:rPr>
          <w:sz w:val="28"/>
          <w:szCs w:val="28"/>
        </w:rPr>
        <w:t xml:space="preserve">студенты группы 3.4.31</w:t>
      </w:r>
    </w:p>
    <w:p>
      <w:pPr>
        <w:spacing w:after="0"/>
        <w:ind w:left="5200" w:firstLine="0"/>
      </w:pPr>
      <w:r>
        <w:rPr>
          <w:sz w:val="28"/>
          <w:szCs w:val="28"/>
        </w:rPr>
        <w:t xml:space="preserve">Бессонов Илья</w:t>
      </w:r>
    </w:p>
    <w:p>
      <w:pPr>
        <w:spacing w:after="0"/>
        <w:ind w:left="5200" w:firstLine="0"/>
      </w:pPr>
      <w:r>
        <w:rPr>
          <w:sz w:val="28"/>
          <w:szCs w:val="28"/>
        </w:rPr>
        <w:t xml:space="preserve">Смуток Денис</w:t>
      </w:r>
    </w:p>
    <w:p>
      <w:pPr>
        <w:spacing w:after="0"/>
        <w:ind w:left="5200" w:firstLine="0"/>
      </w:pPr>
    </w:p>
    <w:p>
      <w:pPr>
        <w:spacing w:after="0"/>
        <w:ind w:left="5200" w:firstLine="0"/>
      </w:pPr>
      <w:r>
        <w:rPr>
          <w:sz w:val="28"/>
          <w:szCs w:val="28"/>
        </w:rPr>
        <w:t xml:space="preserve">Руководитель:</w:t>
      </w:r>
    </w:p>
    <w:p>
      <w:pPr>
        <w:spacing w:after="0"/>
        <w:ind w:left="5200" w:firstLine="0"/>
      </w:pPr>
      <w:r>
        <w:rPr>
          <w:sz w:val="28"/>
          <w:szCs w:val="28"/>
        </w:rPr>
        <w:t xml:space="preserve">________________________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b/>
          <w:bCs/>
          <w:sz w:val="28"/>
          <w:szCs w:val="28"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001" w:history="1">
        <w:r>
          <w:t xml:space="preserve">1 Введение</w:t>
        </w:r>
        <w:r>
          <w:tab/>
        </w:r>
        <w:r>
          <w:fldChar w:fldCharType="begin"/>
        </w:r>
        <w:r>
          <w:instrText xml:space="preserve"> PAGEREF _Toc001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002" w:history="1">
        <w:r>
          <w:t xml:space="preserve">2 Описание исходных данных</w:t>
        </w:r>
        <w:r>
          <w:tab/>
        </w:r>
        <w:r>
          <w:fldChar w:fldCharType="begin"/>
        </w:r>
        <w:r>
          <w:instrText xml:space="preserve"> PAGEREF _Toc002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003" w:history="1">
        <w:r>
          <w:t xml:space="preserve">2.1 Структура файла и переменные</w:t>
        </w:r>
        <w:r>
          <w:tab/>
        </w:r>
        <w:r>
          <w:fldChar w:fldCharType="begin"/>
        </w:r>
        <w:r>
          <w:instrText xml:space="preserve"> PAGEREF _Toc003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004" w:history="1">
        <w:r>
          <w:t xml:space="preserve">2.2 Проверка качества данных</w:t>
        </w:r>
        <w:r>
          <w:tab/>
        </w:r>
        <w:r>
          <w:fldChar w:fldCharType="begin"/>
        </w:r>
        <w:r>
          <w:instrText xml:space="preserve"> PAGEREF _Toc004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</w:pPr>
      <w:hyperlink w:anchor="_Toc005" w:history="1">
        <w:r>
          <w:t xml:space="preserve">2.3 Преобразования</w:t>
        </w:r>
        <w:r>
          <w:tab/>
        </w:r>
        <w:r>
          <w:fldChar w:fldCharType="begin"/>
        </w:r>
        <w:r>
          <w:instrText xml:space="preserve"> PAGEREF _Toc005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</w:pPr>
      <w:hyperlink w:anchor="_Toc006" w:history="1">
        <w:r>
          <w:t xml:space="preserve">3 Математические методы</w:t>
        </w:r>
        <w:r>
          <w:tab/>
        </w:r>
        <w:r>
          <w:fldChar w:fldCharType="begin"/>
        </w:r>
        <w:r>
          <w:instrText xml:space="preserve"> PAGEREF _Toc006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007" w:history="1">
        <w:r>
          <w:t xml:space="preserve">3.1 Среднее, дисперсия и распределение</w:t>
        </w:r>
        <w:r>
          <w:tab/>
        </w:r>
        <w:r>
          <w:fldChar w:fldCharType="begin"/>
        </w:r>
        <w:r>
          <w:instrText xml:space="preserve"> PAGEREF _Toc007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008" w:history="1">
        <w:r>
          <w:t xml:space="preserve">3.2 Автокорреляционная функция и время корреляции</w:t>
        </w:r>
        <w:r>
          <w:tab/>
        </w:r>
        <w:r>
          <w:fldChar w:fldCharType="begin"/>
        </w:r>
        <w:r>
          <w:instrText xml:space="preserve"> PAGEREF _Toc008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</w:pPr>
      <w:hyperlink w:anchor="_Toc009" w:history="1">
        <w:r>
          <w:t xml:space="preserve">3.3 Проверка стационарности</w:t>
        </w:r>
        <w:r>
          <w:tab/>
        </w:r>
        <w:r>
          <w:fldChar w:fldCharType="begin"/>
        </w:r>
        <w:r>
          <w:instrText xml:space="preserve"> PAGEREF _Toc009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010" w:history="1">
        <w:r>
          <w:t xml:space="preserve">3.4 Сравнение участков с учётом зависимости кадров</w:t>
        </w:r>
        <w:r>
          <w:tab/>
        </w:r>
        <w:r>
          <w:fldChar w:fldCharType="begin"/>
        </w:r>
        <w:r>
          <w:instrText xml:space="preserve"> PAGEREF _Toc010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</w:pPr>
      <w:hyperlink w:anchor="_Toc011" w:history="1">
        <w:r>
          <w:t xml:space="preserve">3.5 Проверка самого бутстрэпа на суррогатных рядах</w:t>
        </w:r>
        <w:r>
          <w:tab/>
        </w:r>
        <w:r>
          <w:fldChar w:fldCharType="begin"/>
        </w:r>
        <w:r>
          <w:instrText xml:space="preserve"> PAGEREF _Toc011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</w:pPr>
      <w:hyperlink w:anchor="_Toc012" w:history="1">
        <w:r>
          <w:t xml:space="preserve">3.6 Дополнительные методы: энтропия и спектр</w:t>
        </w:r>
        <w:r>
          <w:tab/>
        </w:r>
        <w:r>
          <w:fldChar w:fldCharType="begin"/>
        </w:r>
        <w:r>
          <w:instrText xml:space="preserve"> PAGEREF _Toc012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</w:pPr>
      <w:hyperlink w:anchor="_Toc013" w:history="1">
        <w:r>
          <w:t xml:space="preserve">4 Ход исследования</w:t>
        </w:r>
        <w:r>
          <w:tab/>
        </w:r>
        <w:r>
          <w:fldChar w:fldCharType="begin"/>
        </w:r>
        <w:r>
          <w:instrText xml:space="preserve"> PAGEREF _Toc013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014" w:history="1">
        <w:r>
          <w:t xml:space="preserve">4.1 Выбор областей положения глицина</w:t>
        </w:r>
        <w:r>
          <w:tab/>
        </w:r>
        <w:r>
          <w:fldChar w:fldCharType="begin"/>
        </w:r>
        <w:r>
          <w:instrText xml:space="preserve"> PAGEREF _Toc014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015" w:history="1">
        <w:r>
          <w:t xml:space="preserve">4.2 Правило границ участков</w:t>
        </w:r>
        <w:r>
          <w:tab/>
        </w:r>
        <w:r>
          <w:fldChar w:fldCharType="begin"/>
        </w:r>
        <w:r>
          <w:instrText xml:space="preserve"> PAGEREF _Toc015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</w:pPr>
      <w:hyperlink w:anchor="_Toc016" w:history="1">
        <w:r>
          <w:t xml:space="preserve">4.3 Порядок расчётов и параметры</w:t>
        </w:r>
        <w:r>
          <w:tab/>
        </w:r>
        <w:r>
          <w:fldChar w:fldCharType="begin"/>
        </w:r>
        <w:r>
          <w:instrText xml:space="preserve"> PAGEREF _Toc016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</w:pPr>
      <w:hyperlink w:anchor="_Toc017" w:history="1">
        <w:r>
          <w:t xml:space="preserve">5 Результаты основной траектории</w:t>
        </w:r>
        <w:r>
          <w:tab/>
        </w:r>
        <w:r>
          <w:fldChar w:fldCharType="begin"/>
        </w:r>
        <w:r>
          <w:instrText xml:space="preserve"> PAGEREF _Toc017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</w:pPr>
      <w:hyperlink w:anchor="_Toc018" w:history="1">
        <w:r>
          <w:t xml:space="preserve">5.1 Средние, дисперсии и распределения</w:t>
        </w:r>
        <w:r>
          <w:tab/>
        </w:r>
        <w:r>
          <w:fldChar w:fldCharType="begin"/>
        </w:r>
        <w:r>
          <w:instrText xml:space="preserve"> PAGEREF _Toc018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</w:pPr>
      <w:hyperlink w:anchor="_Toc019" w:history="1">
        <w:r>
          <w:t xml:space="preserve">5.2 Автокорреляция и время корреляции</w:t>
        </w:r>
        <w:r>
          <w:tab/>
        </w:r>
        <w:r>
          <w:fldChar w:fldCharType="begin"/>
        </w:r>
        <w:r>
          <w:instrText xml:space="preserve"> PAGEREF _Toc019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</w:pPr>
      <w:hyperlink w:anchor="_Toc020" w:history="1">
        <w:r>
          <w:t xml:space="preserve">5.3 Проверка гипотез блочным бутстрэпом</w:t>
        </w:r>
        <w:r>
          <w:tab/>
        </w:r>
        <w:r>
          <w:fldChar w:fldCharType="begin"/>
        </w:r>
        <w:r>
          <w:instrText xml:space="preserve"> PAGEREF _Toc020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</w:pPr>
      <w:hyperlink w:anchor="_Toc021" w:history="1">
        <w:r>
          <w:t xml:space="preserve">5.4 Проверка самого бутстрэпа</w:t>
        </w:r>
        <w:r>
          <w:tab/>
        </w:r>
        <w:r>
          <w:fldChar w:fldCharType="begin"/>
        </w:r>
        <w:r>
          <w:instrText xml:space="preserve"> PAGEREF _Toc021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</w:pPr>
      <w:hyperlink w:anchor="_Toc022" w:history="1">
        <w:r>
          <w:t xml:space="preserve">5.5 Проверка на втором окне плато</w:t>
        </w:r>
        <w:r>
          <w:tab/>
        </w:r>
        <w:r>
          <w:fldChar w:fldCharType="begin"/>
        </w:r>
        <w:r>
          <w:instrText xml:space="preserve"> PAGEREF _Toc022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</w:pPr>
      <w:hyperlink w:anchor="_Toc023" w:history="1">
        <w:r>
          <w:t xml:space="preserve">5.6 Дополнительно: энтропия Шеннона и спектр</w:t>
        </w:r>
        <w:r>
          <w:tab/>
        </w:r>
        <w:r>
          <w:fldChar w:fldCharType="begin"/>
        </w:r>
        <w:r>
          <w:instrText xml:space="preserve"> PAGEREF _Toc023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</w:pPr>
      <w:hyperlink w:anchor="_Toc024" w:history="1">
        <w:r>
          <w:t xml:space="preserve">6 Проверка на контрольной траектории</w:t>
        </w:r>
        <w:r>
          <w:tab/>
        </w:r>
        <w:r>
          <w:fldChar w:fldCharType="begin"/>
        </w:r>
        <w:r>
          <w:instrText xml:space="preserve"> PAGEREF _Toc024 \h </w:instrText>
        </w:r>
        <w:r>
          <w:fldChar w:fldCharType="separate"/>
        </w:r>
        <w:r>
          <w:t>19</w:t>
        </w:r>
        <w:r>
          <w:fldChar w:fldCharType="end"/>
        </w:r>
      </w:hyperlink>
    </w:p>
    <w:p>
      <w:pPr>
        <w:pStyle w:val="TOC1"/>
      </w:pPr>
      <w:hyperlink w:anchor="_Toc025" w:history="1">
        <w:r>
          <w:t xml:space="preserve">7 Обсуждение</w:t>
        </w:r>
        <w:r>
          <w:tab/>
        </w:r>
        <w:r>
          <w:fldChar w:fldCharType="begin"/>
        </w:r>
        <w:r>
          <w:instrText xml:space="preserve"> PAGEREF _Toc025 \h </w:instrText>
        </w:r>
        <w:r>
          <w:fldChar w:fldCharType="separate"/>
        </w:r>
        <w:r>
          <w:t>21</w:t>
        </w:r>
        <w:r>
          <w:fldChar w:fldCharType="end"/>
        </w:r>
      </w:hyperlink>
    </w:p>
    <w:p>
      <w:pPr>
        <w:pStyle w:val="TOC1"/>
      </w:pPr>
      <w:hyperlink w:anchor="_Toc026" w:history="1">
        <w:r>
          <w:t xml:space="preserve">8 Заключение</w:t>
        </w:r>
        <w:r>
          <w:tab/>
        </w:r>
        <w:r>
          <w:fldChar w:fldCharType="begin"/>
        </w:r>
        <w:r>
          <w:instrText xml:space="preserve"> PAGEREF _Toc026 \h </w:instrText>
        </w:r>
        <w:r>
          <w:fldChar w:fldCharType="separate"/>
        </w:r>
        <w:r>
          <w:t>23</w:t>
        </w:r>
        <w:r>
          <w:fldChar w:fldCharType="end"/>
        </w:r>
      </w:hyperlink>
    </w:p>
    <w:p>
      <w:pPr>
        <w:pStyle w:val="TOC1"/>
      </w:pPr>
      <w:hyperlink w:anchor="_Toc027" w:history="1">
        <w:r>
          <w:t xml:space="preserve">9 Список использованных источников</w:t>
        </w:r>
        <w:r>
          <w:tab/>
        </w:r>
        <w:r>
          <w:fldChar w:fldCharType="begin"/>
        </w:r>
        <w:r>
          <w:instrText xml:space="preserve"> PAGEREF _Toc027 \h </w:instrText>
        </w:r>
        <w:r>
          <w:fldChar w:fldCharType="separate"/>
        </w:r>
        <w:r>
          <w:t>24</w:t>
        </w:r>
        <w:r>
          <w:fldChar w:fldCharType="end"/>
        </w:r>
      </w:hyperlink>
    </w:p>
    <w:p>
      <w:pPr>
        <w:pStyle w:val="TOC1"/>
      </w:pPr>
      <w:hyperlink w:anchor="_Toc028" w:history="1">
        <w:r>
          <w:t xml:space="preserve">Приложение А. Воспроизведение расчётов</w:t>
        </w:r>
        <w:r>
          <w:tab/>
        </w:r>
        <w:r>
          <w:fldChar w:fldCharType="begin"/>
        </w:r>
        <w:r>
          <w:instrText xml:space="preserve"> PAGEREF _Toc028 \h </w:instrText>
        </w:r>
        <w:r>
          <w:fldChar w:fldCharType="separate"/>
        </w:r>
        <w:r>
          <w:t>26</w:t>
        </w:r>
        <w:r>
          <w:fldChar w:fldCharType="end"/>
        </w:r>
      </w:hyperlink>
      <w:r>
        <w:fldChar w:fldCharType="end"/>
      </w:r>
    </w:p>
    <w:p>
      <w:pPr>
        <w:pStyle w:val="Heading1"/>
        <w:pageBreakBefore/>
      </w:pPr>
      <w:bookmarkStart w:name="_Toc001" w:id="1"/>
      <w:r>
        <w:t xml:space="preserve">1 Введение</w:t>
      </w:r>
      <w:bookmarkEnd w:id="1"/>
    </w:p>
    <w:p>
      <w:pPr>
        <w:jc w:val="both"/>
      </w:pPr>
      <w:r>
        <w:t xml:space="preserve">GlyT1 – мембранный переносчик глицина. Он забирает глицин из межклеточного пространства и тем самым регулирует его концентрацию вне клетки. Перенос одной молекулы глицина сопряжён с переносом двух ионов натрия и одного иона хлора [1, 2]. Глицин в растворе окружён водой, а в сайте связывания часть этих молекул воды заменяется контактами с белком и ионами. Поэтому число молекул воды вокруг глицина – удобный показатель того, где он находится и насколько «спрятан» внутри белка.</w:t>
      </w:r>
    </w:p>
    <w:p>
      <w:pPr>
        <w:jc w:val="both"/>
      </w:pPr>
      <w:r>
        <w:t xml:space="preserve">Данные для работы – готовые признаки, посчитанные по молекулярно-динамическим (МД) траекториям, то есть по компьютерному расчёту движения всех атомов системы [1, 3]. Модель построена по структуре GlyT1 в конформации, открытой наружу. Поэтому в траекториях глицин уходит из сайта не в клетку, а обратно во внеклеточную сторону: это выход (диссоциация) глицина из открытого наружу переносчика, а не транспорт. Полный транспортный цикл длится миллисекунды, а траектории – сотни наносекунд.</w:t>
      </w:r>
    </w:p>
    <w:p>
      <w:pPr>
        <w:jc w:val="both"/>
      </w:pPr>
      <w:r>
        <w:rPr>
          <w:b/>
          <w:bCs/>
        </w:rPr>
        <w:t xml:space="preserve">Цель работы</w:t>
      </w:r>
      <w:r>
        <w:t xml:space="preserve"> – сравнить распределение числа молекул воды вокруг глицина и время корреляции этого числа в двух областях положения глицина: в сайте связывания и на расстоянии около 8 Å от него.</w:t>
      </w:r>
    </w:p>
    <w:p>
      <w:pPr>
        <w:jc w:val="both"/>
      </w:pPr>
      <w:r>
        <w:rPr>
          <w:b/>
          <w:bCs/>
        </w:rPr>
        <w:t xml:space="preserve">Исследовательский вопрос:</w:t>
      </w:r>
      <w:r>
        <w:t xml:space="preserve"> различаются ли среднее, разброс, распределение и время автокорреляции числа молекул воды между областью малых расстояний (сайт) и областью около 8 Å сильнее, чем допускает неопределённость оценок?</w:t>
      </w:r>
    </w:p>
    <w:p>
      <w:pPr>
        <w:jc w:val="both"/>
      </w:pPr>
      <w:r>
        <w:t xml:space="preserve">Основная траектория – rep2, контрольная – rep0. Основной показатель – целочисленный счётчик воды n_gly_wat, для сравнения используется непрерывный показатель cn_gly_wat.</w:t>
      </w:r>
    </w:p>
    <w:p>
      <w:pPr>
        <w:jc w:val="both"/>
      </w:pPr>
      <w:r>
        <w:t xml:space="preserve">Обозначим участок в сайте буквой S, а участок около 8 Å – буквой P. Проверяемые гипотезы (все альтернативы двусторонние):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для средних: H</w:t>
      </w:r>
      <w:r>
        <w:rPr>
          <w:vertAlign w:val="subscript"/>
        </w:rPr>
        <w:t xml:space="preserve">0</w:t>
      </w:r>
      <w:r>
        <w:t xml:space="preserve">: μ</w:t>
      </w:r>
      <w:r>
        <w:rPr>
          <w:vertAlign w:val="subscript"/>
        </w:rPr>
        <w:t xml:space="preserve">S</w:t>
      </w:r>
      <w:r>
        <w:t xml:space="preserve"> = μ</w:t>
      </w:r>
      <w:r>
        <w:rPr>
          <w:vertAlign w:val="subscript"/>
        </w:rPr>
        <w:t xml:space="preserve">P</w:t>
      </w:r>
      <w:r>
        <w:t xml:space="preserve">, H</w:t>
      </w:r>
      <w:r>
        <w:rPr>
          <w:vertAlign w:val="subscript"/>
        </w:rPr>
        <w:t xml:space="preserve">1</w:t>
      </w:r>
      <w:r>
        <w:t xml:space="preserve">: μ</w:t>
      </w:r>
      <w:r>
        <w:rPr>
          <w:vertAlign w:val="subscript"/>
        </w:rPr>
        <w:t xml:space="preserve">S</w:t>
      </w:r>
      <w:r>
        <w:t xml:space="preserve"> ≠ μ</w:t>
      </w:r>
      <w:r>
        <w:rPr>
          <w:vertAlign w:val="subscript"/>
        </w:rPr>
        <w:t xml:space="preserve">P</w:t>
      </w:r>
      <w:r>
        <w:t xml:space="preserve">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для дисперсий: H</w:t>
      </w:r>
      <w:r>
        <w:rPr>
          <w:vertAlign w:val="subscript"/>
        </w:rPr>
        <w:t xml:space="preserve">0</w:t>
      </w:r>
      <w:r>
        <w:t xml:space="preserve">: σ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S</w:t>
      </w:r>
      <w:r>
        <w:t xml:space="preserve"> = σ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P</w:t>
      </w:r>
      <w:r>
        <w:t xml:space="preserve">, H</w:t>
      </w:r>
      <w:r>
        <w:rPr>
          <w:vertAlign w:val="subscript"/>
        </w:rPr>
        <w:t xml:space="preserve">1</w:t>
      </w:r>
      <w:r>
        <w:t xml:space="preserve">: σ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S</w:t>
      </w:r>
      <w:r>
        <w:t xml:space="preserve"> ≠ σ</w:t>
      </w:r>
      <w:r>
        <w:rPr>
          <w:vertAlign w:val="superscript"/>
        </w:rPr>
        <w:t xml:space="preserve">2</w:t>
      </w:r>
      <w:r>
        <w:rPr>
          <w:vertAlign w:val="subscript"/>
        </w:rPr>
        <w:t xml:space="preserve">P</w:t>
      </w:r>
      <w:r>
        <w:t xml:space="preserve">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для распределений счётчика: H</w:t>
      </w:r>
      <w:r>
        <w:rPr>
          <w:vertAlign w:val="subscript"/>
        </w:rPr>
        <w:t xml:space="preserve">0</w:t>
      </w:r>
      <w:r>
        <w:t xml:space="preserve">: F</w:t>
      </w:r>
      <w:r>
        <w:rPr>
          <w:vertAlign w:val="subscript"/>
        </w:rPr>
        <w:t xml:space="preserve">S</w:t>
      </w:r>
      <w:r>
        <w:t xml:space="preserve"> = F</w:t>
      </w:r>
      <w:r>
        <w:rPr>
          <w:vertAlign w:val="subscript"/>
        </w:rPr>
        <w:t xml:space="preserve">P</w:t>
      </w:r>
      <w:r>
        <w:t xml:space="preserve">, H</w:t>
      </w:r>
      <w:r>
        <w:rPr>
          <w:vertAlign w:val="subscript"/>
        </w:rPr>
        <w:t xml:space="preserve">1</w:t>
      </w:r>
      <w:r>
        <w:t xml:space="preserve">: F</w:t>
      </w:r>
      <w:r>
        <w:rPr>
          <w:vertAlign w:val="subscript"/>
        </w:rPr>
        <w:t xml:space="preserve">S</w:t>
      </w:r>
      <w:r>
        <w:t xml:space="preserve"> ≠ F</w:t>
      </w:r>
      <w:r>
        <w:rPr>
          <w:vertAlign w:val="subscript"/>
        </w:rPr>
        <w:t xml:space="preserve">P</w:t>
      </w:r>
      <w:r>
        <w:t xml:space="preserve">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для времени корреляции: H</w:t>
      </w:r>
      <w:r>
        <w:rPr>
          <w:vertAlign w:val="subscript"/>
        </w:rPr>
        <w:t xml:space="preserve">0</w:t>
      </w:r>
      <w:r>
        <w:t xml:space="preserve">: τ</w:t>
      </w:r>
      <w:r>
        <w:rPr>
          <w:vertAlign w:val="subscript"/>
        </w:rPr>
        <w:t xml:space="preserve">S</w:t>
      </w:r>
      <w:r>
        <w:t xml:space="preserve"> = τ</w:t>
      </w:r>
      <w:r>
        <w:rPr>
          <w:vertAlign w:val="subscript"/>
        </w:rPr>
        <w:t xml:space="preserve">P</w:t>
      </w:r>
      <w:r>
        <w:t xml:space="preserve">, H</w:t>
      </w:r>
      <w:r>
        <w:rPr>
          <w:vertAlign w:val="subscript"/>
        </w:rPr>
        <w:t xml:space="preserve">1</w:t>
      </w:r>
      <w:r>
        <w:t xml:space="preserve">: τ</w:t>
      </w:r>
      <w:r>
        <w:rPr>
          <w:vertAlign w:val="subscript"/>
        </w:rPr>
        <w:t xml:space="preserve">S</w:t>
      </w:r>
      <w:r>
        <w:t xml:space="preserve"> ≠ τ</w:t>
      </w:r>
      <w:r>
        <w:rPr>
          <w:vertAlign w:val="subscript"/>
        </w:rPr>
        <w:t xml:space="preserve">P</w:t>
      </w:r>
      <w:r>
        <w:t xml:space="preserve">.</w:t>
      </w:r>
    </w:p>
    <w:p>
      <w:pPr>
        <w:jc w:val="both"/>
      </w:pPr>
      <w:r>
        <w:t xml:space="preserve">Гипотезы проверяются по отдельности: одинаковые средние ещё не значат одинаковых распределений, а одинаковое распределение – одинаковой скорости изменения.</w:t>
      </w:r>
    </w:p>
    <w:p>
      <w:pPr>
        <w:jc w:val="both"/>
      </w:pPr>
      <w:r>
        <w:t xml:space="preserve">Работа выполнялась в таком порядке: проверка данных и подготовка рабочей таблицы, выбор сравниваемых участков, описательная статистика, автокорреляция и время корреляции, проверка гипотез блочным бутстрэпом, дополнительные методы (энтропия Шеннона и спектральная плотность мощности) и, наконец, повторение анализа на контрольной траектории.</w:t>
      </w:r>
    </w:p>
    <w:p>
      <w:pPr>
        <w:pStyle w:val="Heading1"/>
        <w:pageBreakBefore/>
      </w:pPr>
      <w:bookmarkStart w:name="_Toc002" w:id="2"/>
      <w:r>
        <w:t xml:space="preserve">2 Описание исходных данных</w:t>
      </w:r>
      <w:bookmarkEnd w:id="2"/>
    </w:p>
    <w:p>
      <w:pPr>
        <w:pStyle w:val="Heading2"/>
      </w:pPr>
      <w:bookmarkStart w:name="_Toc003" w:id="3"/>
      <w:r>
        <w:t xml:space="preserve">2.1 Структура файла и переменные</w:t>
      </w:r>
      <w:bookmarkEnd w:id="3"/>
    </w:p>
    <w:p>
      <w:pPr>
        <w:jc w:val="both"/>
      </w:pPr>
      <w:r>
        <w:t xml:space="preserve">Исходный файл gly_matrix_all_reps.csv содержит 33 531 строку и 1344 столбца. Каждая строка – один сохранённый кадр траектории, столбцы – признаки, посчитанные по координатам атомов в этом кадре. В файле три независимых запуска (реализации): rep0 – 8498 кадров, rep1 – 6710 кадров, rep2 – 18 323 кадра. Запуски отличаются только случайными начальными скоростями атомов. По заданию rep2 – основная траектория, rep0 – контрольная; rep1 в этой теме не используется.</w:t>
      </w:r>
    </w:p>
    <w:p>
      <w:pPr>
        <w:jc w:val="both"/>
      </w:pPr>
      <w:r>
        <w:t xml:space="preserve">Из всего файла взяты только переменные нашего задания (таблица 1). Других столбцов мы не перебирали.</w:t>
      </w:r>
    </w:p>
    <w:p>
      <w:pPr>
        <w:keepNext/>
        <w:spacing w:before="120" w:after="60"/>
        <w:ind w:firstLine="0"/>
      </w:pPr>
      <w:r>
        <w:t xml:space="preserve">Таблица 1 – Используемые переменные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4872"/>
        <w:gridCol w:w="2339"/>
      </w:tblGrid>
      <w:tr>
        <w:trPr>
          <w:tblHeader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означает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и единицы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rep, frame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реализация и номер сохранённого кадра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текст; целое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t_ns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время от начала траектории, t = frame · Δt (рассчитано нами)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нс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n_gly_wat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число молекул воды ближе порогового радиуса к глицину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целое, молекулы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cn_gly_wat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координационное число воды: каждая молекула даёт вклад от 1 (близко) до 0 (далеко), плавно убывающий у порога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дробное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dist_ca_gly_com_bs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расстояние от атома Cα глицина до центра масс сайта связывания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Å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sasa_gly</w:t>
            </w:r>
          </w:p>
        </w:tc>
        <w:tc>
          <w:tcPr>
            <w:tcW w:type="dxa" w:w="4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площадь поверхности глицина, доступная растворителю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единицы в описании не указаны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Модель, по которой получены данные [1, 3]: человеческий GlyT1 в конформации, открытой наружу (структура PDB 8WFL), глицин и ионы Na1, Na2, Cl</w:t>
      </w:r>
      <w:r>
        <w:rPr>
          <w:vertAlign w:val="superscript"/>
        </w:rPr>
        <w:t xml:space="preserve">−</w:t>
      </w:r>
      <w:r>
        <w:t xml:space="preserve"> перенесены из структуры 8WFI [2]. Белок помещён в мембрану из POPC и раствор NaCl 150 мМ, вода – модель TIP3P, силовое поле CHARMM36m, температура 310 K, давление 1 бар.</w:t>
      </w:r>
    </w:p>
    <w:p>
      <w:pPr>
        <w:pStyle w:val="Heading2"/>
      </w:pPr>
      <w:bookmarkStart w:name="_Toc004" w:id="4"/>
      <w:r>
        <w:t xml:space="preserve">2.2 Проверка качества данных</w:t>
      </w:r>
      <w:bookmarkEnd w:id="4"/>
    </w:p>
    <w:p>
      <w:pPr>
        <w:jc w:val="both"/>
      </w:pPr>
      <w:r>
        <w:t xml:space="preserve">Перед расчётами файл проверен по пунктам задания (диапазоны значений приведены в таблице 2):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пропусков в rep и frame нет, повторяющихся пар (rep, frame) нет;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внутри каждой реализации кадры идут по порядку с нуля с шагом 1, пропущенных кадров нет;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 четырёх переменных задания нет пропусков, нечисловых, бесконечных и отрицательных значений;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n_gly_wat во всех кадрах целое;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нулевые значения sasa_gly встречаются; это не ошибка: глицин может быть полностью закрыт белком.</w:t>
      </w:r>
    </w:p>
    <w:p>
      <w:pPr>
        <w:keepNext/>
        <w:spacing w:before="120" w:after="60"/>
        <w:ind w:firstLine="0"/>
      </w:pPr>
      <w:r>
        <w:t xml:space="preserve">Таблица 2 – Диапазоны переменных задания в полном файле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8"/>
        <w:gridCol w:w="2599"/>
        <w:gridCol w:w="2598"/>
      </w:tblGrid>
      <w:tr>
        <w:trPr>
          <w:tblHeader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Минимум</w:t>
            </w:r>
          </w:p>
        </w:tc>
        <w:tc>
          <w:tcPr>
            <w:tcW w:type="dxa" w:w="2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Максимум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n_gly_wat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cn_gly_wat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1,516</w:t>
            </w:r>
          </w:p>
        </w:tc>
        <w:tc>
          <w:tcPr>
            <w:tcW w:type="dxa" w:w="2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13,090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dist_ca_gly_com_bs, Å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0,081</w:t>
            </w:r>
          </w:p>
        </w:tc>
        <w:tc>
          <w:tcPr>
            <w:tcW w:type="dxa" w:w="2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33,197</w:t>
            </w:r>
          </w:p>
        </w:tc>
      </w:tr>
      <w:tr>
        <w:trPr>
          <w:cantSplit/>
        </w:trPr>
        <w:tc>
          <w:tcPr>
            <w:tcW w:type="dxa" w:w="41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sasa_gly</w:t>
            </w:r>
          </w:p>
        </w:tc>
        <w:tc>
          <w:tcPr>
            <w:tcW w:type="dxa" w:w="25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5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222,8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005" w:id="5"/>
      <w:r>
        <w:t xml:space="preserve">2.3 Преобразования</w:t>
      </w:r>
      <w:bookmarkEnd w:id="5"/>
    </w:p>
    <w:p>
      <w:pPr>
        <w:jc w:val="both"/>
      </w:pPr>
      <w:r>
        <w:t xml:space="preserve">Кадры сохранены через Δt = 50 пс = 0,05 нс, поэтому время считается как t = frame · Δt. Частота дискретизации – 20 кадров в наносекунду, частота Найквиста – 10 циклов/нс. Рабочая таблица содержит 26 821 строку (кадры rep0 и rep2) и 7 столбцов: rep, frame, t_ns и четыре переменные задания. Показатели гидратации никак не сглаживались и не преобразовывались. Сглаживание применялось только к расстоянию и только для определения границ участков (раздел 4).</w:t>
      </w:r>
    </w:p>
    <w:p>
      <w:pPr>
        <w:jc w:val="both"/>
      </w:pPr>
      <w:r>
        <w:t xml:space="preserve">В описании данных не указаны точный радиус подсчёта воды, формула cn_gly_wat и единицы SASA. Поэтому мы сравниваем сами ряды и не делаем выводов, которые зависят от этих параметров.</w:t>
      </w:r>
    </w:p>
    <w:p>
      <w:pPr>
        <w:pStyle w:val="Heading1"/>
        <w:pageBreakBefore/>
      </w:pPr>
      <w:bookmarkStart w:name="_Toc006" w:id="6"/>
      <w:r>
        <w:t xml:space="preserve">3 Математические методы</w:t>
      </w:r>
      <w:bookmarkEnd w:id="6"/>
    </w:p>
    <w:p>
      <w:pPr>
        <w:pStyle w:val="Heading2"/>
      </w:pPr>
      <w:bookmarkStart w:name="_Toc007" w:id="7"/>
      <w:r>
        <w:t xml:space="preserve">3.1 Среднее, дисперсия и распределение</w:t>
      </w:r>
      <w:bookmarkEnd w:id="7"/>
    </w:p>
    <w:p>
      <w:pPr>
        <w:jc w:val="both"/>
      </w:pPr>
      <w:r>
        <w:t xml:space="preserve">Для каждого участка из N кадров считаются выборочное среднее и выборочная дисперсия: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x̄ = (1/N) · Σ</w:t>
      </w:r>
      <w:r>
        <w:rPr>
          <w:vertAlign w:val="subscript"/>
        </w:rPr>
        <w:t xml:space="preserve">i=1</w:t>
      </w:r>
      <w:r>
        <w:rPr>
          <w:vertAlign w:val="superscript"/>
        </w:rPr>
        <w:t xml:space="preserve">N</w:t>
      </w:r>
      <w:r>
        <w:t xml:space="preserve"> x</w:t>
      </w:r>
      <w:r>
        <w:rPr>
          <w:vertAlign w:val="subscript"/>
        </w:rPr>
        <w:t xml:space="preserve">i</w:t>
      </w:r>
      <w:r>
        <w:t xml:space="preserve">,    s</w:t>
      </w:r>
      <w:r>
        <w:rPr>
          <w:vertAlign w:val="superscript"/>
        </w:rPr>
        <w:t xml:space="preserve">2</w:t>
      </w:r>
      <w:r>
        <w:t xml:space="preserve"> = Σ</w:t>
      </w:r>
      <w:r>
        <w:rPr>
          <w:vertAlign w:val="subscript"/>
        </w:rPr>
        <w:t xml:space="preserve">i=1</w:t>
      </w:r>
      <w:r>
        <w:rPr>
          <w:vertAlign w:val="superscript"/>
        </w:rPr>
        <w:t xml:space="preserve">N</w:t>
      </w:r>
      <w:r>
        <w:t xml:space="preserve"> (x</w:t>
      </w:r>
      <w:r>
        <w:rPr>
          <w:vertAlign w:val="subscript"/>
        </w:rPr>
        <w:t xml:space="preserve">i</w:t>
      </w:r>
      <w:r>
        <w:t xml:space="preserve"> − x̄)</w:t>
      </w:r>
      <w:r>
        <w:rPr>
          <w:vertAlign w:val="superscript"/>
        </w:rPr>
        <w:t xml:space="preserve">2</w:t>
      </w:r>
      <w:r>
        <w:t xml:space="preserve"> / (N − 1),</w:t>
      </w:r>
      <w:r>
        <w:t xml:space="preserve">	(1)</w:t>
      </w:r>
    </w:p>
    <w:p>
      <w:pPr>
        <w:jc w:val="both"/>
      </w:pPr>
      <w:r>
        <w:t xml:space="preserve">где x</w:t>
      </w:r>
      <w:r>
        <w:rPr>
          <w:vertAlign w:val="subscript"/>
        </w:rPr>
        <w:t xml:space="preserve">i</w:t>
      </w:r>
      <w:r>
        <w:t xml:space="preserve"> – значение n_gly_wat или cn_gly_wat в i-м кадре участка. Среднее показывает типичный уровень гидратации, дисперсия – насколько сильно число молекул воды колеблется вокруг него.</w:t>
      </w:r>
    </w:p>
    <w:p>
      <w:pPr>
        <w:jc w:val="both"/>
      </w:pPr>
      <w:r>
        <w:t xml:space="preserve">Так как n_gly_wat принимает целые значения, его распределение задаётся долями кадров: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p(k) = N</w:t>
      </w:r>
      <w:r>
        <w:rPr>
          <w:vertAlign w:val="subscript"/>
        </w:rPr>
        <w:t xml:space="preserve">k</w:t>
      </w:r>
      <w:r>
        <w:t xml:space="preserve"> / N,</w:t>
      </w:r>
      <w:r>
        <w:t xml:space="preserve">	(2)</w:t>
      </w:r>
    </w:p>
    <w:p>
      <w:pPr>
        <w:jc w:val="both"/>
      </w:pPr>
      <w:r>
        <w:t xml:space="preserve">где N</w:t>
      </w:r>
      <w:r>
        <w:rPr>
          <w:vertAlign w:val="subscript"/>
        </w:rPr>
        <w:t xml:space="preserve">k</w:t>
      </w:r>
      <w:r>
        <w:t xml:space="preserve"> – число кадров, в которых n_gly_wat = k. Распределения двух участков строятся на общей шкале значений k.</w:t>
      </w:r>
    </w:p>
    <w:p>
      <w:pPr>
        <w:jc w:val="both"/>
      </w:pPr>
      <w:r>
        <w:t xml:space="preserve">Связь двух показателей гидратации описывается коэффициентом корреляции Пирсона, посчитанным по кадрам: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r = Σ (x</w:t>
      </w:r>
      <w:r>
        <w:rPr>
          <w:vertAlign w:val="subscript"/>
        </w:rPr>
        <w:t xml:space="preserve">i</w:t>
      </w:r>
      <w:r>
        <w:t xml:space="preserve"> − x̄)(y</w:t>
      </w:r>
      <w:r>
        <w:rPr>
          <w:vertAlign w:val="subscript"/>
        </w:rPr>
        <w:t xml:space="preserve">i</w:t>
      </w:r>
      <w:r>
        <w:t xml:space="preserve"> − ȳ) / √[Σ (x</w:t>
      </w:r>
      <w:r>
        <w:rPr>
          <w:vertAlign w:val="subscript"/>
        </w:rPr>
        <w:t xml:space="preserve">i</w:t>
      </w:r>
      <w:r>
        <w:t xml:space="preserve"> − x̄)</w:t>
      </w:r>
      <w:r>
        <w:rPr>
          <w:vertAlign w:val="superscript"/>
        </w:rPr>
        <w:t xml:space="preserve">2</w:t>
      </w:r>
      <w:r>
        <w:t xml:space="preserve"> · Σ (y</w:t>
      </w:r>
      <w:r>
        <w:rPr>
          <w:vertAlign w:val="subscript"/>
        </w:rPr>
        <w:t xml:space="preserve">i</w:t>
      </w:r>
      <w:r>
        <w:t xml:space="preserve"> − ȳ)</w:t>
      </w:r>
      <w:r>
        <w:rPr>
          <w:vertAlign w:val="superscript"/>
        </w:rPr>
        <w:t xml:space="preserve">2</w:t>
      </w:r>
      <w:r>
        <w:t xml:space="preserve">],</w:t>
      </w:r>
      <w:r>
        <w:t xml:space="preserve">	(3)</w:t>
      </w:r>
    </w:p>
    <w:p>
      <w:pPr>
        <w:jc w:val="both"/>
      </w:pPr>
      <w:r>
        <w:t xml:space="preserve">где x</w:t>
      </w:r>
      <w:r>
        <w:rPr>
          <w:vertAlign w:val="subscript"/>
        </w:rPr>
        <w:t xml:space="preserve">i</w:t>
      </w:r>
      <w:r>
        <w:t xml:space="preserve"> и y</w:t>
      </w:r>
      <w:r>
        <w:rPr>
          <w:vertAlign w:val="subscript"/>
        </w:rPr>
        <w:t xml:space="preserve">i</w:t>
      </w:r>
      <w:r>
        <w:t xml:space="preserve"> – значения n_gly_wat и cn_gly_wat в одном и том же кадре. Оба показателя описывают одну и ту же воду, поэтому высокая корреляция ожидаема и не является независимым подтверждением.</w:t>
      </w:r>
    </w:p>
    <w:p>
      <w:pPr>
        <w:jc w:val="both"/>
      </w:pPr>
      <w:r>
        <w:t xml:space="preserve">Эти характеристики простые и понятные, но у них есть важное ограничение: соседние кадры МД сильно зависимы. 5209 кадров одного участка – это не 5209 независимых опытов, поэтому обычные формулы стандартной ошибки и t-критерий здесь не подходят (раздел 3.4).</w:t>
      </w:r>
    </w:p>
    <w:p>
      <w:pPr>
        <w:pStyle w:val="Heading2"/>
      </w:pPr>
      <w:bookmarkStart w:name="_Toc008" w:id="8"/>
      <w:r>
        <w:t xml:space="preserve">3.2 Автокорреляционная функция и время корреляции</w:t>
      </w:r>
      <w:bookmarkEnd w:id="8"/>
    </w:p>
    <w:p>
      <w:pPr>
        <w:jc w:val="both"/>
      </w:pPr>
      <w:r>
        <w:t xml:space="preserve">Автокорреляционная функция (АКФ) показывает, насколько значение ряда в момент t похоже на его значение через k кадров. Нормированная выборочная АКФ на лаге k: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ρ̂(k) = Σ</w:t>
      </w:r>
      <w:r>
        <w:rPr>
          <w:vertAlign w:val="subscript"/>
        </w:rPr>
        <w:t xml:space="preserve">i=1</w:t>
      </w:r>
      <w:r>
        <w:rPr>
          <w:vertAlign w:val="superscript"/>
        </w:rPr>
        <w:t xml:space="preserve">N−k</w:t>
      </w:r>
      <w:r>
        <w:t xml:space="preserve"> (x</w:t>
      </w:r>
      <w:r>
        <w:rPr>
          <w:vertAlign w:val="subscript"/>
        </w:rPr>
        <w:t xml:space="preserve">i</w:t>
      </w:r>
      <w:r>
        <w:t xml:space="preserve"> − x̄)(x</w:t>
      </w:r>
      <w:r>
        <w:rPr>
          <w:vertAlign w:val="subscript"/>
        </w:rPr>
        <w:t xml:space="preserve">i+k</w:t>
      </w:r>
      <w:r>
        <w:t xml:space="preserve"> − x̄) / Σ</w:t>
      </w:r>
      <w:r>
        <w:rPr>
          <w:vertAlign w:val="subscript"/>
        </w:rPr>
        <w:t xml:space="preserve">i=1</w:t>
      </w:r>
      <w:r>
        <w:rPr>
          <w:vertAlign w:val="superscript"/>
        </w:rPr>
        <w:t xml:space="preserve">N</w:t>
      </w:r>
      <w:r>
        <w:t xml:space="preserve"> (x</w:t>
      </w:r>
      <w:r>
        <w:rPr>
          <w:vertAlign w:val="subscript"/>
        </w:rPr>
        <w:t xml:space="preserve">i</w:t>
      </w:r>
      <w:r>
        <w:t xml:space="preserve"> − x̄)</w:t>
      </w:r>
      <w:r>
        <w:rPr>
          <w:vertAlign w:val="superscript"/>
        </w:rPr>
        <w:t xml:space="preserve">2</w:t>
      </w:r>
      <w:r>
        <w:t xml:space="preserve">.</w:t>
      </w:r>
      <w:r>
        <w:t xml:space="preserve">	(4)</w:t>
      </w:r>
    </w:p>
    <w:p>
      <w:pPr>
        <w:jc w:val="both"/>
      </w:pPr>
      <w:r>
        <w:t xml:space="preserve">Лаг k – сдвиг ряда относительно самого себя в кадрах, ему соответствует время k · Δt = k · 0,05 нс. При k = 0 АКФ равна 1; чем быстрее она спадает, тем быстрее «забывается» текущее число молекул воды. По условию задания время корреляции – первый лаг, на котором АКФ становится меньше 1/e: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τ</w:t>
      </w:r>
      <w:r>
        <w:rPr>
          <w:vertAlign w:val="subscript"/>
        </w:rPr>
        <w:t xml:space="preserve">c</w:t>
      </w:r>
      <w:r>
        <w:t xml:space="preserve"> = Δt · min { k ≥ 1 : ρ̂(k) &lt; 1/e },    1/e ≈ 0,368.</w:t>
      </w:r>
      <w:r>
        <w:t xml:space="preserve">	(5)</w:t>
      </w:r>
    </w:p>
    <w:p>
      <w:pPr>
        <w:jc w:val="both"/>
      </w:pPr>
      <w:r>
        <w:t xml:space="preserve">АКФ считалась функцией acf из пакета statsmodels [12] со стандартной нормировкой на N, как в формуле (4). Лаги рассматривались до N/4: на больших лагах пар значений остаётся слишком мало. Если пересечения 1/e в этом диапазоне нет, время корреляции не указывается. Важно, что τ</w:t>
      </w:r>
      <w:r>
        <w:rPr>
          <w:vertAlign w:val="subscript"/>
        </w:rPr>
        <w:t xml:space="preserve">c</w:t>
      </w:r>
      <w:r>
        <w:t xml:space="preserve"> – характеристика счётчика воды в целом, а не время, которое конкретная молекула воды проводит рядом с глицином.</w:t>
      </w:r>
    </w:p>
    <w:p>
      <w:pPr>
        <w:pStyle w:val="Heading2"/>
      </w:pPr>
      <w:bookmarkStart w:name="_Toc009" w:id="9"/>
      <w:r>
        <w:t xml:space="preserve">3.3 Проверка стационарности</w:t>
      </w:r>
      <w:bookmarkEnd w:id="9"/>
    </w:p>
    <w:p>
      <w:pPr>
        <w:jc w:val="both"/>
      </w:pPr>
      <w:r>
        <w:t xml:space="preserve">АКФ как функция одного лага имеет смысл только для стационарного ряда, то есть если его среднее, разброс и характер колебаний не меняются по участку [4]. Если среднее медленно «ползёт», АКФ спадает медленнее, и время корреляции получается завышенным. Поэтому каждый участок проверялся тремя способами.</w:t>
      </w:r>
    </w:p>
    <w:p>
      <w:pPr>
        <w:jc w:val="both"/>
      </w:pPr>
      <w:r>
        <w:t xml:space="preserve">1. Величина тренда. Через ряд проводится прямая методом наименьших квадратов, и её изменение за весь участок выражается в стандартных отклонениях ряда: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D = b · T / s,</w:t>
      </w:r>
      <w:r>
        <w:t xml:space="preserve">	(6)</w:t>
      </w:r>
    </w:p>
    <w:p>
      <w:pPr>
        <w:jc w:val="both"/>
      </w:pPr>
      <w:r>
        <w:t xml:space="preserve">где b – наклон прямой, T – длительность участка, s – стандартное отклонение. D = 0,1 означает, что за участок среднее сдвинулось на десятую часть разброса (несущественно), D = 0,9 – почти на весь разброс.</w:t>
      </w:r>
    </w:p>
    <w:p>
      <w:pPr>
        <w:jc w:val="both"/>
      </w:pPr>
      <w:r>
        <w:t xml:space="preserve">2. Тесты стационарности. Тест KPSS [5] проверяет нулевую гипотезу «ряд стационарен около постоянного среднего»; малое p (&lt; 0,05) говорит, что среднее меняется. Тест ADF [6] проверяет обратную гипотезу «ряд – случайное блуждание»; он плохо замечает медленный дрейф, поэтому используется только вместе с KPSS. Оба теста учитывают зависимость соседних кадров.</w:t>
      </w:r>
    </w:p>
    <w:p>
      <w:pPr>
        <w:jc w:val="both"/>
      </w:pPr>
      <w:r>
        <w:t xml:space="preserve">3. Устойчивость по половинам. Первое пересечение 1/e ищется отдельно в первой и во второй половине участка.</w:t>
      </w:r>
    </w:p>
    <w:p>
      <w:pPr>
        <w:jc w:val="both"/>
      </w:pPr>
      <w:r>
        <w:t xml:space="preserve">Правило было задано до расчётов: участок пригоден для оценки времени корреляции, если KPSS не отвергает стационарность (p &gt; 0,05) и |D| &lt; 0,5. Если пересечения в половинах расходятся больше чем в два раза, время корреляции считается неоценимым. Если участок не прошёл проверку стационарности, но половины согласуются, оценка приводится с пометкой «условно».</w:t>
      </w:r>
    </w:p>
    <w:p>
      <w:pPr>
        <w:pStyle w:val="Heading2"/>
      </w:pPr>
      <w:bookmarkStart w:name="_Toc010" w:id="10"/>
      <w:r>
        <w:t xml:space="preserve">3.4 Сравнение участков с учётом зависимости кадров</w:t>
      </w:r>
      <w:bookmarkEnd w:id="10"/>
    </w:p>
    <w:p>
      <w:pPr>
        <w:jc w:val="both"/>
      </w:pPr>
      <w:r>
        <w:t xml:space="preserve">Чтобы понять, больше ли разность двух участков, чем случайный разброс, нужна оценка неопределённости. Обычный бутстрэп [9] делает это так: из данных много раз случайно (с возвращением) выбираются наблюдения, статистика пересчитывается, и по разбросу пересчитанных значений строится доверительный интервал. Но обычный бутстрэп выбирает кадры по одному и разрушает зависимость соседних кадров, из-за чего интервалы получаются слишком узкими.</w:t>
      </w:r>
    </w:p>
    <w:p>
      <w:pPr>
        <w:jc w:val="both"/>
      </w:pPr>
      <w:r>
        <w:t xml:space="preserve">Поэтому использован </w:t>
      </w:r>
      <w:r>
        <w:rPr>
          <w:b/>
          <w:bCs/>
        </w:rPr>
        <w:t xml:space="preserve">блочный бутстрэп</w:t>
      </w:r>
      <w:r>
        <w:t xml:space="preserve"> [7]: ряд пересобирается не из отдельных кадров, а из кусков подряд идущих кадров (блоков) длины L, взятых в случайных местах ряда. Внутри блока зависимость кадров сохраняется. Применялась реализация MovingBlockBootstrap из пакета arch [13] без склейки конца ряда с началом: при тренде такая склейка дала бы ложный скачок. Каждый участок пересобирается отдельно, n_gly_wat и cn_gly_wat – одними и теми же блоками.</w:t>
      </w:r>
    </w:p>
    <w:p>
      <w:pPr>
        <w:jc w:val="both"/>
      </w:pPr>
      <w:r>
        <w:t xml:space="preserve">Длина блока выбрана методом Политиса–Уайта [8], который подбирает её по самой АКФ ряда. Метод применялся к четырём рядам (n и cn на обоих участках), и из полученных длин бралась наибольшая. Для rep2 это L = 182 кадра (9,1 нс), для rep0 – 19 кадров (0,95 нс). Чтобы проверить, не зависит ли вывод от выбора L, расчёт повторялся с блоками в 0,5; 2 и 4 раза длиннее. Если на участок приходится меньше 10 блоков, вывод не делается: бутстрэпу не из чего набрать разнообразие.</w:t>
      </w:r>
    </w:p>
    <w:p>
      <w:pPr>
        <w:jc w:val="both"/>
      </w:pPr>
      <w:r>
        <w:t xml:space="preserve">В каждом из B = 2000 повторов считается разность Δ</w:t>
      </w:r>
      <w:r>
        <w:rPr>
          <w:vertAlign w:val="superscript"/>
        </w:rPr>
        <w:t xml:space="preserve">*</w:t>
      </w:r>
      <w:r>
        <w:t xml:space="preserve"> = θ</w:t>
      </w:r>
      <w:r>
        <w:rPr>
          <w:vertAlign w:val="superscript"/>
        </w:rPr>
        <w:t xml:space="preserve">*</w:t>
      </w:r>
      <w:r>
        <w:rPr>
          <w:vertAlign w:val="subscript"/>
        </w:rPr>
        <w:t xml:space="preserve">P</w:t>
      </w:r>
      <w:r>
        <w:t xml:space="preserve"> − θ</w:t>
      </w:r>
      <w:r>
        <w:rPr>
          <w:vertAlign w:val="superscript"/>
        </w:rPr>
        <w:t xml:space="preserve">*</w:t>
      </w:r>
      <w:r>
        <w:rPr>
          <w:vertAlign w:val="subscript"/>
        </w:rPr>
        <w:t xml:space="preserve">S</w:t>
      </w:r>
      <w:r>
        <w:t xml:space="preserve">, где θ – сравниваемая статистика (среднее, дисперсия или τ</w:t>
      </w:r>
      <w:r>
        <w:rPr>
          <w:vertAlign w:val="subscript"/>
        </w:rPr>
        <w:t xml:space="preserve">c</w:t>
      </w:r>
      <w:r>
        <w:t xml:space="preserve">). 95%-й доверительный интервал (ДИ) образуют 2,5-й и 97,5-й процентили этих разностей. Если ноль не попадает в ДИ, различие больше неопределённости. Двусторонний p-value получен по тем же повторам: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p = min { 1;  2 · (min { #(Δ</w:t>
      </w:r>
      <w:r>
        <w:rPr>
          <w:vertAlign w:val="superscript"/>
        </w:rPr>
        <w:t xml:space="preserve">*</w:t>
      </w:r>
      <w:r>
        <w:t xml:space="preserve"> ≤ 0); #(Δ</w:t>
      </w:r>
      <w:r>
        <w:rPr>
          <w:vertAlign w:val="superscript"/>
        </w:rPr>
        <w:t xml:space="preserve">*</w:t>
      </w:r>
      <w:r>
        <w:t xml:space="preserve"> ≥ 0) } + 1) / (B + 1) },</w:t>
      </w:r>
      <w:r>
        <w:t xml:space="preserve">	(7)</w:t>
      </w:r>
    </w:p>
    <w:p>
      <w:pPr>
        <w:jc w:val="both"/>
      </w:pPr>
      <w:r>
        <w:t xml:space="preserve">где #(…) – число повторов, удовлетворяющих условию. Такой p согласован с интервалом: на всех наших участках p &lt; 0,05 получается ровно тогда, когда ноль вне 95% ДИ. Наименьшее возможное значение 2/2001 ≈ 0,001, поэтому запись «≤ 0,001» означает «меньше, чем позволяет различить число повторов». Если сама точечная оценка лежит вне своего ДИ или среднее повторов заметно сдвинуто от неё, бутстрэп считается смещённым, и по этой статистике вывод не делается.</w:t>
      </w:r>
    </w:p>
    <w:p>
      <w:pPr>
        <w:jc w:val="both"/>
      </w:pPr>
      <w:r>
        <w:t xml:space="preserve">Распределения целиком сравниваются через расстояние полной вариации (total variation distance, TVD):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TVD = ½ · Σ</w:t>
      </w:r>
      <w:r>
        <w:rPr>
          <w:vertAlign w:val="subscript"/>
        </w:rPr>
        <w:t xml:space="preserve">k</w:t>
      </w:r>
      <w:r>
        <w:t xml:space="preserve"> | p</w:t>
      </w:r>
      <w:r>
        <w:rPr>
          <w:vertAlign w:val="subscript"/>
        </w:rPr>
        <w:t xml:space="preserve">S</w:t>
      </w:r>
      <w:r>
        <w:t xml:space="preserve">(k) − p</w:t>
      </w:r>
      <w:r>
        <w:rPr>
          <w:vertAlign w:val="subscript"/>
        </w:rPr>
        <w:t xml:space="preserve">P</w:t>
      </w:r>
      <w:r>
        <w:t xml:space="preserve">(k) |.</w:t>
      </w:r>
      <w:r>
        <w:t xml:space="preserve">	(8)</w:t>
      </w:r>
    </w:p>
    <w:p>
      <w:pPr>
        <w:jc w:val="both"/>
      </w:pPr>
      <w:r>
        <w:t xml:space="preserve">TVD = 0, если распределения совпадают, и 1, если у них нет общих значений. Для проверки гипотезы H</w:t>
      </w:r>
      <w:r>
        <w:rPr>
          <w:vertAlign w:val="subscript"/>
        </w:rPr>
        <w:t xml:space="preserve">0</w:t>
      </w:r>
      <w:r>
        <w:t xml:space="preserve">: F</w:t>
      </w:r>
      <w:r>
        <w:rPr>
          <w:vertAlign w:val="subscript"/>
        </w:rPr>
        <w:t xml:space="preserve">S</w:t>
      </w:r>
      <w:r>
        <w:t xml:space="preserve"> = F</w:t>
      </w:r>
      <w:r>
        <w:rPr>
          <w:vertAlign w:val="subscript"/>
        </w:rPr>
        <w:t xml:space="preserve">P</w:t>
      </w:r>
      <w:r>
        <w:t xml:space="preserve"> использована блочная перестановка: блоки обоих участков перемешиваются и случайно делятся на две группы, TVD пересчитывается. Если наблюдаемое TVD больше почти всех перемешанных, H</w:t>
      </w:r>
      <w:r>
        <w:rPr>
          <w:vertAlign w:val="subscript"/>
        </w:rPr>
        <w:t xml:space="preserve">0</w:t>
      </w:r>
      <w:r>
        <w:t xml:space="preserve"> отвергается: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p = (#(TVD</w:t>
      </w:r>
      <w:r>
        <w:rPr>
          <w:vertAlign w:val="superscript"/>
        </w:rPr>
        <w:t xml:space="preserve">*</w:t>
      </w:r>
      <w:r>
        <w:t xml:space="preserve"> ≥ TVD</w:t>
      </w:r>
      <w:r>
        <w:rPr>
          <w:vertAlign w:val="subscript"/>
        </w:rPr>
        <w:t xml:space="preserve">набл</w:t>
      </w:r>
      <w:r>
        <w:t xml:space="preserve">) + 1) / (B + 1).</w:t>
      </w:r>
      <w:r>
        <w:t xml:space="preserve">	(9)</w:t>
      </w:r>
    </w:p>
    <w:p>
      <w:pPr>
        <w:jc w:val="both"/>
      </w:pPr>
      <w:r>
        <w:t xml:space="preserve">Для этого теста ряды обрезаются до целого числа блоков, поэтому TVD в нём чуть отличается от TVD полных рядов.</w:t>
      </w:r>
    </w:p>
    <w:p>
      <w:pPr>
        <w:pStyle w:val="Heading2"/>
      </w:pPr>
      <w:bookmarkStart w:name="_Toc011" w:id="11"/>
      <w:r>
        <w:t xml:space="preserve">3.5 Проверка самого бутстрэпа на суррогатных рядах</w:t>
      </w:r>
      <w:bookmarkEnd w:id="11"/>
    </w:p>
    <w:p>
      <w:pPr>
        <w:jc w:val="both"/>
      </w:pPr>
      <w:r>
        <w:t xml:space="preserve">Блочный бутстрэп даёт правильные интервалы, только если блок длиннее всех заметных колебаний ряда. Чтобы проверить это на наших данных, использованы суррогатные ряды [10]: искусственные ряды с тем же спектром (тем же набором медленных и быстрых колебаний) и тем же распределением значений, что у реального ряда, но без всякого различия между участками, то есть с заведомо верной H</w:t>
      </w:r>
      <w:r>
        <w:rPr>
          <w:vertAlign w:val="subscript"/>
        </w:rPr>
        <w:t xml:space="preserve">0</w:t>
      </w:r>
      <w:r>
        <w:t xml:space="preserve">. На них видно, как часто метод находит различие, которого нет, и каков настоящий разброс разности средних. По разбросу на суррогатах получена более честная оценка p для средних: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z = Δ / SE</w:t>
      </w:r>
      <w:r>
        <w:rPr>
          <w:vertAlign w:val="subscript"/>
        </w:rPr>
        <w:t xml:space="preserve">сурр</w:t>
      </w:r>
      <w:r>
        <w:t xml:space="preserve">,    p = 2 · Φ(−|z|),</w:t>
      </w:r>
      <w:r>
        <w:t xml:space="preserve">	(10)</w:t>
      </w:r>
    </w:p>
    <w:p>
      <w:pPr>
        <w:jc w:val="both"/>
      </w:pPr>
      <w:r>
        <w:t xml:space="preserve">где Δ – наблюдаемая разность средних, SE</w:t>
      </w:r>
      <w:r>
        <w:rPr>
          <w:vertAlign w:val="subscript"/>
        </w:rPr>
        <w:t xml:space="preserve">сурр</w:t>
      </w:r>
      <w:r>
        <w:t xml:space="preserve"> – стандартное отклонение разности по суррогатам, Φ – функция стандартного нормального распределения. Для TVD p оценивается как доля суррогатов, давших TVD не меньше наблюдаемого. Эти оценки тоже зависят от модели: они верны настолько, насколько суррогаты воспроизводят медленные колебания реальных данных.</w:t>
      </w:r>
    </w:p>
    <w:p>
      <w:pPr>
        <w:pStyle w:val="Heading2"/>
      </w:pPr>
      <w:bookmarkStart w:name="_Toc012" w:id="12"/>
      <w:r>
        <w:t xml:space="preserve">3.6 Дополнительные методы: энтропия и спектр</w:t>
      </w:r>
      <w:bookmarkEnd w:id="12"/>
    </w:p>
    <w:p>
      <w:pPr>
        <w:jc w:val="both"/>
      </w:pPr>
      <w:r>
        <w:t xml:space="preserve">Энтропия Шеннона [11] распределения счётчика показывает, насколько трудно заранее угадать число молекул воды: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H = − Σ</w:t>
      </w:r>
      <w:r>
        <w:rPr>
          <w:vertAlign w:val="subscript"/>
        </w:rPr>
        <w:t xml:space="preserve">k</w:t>
      </w:r>
      <w:r>
        <w:t xml:space="preserve"> p(k) · log</w:t>
      </w:r>
      <w:r>
        <w:rPr>
          <w:vertAlign w:val="subscript"/>
        </w:rPr>
        <w:t xml:space="preserve">2</w:t>
      </w:r>
      <w:r>
        <w:t xml:space="preserve"> p(k)  (бит).</w:t>
      </w:r>
      <w:r>
        <w:t xml:space="preserve">	(11)</w:t>
      </w:r>
    </w:p>
    <w:p>
      <w:pPr>
        <w:jc w:val="both"/>
      </w:pPr>
      <w:r>
        <w:t xml:space="preserve">Если воды всегда ровно 6 молекул, H = 0; если равновероятны 4 значения, H = 2 бита. В отличие от дисперсии, энтропия не зависит от того, насколько далеко значения друг от друга, – только от того, как «размазаны» вероятности. Оценка по выборке занижена; её поправка Миллера–Мэдоу [14] равна (K − 1)/(2N ln 2), где K – число встреченных значений. Энтропия зависит от длины участка, поэтому она дополнительно считалась в окнах разной длины.</w:t>
      </w:r>
    </w:p>
    <w:p>
      <w:pPr>
        <w:jc w:val="both"/>
      </w:pPr>
      <w:r>
        <w:t xml:space="preserve">Спектральная плотность мощности (СПМ) показывает, какая часть дисперсии ряда приходится на колебания разной частоты. Она оценивалась методом Уэлча [15]: ряд делится на куски длиной M = 2048 кадров (102,4 нс) с перекрытием 50%, из каждого куска вычитается линейный тренд, кусок умножается на окно Ханна w</w:t>
      </w:r>
      <w:r>
        <w:rPr>
          <w:vertAlign w:val="subscript"/>
        </w:rPr>
        <w:t xml:space="preserve">m</w:t>
      </w:r>
      <w:r>
        <w:t xml:space="preserve">, и спектры кусков усредняются:</w:t>
      </w:r>
    </w:p>
    <w:p>
      <w:pPr>
        <w:tabs>
          <w:tab w:val="center" w:pos="4678"/>
          <w:tab w:val="right" w:pos="9355"/>
        </w:tabs>
        <w:spacing w:before="120" w:after="120"/>
        <w:ind w:firstLine="0"/>
      </w:pPr>
      <w:r>
        <w:t xml:space="preserve">	</w:t>
      </w:r>
      <w:r>
        <w:t xml:space="preserve">S(f) = (1/K) · Σ</w:t>
      </w:r>
      <w:r>
        <w:rPr>
          <w:vertAlign w:val="subscript"/>
        </w:rPr>
        <w:t xml:space="preserve">j=1</w:t>
      </w:r>
      <w:r>
        <w:rPr>
          <w:vertAlign w:val="superscript"/>
        </w:rPr>
        <w:t xml:space="preserve">K</w:t>
      </w:r>
      <w:r>
        <w:t xml:space="preserve"> (Δt / Σ</w:t>
      </w:r>
      <w:r>
        <w:rPr>
          <w:vertAlign w:val="subscript"/>
        </w:rPr>
        <w:t xml:space="preserve">m</w:t>
      </w:r>
      <w:r>
        <w:t xml:space="preserve"> w</w:t>
      </w:r>
      <w:r>
        <w:rPr>
          <w:vertAlign w:val="subscript"/>
        </w:rPr>
        <w:t xml:space="preserve">m</w:t>
      </w:r>
      <w:r>
        <w:rPr>
          <w:vertAlign w:val="superscript"/>
        </w:rPr>
        <w:t xml:space="preserve">2</w:t>
      </w:r>
      <w:r>
        <w:t xml:space="preserve">) · | Σ</w:t>
      </w:r>
      <w:r>
        <w:rPr>
          <w:vertAlign w:val="subscript"/>
        </w:rPr>
        <w:t xml:space="preserve">m=0</w:t>
      </w:r>
      <w:r>
        <w:rPr>
          <w:vertAlign w:val="superscript"/>
        </w:rPr>
        <w:t xml:space="preserve">M−1</w:t>
      </w:r>
      <w:r>
        <w:t xml:space="preserve"> w</w:t>
      </w:r>
      <w:r>
        <w:rPr>
          <w:vertAlign w:val="subscript"/>
        </w:rPr>
        <w:t xml:space="preserve">m</w:t>
      </w:r>
      <w:r>
        <w:t xml:space="preserve"> x</w:t>
      </w:r>
      <w:r>
        <w:rPr>
          <w:vertAlign w:val="subscript"/>
        </w:rPr>
        <w:t xml:space="preserve">j,m</w:t>
      </w:r>
      <w:r>
        <w:t xml:space="preserve"> e</w:t>
      </w:r>
      <w:r>
        <w:rPr>
          <w:vertAlign w:val="superscript"/>
        </w:rPr>
        <w:t xml:space="preserve">−2πi f m Δt</w:t>
      </w:r>
      <w:r>
        <w:t xml:space="preserve"> |</w:t>
      </w:r>
      <w:r>
        <w:rPr>
          <w:vertAlign w:val="superscript"/>
        </w:rPr>
        <w:t xml:space="preserve">2</w:t>
      </w:r>
      <w:r>
        <w:t xml:space="preserve">,</w:t>
      </w:r>
      <w:r>
        <w:t xml:space="preserve">	(12)</w:t>
      </w:r>
    </w:p>
    <w:p>
      <w:pPr>
        <w:jc w:val="both"/>
      </w:pPr>
      <w:r>
        <w:t xml:space="preserve">где K – число кусков (на участке из 5209 кадров их 4), x</w:t>
      </w:r>
      <w:r>
        <w:rPr>
          <w:vertAlign w:val="subscript"/>
        </w:rPr>
        <w:t xml:space="preserve">j,m</w:t>
      </w:r>
      <w:r>
        <w:t xml:space="preserve"> – m-й кадр j-го куска. Частоты меняются от 1/(M · Δt) ≈ 0,01 цикла/нс до частоты Найквиста 10 циклов/нс. Узкий пик в спектре указывал бы на периодические колебания; его отсутствие говорит, что периодичность в этом диапазоне не обнаружена.</w:t>
      </w:r>
    </w:p>
    <w:p>
      <w:pPr>
        <w:pStyle w:val="Heading1"/>
        <w:pageBreakBefore/>
      </w:pPr>
      <w:bookmarkStart w:name="_Toc013" w:id="13"/>
      <w:r>
        <w:t xml:space="preserve">4 Ход исследования</w:t>
      </w:r>
      <w:bookmarkEnd w:id="13"/>
    </w:p>
    <w:p>
      <w:pPr>
        <w:pStyle w:val="Heading2"/>
      </w:pPr>
      <w:bookmarkStart w:name="_Toc014" w:id="14"/>
      <w:r>
        <w:t xml:space="preserve">4.1 Выбор областей положения глицина</w:t>
      </w:r>
      <w:bookmarkEnd w:id="14"/>
    </w:p>
    <w:p>
      <w:pPr>
        <w:jc w:val="both"/>
      </w:pPr>
      <w:r>
        <w:t xml:space="preserve">Сначала мы посмотрели, как расстояние от глицина до центра сайта меняется во времени и как оно распределено (рисунок 1). В rep2 гистограмма расстояния двугорбая: один пик около 2 Å (глицин в сайте), второй – около 8 Å, между ними провал около 5 Å. Около 260 нс глицин скачком переходит из сайта на расстояние около 8 Å, долго остаётся там (до ~900 нс) и только в самом конце уходит дальше 10 Å, к выходу. Область около 8 Å ближе ориентира воронки переносчика (15–20 Å) из задания, поэтому мы называем её описательно – «область около 8 Å», или «плато».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1920000"/>
            <wp:effectExtent t="0" r="0" b="0" l="0"/>
            <wp:docPr id="1" name="fig1" descr="Расстояние от Cα глицина до центра масс сайта в rep2: слева – во времени (по оси X время, нс; по оси Y расстояние, Å), справа – гистограмма (по оси X расстояние, Å; по оси Y число кадров)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1 – Расстояние от Cα глицина до центра масс сайта в rep2: слева – во времени (по оси X время, нс; по оси Y расстояние, Å), справа – гистограмма (по оси X расстояние, Å; по оси Y число кадров)</w:t>
      </w:r>
    </w:p>
    <w:p>
      <w:pPr>
        <w:pStyle w:val="Heading2"/>
      </w:pPr>
      <w:bookmarkStart w:name="_Toc015" w:id="15"/>
      <w:r>
        <w:t xml:space="preserve">4.2 Правило границ участков</w:t>
      </w:r>
      <w:bookmarkEnd w:id="15"/>
    </w:p>
    <w:p>
      <w:pPr>
        <w:jc w:val="both"/>
      </w:pPr>
      <w:r>
        <w:t xml:space="preserve">Границы участков заданы одним правилом для обеих траекторий и только по расстоянию, без оглядки на показатели гидратации: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расстояние сглаживается скользящей медианой по 41 кадру (2 нс), чтобы единичные выбросы не принимались за переход;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уход из сайта – первый кадр, где медиана больше 5 Å (провал между пиками гистограммы);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начало выхода – последний кадр, где медиана не больше 10 Å (после него глицин ниже 10 Å не возвращается);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вокруг перехода отбрасывается по 41 кадру, чтобы сам скачок не попал ни в один участок.</w:t>
      </w:r>
    </w:p>
    <w:p>
      <w:pPr>
        <w:jc w:val="both"/>
      </w:pPr>
      <w:r>
        <w:t xml:space="preserve">Для сравнения нужны </w:t>
      </w:r>
      <w:r>
        <w:rPr>
          <w:b/>
          <w:bCs/>
        </w:rPr>
        <w:t xml:space="preserve">сопоставимые</w:t>
      </w:r>
      <w:r>
        <w:t xml:space="preserve"> участки. Оценки АКФ и энтропии зависят от длины ряда, поэтому в rep2 оба участка взяты одинаковой длины – по 5209 кадров. Участок в сайте – всё время до ухода из него. Участок около 8 Å – первое окно той же длины сразу после перехода: оно ближе всего по времени к участку в сайте. Это окно выбрано заранее, до расчётов. Следующее окно той же длины (кадры 10499–15707, 524,95–785,35 нс) используется только для проверки устойчивости выводов (раздел 5.5), а не как основной результат.</w:t>
      </w:r>
    </w:p>
    <w:p>
      <w:pPr>
        <w:jc w:val="both"/>
      </w:pPr>
      <w:r>
        <w:t xml:space="preserve">В rep0 глицин задерживается около 8 Å всего на ~7 нс, а затем сразу уходит дальше. Поэтому здесь взяты два коротких участка равной длины по разные стороны перехода: 149 кадров остановки около 8 Å сразу после ухода из сайта и 149 кадров в сайте непосредственно перед уходом (с отступом 41 кадр). Отступ после перехода в rep0 не делался: иначе от короткой остановки почти ничего не осталось бы, поэтому начало этого участка частично захватывает сам переход. Итоговые участки приведены в таблице 3 и на рисунке 2.</w:t>
      </w:r>
    </w:p>
    <w:p>
      <w:pPr>
        <w:keepNext/>
        <w:spacing w:before="120" w:after="60"/>
        <w:ind w:firstLine="0"/>
      </w:pPr>
      <w:r>
        <w:t xml:space="preserve">Таблица 3 – Выбранные участки (границы включительно)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1613"/>
        <w:gridCol w:w="968"/>
        <w:gridCol w:w="1936"/>
        <w:gridCol w:w="1935"/>
      </w:tblGrid>
      <w:tr>
        <w:trPr>
          <w:tblHeader/>
        </w:trP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Траектория и область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Кадры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Время, нс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Среднее расстояние, Å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rep2, сайт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0–5208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5209</w:t>
            </w:r>
          </w:p>
        </w:tc>
        <w:tc>
          <w:tcPr>
            <w:tcW w:type="dxa" w:w="1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0–260,4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1,98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rep2, около 8 Å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5290–10498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5209</w:t>
            </w:r>
          </w:p>
        </w:tc>
        <w:tc>
          <w:tcPr>
            <w:tcW w:type="dxa" w:w="1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264,5–524,9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8,24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rep0, сайт перед уходом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8128–8276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149</w:t>
            </w:r>
          </w:p>
        </w:tc>
        <w:tc>
          <w:tcPr>
            <w:tcW w:type="dxa" w:w="1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406,4–413,8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0,85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rep0, около 8 Å после ухода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8317–8465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149</w:t>
            </w:r>
          </w:p>
        </w:tc>
        <w:tc>
          <w:tcPr>
            <w:tcW w:type="dxa" w:w="19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415,85–423,25</w:t>
            </w:r>
          </w:p>
        </w:tc>
        <w:tc>
          <w:tcPr>
            <w:tcW w:type="dxa" w:w="19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8,31</w:t>
            </w:r>
          </w:p>
        </w:tc>
      </w:tr>
    </w:tbl>
    <w:p>
      <w:pPr>
        <w:spacing w:after="120"/>
      </w:pP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4525714"/>
            <wp:effectExtent t="0" r="0" b="0" l="0"/>
            <wp:docPr id="1" name="fig2" descr="Выбранные участки на графике расстояния: голубой – сайт, оранжевый – область около 8 Å. По оси X – время, нс, по оси Y – расстояние до центра сайта, Å. Нижняя панель – увеличенный фрагмент rep0 около перехода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52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2 – Выбранные участки на графике расстояния: голубой – сайт, оранжевый – область около 8 Å. По оси X – время, нс, по оси Y – расстояние до центра сайта, Å. Нижняя панель – увеличенный фрагмент rep0 около перехода</w:t>
      </w:r>
    </w:p>
    <w:p>
      <w:pPr>
        <w:jc w:val="both"/>
      </w:pPr>
      <w:r>
        <w:t xml:space="preserve">Средняя SASA глицина в rep2 немного уменьшается при переходе из сайта на плато (23,94 → 20,55), а в rep0 растёт (7,47 → 16,75) в исходных единицах. То есть удаление от центра сайта не обязательно делает глицин более открытым для растворителя.</w:t>
      </w:r>
    </w:p>
    <w:p>
      <w:pPr>
        <w:pStyle w:val="Heading2"/>
      </w:pPr>
      <w:bookmarkStart w:name="_Toc016" w:id="16"/>
      <w:r>
        <w:t xml:space="preserve">4.3 Порядок расчётов и параметры</w:t>
      </w:r>
      <w:bookmarkEnd w:id="16"/>
    </w:p>
    <w:p>
      <w:pPr>
        <w:jc w:val="both"/>
      </w:pPr>
      <w:r>
        <w:t xml:space="preserve">После того как границы участков были зафиксированы, расчёты выполнялись в таком порядке: описательная статистика и распределения (раздел 5.1), АКФ, время корреляции и проверка стационарности (5.2), блочный бутстрэп и блочная перестановка (5.3), проверка суррогатами (5.4), проверка на втором окне плато (5.5), энтропия и спектр (5.6), затем то же для rep0 (раздел 6). Все параметры обработки собраны в таблице 4.</w:t>
      </w:r>
    </w:p>
    <w:p>
      <w:pPr>
        <w:keepNext/>
        <w:spacing w:before="120" w:after="60"/>
        <w:ind w:firstLine="0"/>
      </w:pPr>
      <w:r>
        <w:t xml:space="preserve">Таблица 4 – Параметры обработки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2"/>
        <w:gridCol w:w="2721"/>
        <w:gridCol w:w="3742"/>
      </w:tblGrid>
      <w:tr>
        <w:trPr>
          <w:tblHeader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Почему так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шаг между кадрами Δt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0,05 нс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задан в данных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окно медианы для границ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41 кадр (2 нс)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убрать единичные выбросы расстояния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пороги расстояния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 Å и 10 Å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провал гистограммы; ниже 10 Å глицин больше не возвращается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отступ от перехода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41 кадр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исключить сам скачок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наибольший лаг АКФ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N/4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на больших лагах мало пар значений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порог времени корреляции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1/e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задан в задании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число повторов бутстрэпа B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устойчивые процентили 2,5 и 97,5%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длина блока L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rep2: 182 кадра; rep0: 19 кадров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метод Политиса–Уайта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множители длины блока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0,5; 1; 2; 4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проверка чувствительности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минимум блоков на участок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иначе вывод не делается</w:t>
            </w:r>
          </w:p>
        </w:tc>
      </w:tr>
      <w:tr>
        <w:trPr>
          <w:cantSplit/>
        </w:trPr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кусок метода Уэлча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2048 кадров, перекрытие 50%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4 куска на участок, разрешение ~0,01 цикла/нс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Расчёты выполнены на Python (pandas, numpy, statsmodels, arch, scipy, matplotlib); код и инструкция по запуску приведены в приложении А.</w:t>
      </w:r>
    </w:p>
    <w:p>
      <w:pPr>
        <w:pStyle w:val="Heading1"/>
        <w:pageBreakBefore/>
      </w:pPr>
      <w:bookmarkStart w:name="_Toc017" w:id="17"/>
      <w:r>
        <w:t xml:space="preserve">5 Результаты основной траектории</w:t>
      </w:r>
      <w:bookmarkEnd w:id="17"/>
    </w:p>
    <w:p>
      <w:pPr>
        <w:pStyle w:val="Heading2"/>
      </w:pPr>
      <w:bookmarkStart w:name="_Toc018" w:id="18"/>
      <w:r>
        <w:t xml:space="preserve">5.1 Средние, дисперсии и распределения</w:t>
      </w:r>
      <w:bookmarkEnd w:id="18"/>
    </w:p>
    <w:p>
      <w:pPr>
        <w:keepNext/>
        <w:spacing w:before="120" w:after="60"/>
        <w:ind w:firstLine="0"/>
      </w:pPr>
      <w:r>
        <w:t xml:space="preserve">Таблица 5 – Гидратация глицина на участках rep2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18"/>
        <w:gridCol w:w="1718"/>
        <w:gridCol w:w="1719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Сайт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Около 8 Å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Разность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n_gly_wat, молекул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6,283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5,518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−0,764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n_gly_wat, молекул²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1,168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2,268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+1,100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cn_gly_wat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6,011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5,567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−0,444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cn_gly_wat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0,747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1,545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+0,798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самое частое значение n (мода)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доля кадров с 3–4 молекулами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2,76%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25,05%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+22,3 п. п.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корреляция n и cn по кадрам, r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0,781</w:t>
            </w:r>
          </w:p>
        </w:tc>
        <w:tc>
          <w:tcPr>
            <w:tcW w:type="dxa" w:w="1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0,905</w:t>
            </w:r>
          </w:p>
        </w:tc>
        <w:tc>
          <w:tcPr>
            <w:tcW w:type="dxa" w:w="17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Результаты приведены в таблице 5. После ухода глицина из сайта воды вокруг него в среднем меньше – на 0,76 молекулы, а разброс почти вдвое больше (дисперсия 2,27 против 1,17). Распределение сдвигается вниз и становится шире (рисунок 3): в сайте почти всегда 5–7 молекул воды, а около 8 Å заметная часть кадров приходится на 3–4 молекулы (25% против 3%). Непрерывный показатель cn_gly_wat меняется в ту же сторону, хотя слабее (рисунок 4).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2400000"/>
            <wp:effectExtent t="0" r="0" b="0" l="0"/>
            <wp:docPr id="1" name="fig3" descr="Распределение n_gly_wat в rep2 на двух участках. По оси X – число молекул воды, по оси Y – доля кадров участка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3 – Распределение n_gly_wat в rep2 на двух участках. По оси X – число молекул воды, по оси Y – доля кадров участка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040000" cy="2262606"/>
            <wp:effectExtent t="0" r="0" b="0" l="0"/>
            <wp:docPr id="1" name="fig4" descr="n_gly_wat и cn_gly_wat на двух участках rep2: ящик – от 25-го до 75-го процентиля, линия – медиана, крестик – среднее, усы – 1,5 межквартильного размаха. По оси Y – значение показателя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26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4 – n_gly_wat и cn_gly_wat на двух участках rep2: ящик – от 25-го до 75-го процентиля, линия – медиана, крестик – среднее, усы – 1,5 межквартильного размаха. По оси Y – значение показателя</w:t>
      </w:r>
    </w:p>
    <w:p>
      <w:pPr>
        <w:jc w:val="both"/>
      </w:pPr>
      <w:r>
        <w:t xml:space="preserve">Корреляция n и cn по кадрам высокая (0,78 и 0,91): оба показателя описывают одну и ту же воду. Целочисленность n хорошо видна по «столбикам» при построении cn против n.</w:t>
      </w:r>
    </w:p>
    <w:p>
      <w:pPr>
        <w:pStyle w:val="Heading2"/>
      </w:pPr>
      <w:bookmarkStart w:name="_Toc019" w:id="19"/>
      <w:r>
        <w:t xml:space="preserve">5.2 Автокорреляция и время корреляции</w:t>
      </w:r>
      <w:bookmarkEnd w:id="19"/>
    </w:p>
    <w:p>
      <w:pPr>
        <w:keepNext/>
        <w:spacing w:before="120" w:after="60"/>
        <w:ind w:firstLine="0"/>
      </w:pPr>
      <w:r>
        <w:t xml:space="preserve">Таблица 6 – Первое пересечение уровня 1/e и проверка стационарности в rep2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4"/>
        <w:gridCol w:w="1534"/>
        <w:gridCol w:w="1610"/>
        <w:gridCol w:w="1150"/>
        <w:gridCol w:w="1074"/>
        <w:gridCol w:w="1993"/>
      </w:tblGrid>
      <w:tr>
        <w:trPr>
          <w:tblHeader/>
        </w:trPr>
        <w:tc>
          <w:tcPr>
            <w:tcW w:type="dxa" w:w="1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Ряд и участок</w:t>
            </w:r>
          </w:p>
        </w:tc>
        <w:tc>
          <w:tcPr>
            <w:tcW w:type="dxa" w:w="1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Весь участок, нс</w:t>
            </w:r>
          </w:p>
        </w:tc>
        <w:tc>
          <w:tcPr>
            <w:tcW w:type="dxa" w:w="1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Половины, нс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Тренд D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KPSS p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n, сайт</w:t>
            </w:r>
          </w:p>
        </w:tc>
        <w:tc>
          <w:tcPr>
            <w:tcW w:type="dxa" w:w="1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0,35</w:t>
            </w:r>
          </w:p>
        </w:tc>
        <w:tc>
          <w:tcPr>
            <w:tcW w:type="dxa" w:w="1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0,05 / 0,70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+0,88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&lt; 0,01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оценивается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cn, сайт</w:t>
            </w:r>
          </w:p>
        </w:tc>
        <w:tc>
          <w:tcPr>
            <w:tcW w:type="dxa" w:w="1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2,80</w:t>
            </w:r>
          </w:p>
        </w:tc>
        <w:tc>
          <w:tcPr>
            <w:tcW w:type="dxa" w:w="1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0,90 / 2,05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+0,55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&lt; 0,01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оценивается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n, около 8 Å</w:t>
            </w:r>
          </w:p>
        </w:tc>
        <w:tc>
          <w:tcPr>
            <w:tcW w:type="dxa" w:w="1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1,15</w:t>
            </w:r>
          </w:p>
        </w:tc>
        <w:tc>
          <w:tcPr>
            <w:tcW w:type="dxa" w:w="1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1,15 / 0,70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−0,82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&lt; 0,01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условно 1,15 нс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cn, около 8 Å</w:t>
            </w:r>
          </w:p>
        </w:tc>
        <w:tc>
          <w:tcPr>
            <w:tcW w:type="dxa" w:w="1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1,40</w:t>
            </w:r>
          </w:p>
        </w:tc>
        <w:tc>
          <w:tcPr>
            <w:tcW w:type="dxa" w:w="1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1,20 / 0,90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−0,87</w:t>
            </w:r>
          </w:p>
        </w:tc>
        <w:tc>
          <w:tcPr>
            <w:tcW w:type="dxa" w:w="10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&lt; 0,01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условно 1,40 нс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Оценки времени корреляции и результаты проверки стационарности собраны в таблице 6. АКФ обоих показателей спадает в два этапа (рисунки 5 и 6): резкое падение за первый кадр (быстрые «мерцания» воды на границе радиуса) и затем медленный спад на десятки наносекунд. В сайте после первого кадра АКФ n падает до ~0,45 и дальше очень полого идёт вдоль уровня 1/e. Где именно она его пересечёт, решает случайный шум, поэтому половины участка дают 0,05 и 0,70 нс, и время корреляции в сайте не оценивается. На плато половины согласуются лучше (1,15 и 0,70 нс), но среднее заметно меняется по участку (D ≈ −0,8, KPSS отвергает стационарность), поэтому значения 1,15 нс для n и 1,40 нс для cn приняты условно.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1993846"/>
            <wp:effectExtent t="0" r="0" b="0" l="0"/>
            <wp:docPr id="1" name="fig5" descr="Автокорреляционная функция n_gly_wat в rep2: слева – начальные лаги, справа – весь диапазон до N/4. По оси X – лаг, нс, по оси Y – нормированная автокорреляция; точечная линия – уровень 1/e, пустая точка – неустойчивое пересечение, закрашенная – принятая оценка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5 – Автокорреляционная функция n_gly_wat в rep2: слева – начальные лаги, справа – весь диапазон до N/4. По оси X – лаг, нс, по оси Y – нормированная автокорреляция; точечная линия – уровень 1/e, пустая точка – неустойчивое пересечение, закрашенная – принятая оценка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1993846"/>
            <wp:effectExtent t="0" r="0" b="0" l="0"/>
            <wp:docPr id="1" name="fig6" descr="Автокорреляционная функция cn_gly_wat в rep2 (обозначения как на рисунке 5)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6 – Автокорреляционная функция cn_gly_wat в rep2 (обозначения как на рисунке 5)</w:t>
      </w:r>
    </w:p>
    <w:p>
      <w:pPr>
        <w:jc w:val="both"/>
      </w:pPr>
      <w:r>
        <w:t xml:space="preserve">Показатели здесь противоречат друг другу: по n время корреляции на плато больше, чем в сайте (1,15 против 0,35 нс), а по cn – меньше (1,40 против 2,80 нс). Это ещё один признак того, что первое пересечение 1/e на наших участках определяется неустойчиво.</w:t>
      </w:r>
    </w:p>
    <w:p>
      <w:pPr>
        <w:pStyle w:val="Heading2"/>
      </w:pPr>
      <w:bookmarkStart w:name="_Toc020" w:id="20"/>
      <w:r>
        <w:t xml:space="preserve">5.3 Проверка гипотез блочным бутстрэпом</w:t>
      </w:r>
      <w:bookmarkEnd w:id="20"/>
    </w:p>
    <w:p>
      <w:pPr>
        <w:keepNext/>
        <w:spacing w:before="120" w:after="60"/>
        <w:ind w:firstLine="0"/>
      </w:pPr>
      <w:r>
        <w:t xml:space="preserve">Таблица 7 – Разности «около 8 Å минус сайт» в rep2, блок 182 кадра (9,1 нс)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1325"/>
        <w:gridCol w:w="2152"/>
        <w:gridCol w:w="1076"/>
        <w:gridCol w:w="2484"/>
      </w:tblGrid>
      <w:tr>
        <w:trPr>
          <w:tblHeader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Разность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95% ДИ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Вывод по всем длинам блока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n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−0,764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[−1,134; −0,449]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n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+1,100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[0,623; 1,473]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cn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−0,444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[−0,757; −0,144]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0,007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cn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+0,798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[0,449; 1,074]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TVD распределений n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0,281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τ</w:t>
            </w:r>
            <w:r>
              <w:rPr>
                <w:sz w:val="22"/>
                <w:szCs w:val="22"/>
                <w:vertAlign w:val="subscript"/>
              </w:rPr>
              <w:t xml:space="preserve">c</w:t>
            </w:r>
            <w:r>
              <w:rPr>
                <w:sz w:val="22"/>
                <w:szCs w:val="22"/>
              </w:rPr>
              <w:t xml:space="preserve"> n, нс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+0,80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[0,00; 1,00]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разрешается</w:t>
            </w:r>
          </w:p>
        </w:tc>
      </w:tr>
      <w:tr>
        <w:trPr>
          <w:cantSplit/>
        </w:trPr>
        <w:tc>
          <w:tcPr>
            <w:tcW w:type="dxa" w:w="2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τ</w:t>
            </w:r>
            <w:r>
              <w:rPr>
                <w:sz w:val="22"/>
                <w:szCs w:val="22"/>
                <w:vertAlign w:val="subscript"/>
              </w:rPr>
              <w:t xml:space="preserve">c</w:t>
            </w:r>
            <w:r>
              <w:rPr>
                <w:sz w:val="22"/>
                <w:szCs w:val="22"/>
              </w:rPr>
              <w:t xml:space="preserve"> cn, нс</w:t>
            </w:r>
          </w:p>
        </w:tc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−1,40</w:t>
            </w:r>
          </w:p>
        </w:tc>
        <w:tc>
          <w:tcPr>
            <w:tcW w:type="dxa" w:w="2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[−1,45; 0,75]</w:t>
            </w:r>
          </w:p>
        </w:tc>
        <w:tc>
          <w:tcPr>
            <w:tcW w:type="dxa" w:w="1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24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разрешается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Результаты проверки гипотез приведены в таблице 7. Для средних, дисперсий и распределения n ноль лежит вне доверительного интервала при всех допустимых длинах блока (4,55; 9,1 и 18,2 нс; при блоке 36,4 нс на участок приходится меньше 10 блоков) – рисунок 7. TVD полных распределений равно 0,285, на обрезанных до целого числа блоков рядах – 0,281; ни одна из 2000 блочных перестановок не дала такого значения (p = 1/2001 ≈ 0,0005).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2688000"/>
            <wp:effectExtent t="0" r="0" b="0" l="0"/>
            <wp:docPr id="1" name="fig7" descr="Разности «около 8 Å минус сайт» в rep2 с 95% доверительными интервалами при разной длине блока. По оси X – разность показателя, по оси Y – длина блока; вертикальная линия – ноль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7 – Разности «около 8 Å минус сайт» в rep2 с 95% доверительными интервалами при разной длине блока. По оси X – разность показателя, по оси Y – длина блока; вертикальная линия – ноль</w:t>
      </w:r>
    </w:p>
    <w:p>
      <w:pPr>
        <w:jc w:val="both"/>
      </w:pPr>
      <w:r>
        <w:t xml:space="preserve">Для времени корреляции вывод сделать нельзя. Во-первых, сами оценки в сайте неустойчивы (раздел 5.2), а τ</w:t>
      </w:r>
      <w:r>
        <w:rPr>
          <w:vertAlign w:val="subscript"/>
        </w:rPr>
        <w:t xml:space="preserve">c</w:t>
      </w:r>
      <w:r>
        <w:t xml:space="preserve"> сайта взяты по первому пересечению как допущение. Во-вторых, бутстрэп для τ</w:t>
      </w:r>
      <w:r>
        <w:rPr>
          <w:vertAlign w:val="subscript"/>
        </w:rPr>
        <w:t xml:space="preserve">c</w:t>
      </w:r>
      <w:r>
        <w:t xml:space="preserve"> смещён: в местах склейки блоков связь соседних кадров рвётся, хвост АКФ в повторах опускается, и пересечение 1/e наступает раньше. Например, для cn наблюдаемая разность −1,40 нс, а среднее по повторам −0,30 нс, и оценка лежит почти на краю своего интервала. Поэтому различие времени корреляции этим методом не установлено.</w:t>
      </w:r>
    </w:p>
    <w:p>
      <w:pPr>
        <w:pStyle w:val="Heading2"/>
      </w:pPr>
      <w:bookmarkStart w:name="_Toc021" w:id="21"/>
      <w:r>
        <w:t xml:space="preserve">5.4 Проверка самого бутстрэпа</w:t>
      </w:r>
      <w:bookmarkEnd w:id="21"/>
    </w:p>
    <w:p>
      <w:pPr>
        <w:jc w:val="both"/>
      </w:pPr>
      <w:r>
        <w:t xml:space="preserve">Проверка на суррогатных рядах (раздел 3.5) показала, что в гидратации есть медленные колебания длиннее блока: около 15% дисперсии приходится на масштабы больше 100 нс. Блок в 9,1 нс их не захватывает, поэтому бутстрэп занижает разброс средних примерно в 1,6–1,8 раза, а блочная перестановка на суррогатах с заведомо верной H</w:t>
      </w:r>
      <w:r>
        <w:rPr>
          <w:vertAlign w:val="subscript"/>
        </w:rPr>
        <w:t xml:space="preserve">0</w:t>
      </w:r>
      <w:r>
        <w:t xml:space="preserve"> находит «различие» в 43–71% случаев вместо 5%. Значит, p из таблицы 7 слишком оптимистичны. С учётом этого (таблица 8):</w:t>
      </w:r>
    </w:p>
    <w:p>
      <w:pPr>
        <w:keepNext/>
        <w:spacing w:before="120" w:after="60"/>
        <w:ind w:firstLine="0"/>
      </w:pPr>
      <w:r>
        <w:t xml:space="preserve">Таблица 8 – Оценка p с учётом медленных колебаний (по суррогатам)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1613"/>
        <w:gridCol w:w="2903"/>
        <w:gridCol w:w="2420"/>
      </w:tblGrid>
      <w:tr>
        <w:trPr>
          <w:tblHeader/>
        </w:trPr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 бутстрэпа</w:t>
            </w:r>
          </w:p>
        </w:tc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 по суррогатам</w:t>
            </w:r>
          </w:p>
        </w:tc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n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≈ 0,009 (z ≈ −2,6)</w:t>
            </w:r>
          </w:p>
        </w:tc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 сохраняется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TVD распределений n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≈ 0,003 (0 из 300 суррогатов)</w:t>
            </w:r>
          </w:p>
        </w:tc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различие сохраняется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cn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0,007</w:t>
            </w:r>
          </w:p>
        </w:tc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≈ 0,06 (z ≈ −1,9)</w:t>
            </w:r>
          </w:p>
        </w:tc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пограничный результат</w:t>
            </w:r>
          </w:p>
        </w:tc>
      </w:tr>
      <w:tr>
        <w:trPr>
          <w:cantSplit/>
        </w:trPr>
        <w:tc>
          <w:tcPr>
            <w:tcW w:type="dxa" w:w="2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дисперсии n и cn</w:t>
            </w:r>
          </w:p>
        </w:tc>
        <w:tc>
          <w:tcPr>
            <w:tcW w:type="dxa" w:w="16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≤ 0,001</w:t>
            </w:r>
          </w:p>
        </w:tc>
        <w:tc>
          <w:tcPr>
            <w:tcW w:type="dxa" w:w="2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проверялись</w:t>
            </w:r>
          </w:p>
        </w:tc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вывод осторожный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Для TVD ни один из 300 суррогатов не дал значения 0,285 и больше; оценка p = 1/301 ≈ 0,003, а с учётом малого числа суррогатов истинное значение вероятно не больше ~0,01. Итак, уменьшение среднего числа молекул воды и различие распределений n выдерживают и эту, более строгую, проверку, а уменьшение среднего cn на уровне 0,05 по ней уже не подтверждается. Поправка на множественные сравнения не делалась: несколько показателей и длин блока мы рассматриваем как проверку устойчивости одного вывода, а не как набор независимых тестов.</w:t>
      </w:r>
    </w:p>
    <w:p>
      <w:pPr>
        <w:pStyle w:val="Heading2"/>
      </w:pPr>
      <w:bookmarkStart w:name="_Toc022" w:id="22"/>
      <w:r>
        <w:t xml:space="preserve">5.5 Проверка на втором окне плато</w:t>
      </w:r>
      <w:bookmarkEnd w:id="22"/>
    </w:p>
    <w:p>
      <w:pPr>
        <w:jc w:val="both"/>
      </w:pPr>
      <w:r>
        <w:t xml:space="preserve">На втором окне плато той же длины (524,95–785,35 нс) различия ещё больше: среднее n ниже, чем в сайте, на 1,27 [−1,58; −0,95], среднее cn – на 0,94 [−1,22; −0,65], TVD = 0,43 (все p ≤ 0,001). Это окно стационарно (D ≈ −0,1, KPSS p &gt; 0,1), и время корреляции на нём оценивается надёжно: 0,65 нс для n и 0,70 нс для cn. Разность τ</w:t>
      </w:r>
      <w:r>
        <w:rPr>
          <w:vertAlign w:val="subscript"/>
        </w:rPr>
        <w:t xml:space="preserve">c</w:t>
      </w:r>
      <w:r>
        <w:t xml:space="preserve"> для n относительно сайта +0,30 нс [−0,30; 0,65], p = 0,38 – различия нет. Направление изменения средних то же, что на первом окне, значит, вывод не держится на выборе одного окна. Сравнение окон показывает и другое: на первом окне часть «времени корреляции» давал тренд, а на стационарном окне оно примерно вдвое меньше.</w:t>
      </w:r>
    </w:p>
    <w:p>
      <w:pPr>
        <w:pStyle w:val="Heading2"/>
      </w:pPr>
      <w:bookmarkStart w:name="_Toc023" w:id="23"/>
      <w:r>
        <w:t xml:space="preserve">5.6 Дополнительно: энтропия Шеннона и спектр</w:t>
      </w:r>
      <w:bookmarkEnd w:id="23"/>
    </w:p>
    <w:p>
      <w:pPr>
        <w:jc w:val="both"/>
      </w:pPr>
      <w:r>
        <w:t xml:space="preserve">Энтропия распределения n в rep2 растёт с 2,137 бит в сайте до 2,623 бит около 8 Å, разность +0,487 бит [0,303; 0,644], p бутстрэпа ≤ 0,001 (для энтропии суррогатная проверка не делалась). Поправка Миллера–Мэдоу меняет эти значения не больше чем на 0,002 бит. Это согласуется с более широким распределением на плато.</w:t>
      </w:r>
    </w:p>
    <w:p>
      <w:pPr>
        <w:jc w:val="both"/>
      </w:pPr>
      <w:r>
        <w:t xml:space="preserve">Энтропия зависит от длины участка (рисунок 8): в сайте она растёт с 1,73 бит в окнах по 2,5 нс до 2,14 бит на всём участке, на плато – с 1,94 до 2,62 бит. Короткое окно «видит» только часть значений, которые ряд проходит за сотни наносекунд. Поэтому сравнивать можно только участки одинаковой длины, что у нас и сделано; при этом на плато энтропия выше при любой длине окна.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400000" cy="3000000"/>
            <wp:effectExtent t="0" r="0" b="0" l="0"/>
            <wp:docPr id="1" name="fig8" descr="Энтропия Шеннона n_gly_wat в зависимости от длины окна: точки – среднее по непересекающимся окнам, отрезки – ± стандартное отклонение. По оси X – длина окна, нс (логарифмическая шкала), по оси Y – энтропия, бит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8 – Энтропия Шеннона n_gly_wat в зависимости от длины окна: точки – среднее по непересекающимся окнам, отрезки – ± стандартное отклонение. По оси X – длина окна, нс (логарифмическая шкала), по оси Y – энтропия, бит</w:t>
      </w:r>
    </w:p>
    <w:p>
      <w:pPr>
        <w:jc w:val="both"/>
      </w:pPr>
      <w:r>
        <w:t xml:space="preserve">Спектральная плотность мощности n_gly_wat (рисунок 9) посчитана для сайта и для обоих окон плато; более надёжно её можно трактовать на втором, стационарном окне. Узкого пика нет ни на одном участке, то есть периодических колебаний гидратации в диапазоне 0,01–10 циклов/нс не обнаружено. На высоких частотах (выше ~2 циклов/нс) спектр выходит на плоский уровень – это быстрые независимые «мерцания» воды, те же, что дают резкое падение АКФ на первом лаге. На низких частотах у плато мощность больше, чем у сайта, что согласуется с его большей дисперсией.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400000" cy="2970000"/>
            <wp:effectExtent t="0" r="0" b="0" l="0"/>
            <wp:docPr id="1" name="fig9" descr="Спектральная плотность мощности n_gly_wat в rep2 (метод Уэлча). По оси X – частота, циклов/нс, по оси Y – плотность мощности, молекул²·нс (обе оси логарифмические); вертикальные пунктиры – частоты 1/(2πτ_{c}), точечная линия – частота Найквиста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9 – Спектральная плотность мощности n_gly_wat в rep2 (метод Уэлча). По оси X – частота, циклов/нс, по оси Y – плотность мощности, молекул²·нс (обе оси логарифмические); вертикальные пунктиры – частоты 1/(2πτ</w:t>
      </w:r>
      <w:r>
        <w:rPr>
          <w:sz w:val="22"/>
          <w:szCs w:val="22"/>
          <w:vertAlign w:val="subscript"/>
        </w:rPr>
        <w:t xml:space="preserve">c</w:t>
      </w:r>
      <w:r>
        <w:rPr>
          <w:sz w:val="22"/>
          <w:szCs w:val="22"/>
        </w:rPr>
        <w:t xml:space="preserve">), точечная линия – частота Найквиста</w:t>
      </w:r>
    </w:p>
    <w:p>
      <w:pPr>
        <w:pStyle w:val="Heading1"/>
        <w:pageBreakBefore/>
      </w:pPr>
      <w:bookmarkStart w:name="_Toc024" w:id="24"/>
      <w:r>
        <w:t xml:space="preserve">6 Проверка на контрольной траектории</w:t>
      </w:r>
      <w:bookmarkEnd w:id="24"/>
    </w:p>
    <w:p>
      <w:pPr>
        <w:jc w:val="both"/>
      </w:pPr>
      <w:r>
        <w:t xml:space="preserve">На rep0 повторены те же расчёты по тем же правилам выбора участков (номера кадров из rep2 не переносились).</w:t>
      </w:r>
    </w:p>
    <w:p>
      <w:pPr>
        <w:keepNext/>
        <w:spacing w:before="120" w:after="60"/>
        <w:ind w:firstLine="0"/>
      </w:pPr>
      <w:r>
        <w:t xml:space="preserve">Таблица 9 – Гидратация глицина на участках rep0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1"/>
        <w:gridCol w:w="1903"/>
        <w:gridCol w:w="2061"/>
        <w:gridCol w:w="1268"/>
        <w:gridCol w:w="2062"/>
      </w:tblGrid>
      <w:tr>
        <w:trPr>
          <w:tblHeader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Сайт перед уходом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Около 8 Å после ухода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Разность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95% ДИ (блок 19 кадров)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n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5,872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5,725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−0,148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[−0,69; 0,41]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n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1,598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0,890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−0,709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[−1,36; −0,18]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среднее cn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5,283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5,798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+0,515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[−0,05; 1,05]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дисперсия cn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1,202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0,534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−0,668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[−1,24; −0,25]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мода n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корреляция n и cn, r</w:t>
            </w:r>
          </w:p>
        </w:tc>
        <w:tc>
          <w:tcPr>
            <w:tcW w:type="dxa" w:w="19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0,874</w:t>
            </w:r>
          </w:p>
        </w:tc>
        <w:tc>
          <w:tcPr>
            <w:tcW w:type="dxa" w:w="2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0,771</w:t>
            </w:r>
          </w:p>
        </w:tc>
        <w:tc>
          <w:tcPr>
            <w:tcW w:type="dxa" w:w="1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2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–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Результаты для rep0 приведены в таблице 9. В контроле среднее n почти не меняется (5,87 → 5,72), а cn растёт (5,28 → 5,80), распределение после ухода из сайта становится уже (рисунок 10). То есть направления изменения n и cn здесь расходятся, хотя покадровая корреляция показателей высокая. Это показывает, что высокая корреляция n и cn ещё не гарантирует одинакового направления изменения их средних.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2400000"/>
            <wp:effectExtent t="0" r="0" b="0" l="0"/>
            <wp:docPr id="1" name="fig10" descr="Распределение n_gly_wat в rep0 на двух участках по 149 кадров. По оси X – число молекул воды, по оси Y – доля кадров участка" titl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10 – Распределение n_gly_wat в rep0 на двух участках по 149 кадров. По оси X – число молекул воды, по оси Y – доля кадров участка</w:t>
      </w:r>
    </w:p>
    <w:p>
      <w:pPr>
        <w:jc w:val="both"/>
      </w:pPr>
      <w:r>
        <w:t xml:space="preserve">Статистический вывод по rep0 сделать нельзя. Длина блока по Политису–Уайту – 19 кадров, и на участок из 149 кадров приходится только 7 блоков, меньше заданного минимума 10. Формальные p бутстрэпа (для дисперсий 0,011 и 0,003) мы не используем как доказательство: при 7 блоках бутстрэп почти не видит медленную изменчивость. Время корреляции в rep0 тоже не оценивается (рисунок 11): на 149 кадрах пересечения 1/e в половинах участка расходятся (n в сайте: 0,05 и 0,50 нс), а после ухода из сайта АКФ n падает ниже 1/e уже на первом лаге. Короткое окно занижает время корреляции, потому что вычитание среднего по окну «съедает» медленные колебания.</w:t>
      </w:r>
    </w:p>
    <w:p>
      <w:pPr>
        <w:keepNext/>
        <w:spacing w:before="120" w:after="60"/>
        <w:ind w:firstLine="0"/>
        <w:jc w:val="center"/>
      </w:pPr>
      <w:r>
        <w:drawing>
          <wp:inline distT="0" distB="0" distL="0" distR="0">
            <wp:extent cx="5760000" cy="1993846"/>
            <wp:effectExtent t="0" r="0" b="0" l="0"/>
            <wp:docPr id="1" name="fig11" descr="Автокорреляционная функция n_gly_wat в rep0 на участках по 149 кадров (обозначения как на рисунке 5)" titl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9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2"/>
          <w:szCs w:val="22"/>
        </w:rPr>
        <w:t xml:space="preserve">Рисунок 11 – Автокорреляционная функция n_gly_wat в rep0 на участках по 149 кадров (обозначения как на рисунке 5)</w:t>
      </w:r>
    </w:p>
    <w:p>
      <w:pPr>
        <w:jc w:val="both"/>
      </w:pPr>
      <w:r>
        <w:t xml:space="preserve">Сопоставление трёх основных результатов приведено в таблице 10.</w:t>
      </w:r>
    </w:p>
    <w:p>
      <w:pPr>
        <w:keepNext/>
        <w:spacing w:before="120" w:after="60"/>
        <w:ind w:firstLine="0"/>
      </w:pPr>
      <w:r>
        <w:t xml:space="preserve">Таблица 10 – Основные результаты на основной и контрольной траекториях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2"/>
        <w:gridCol w:w="3147"/>
        <w:gridCol w:w="3146"/>
      </w:tblGrid>
      <w:tr>
        <w:trPr>
          <w:tblHeader/>
        </w:trPr>
        <w:tc>
          <w:tcPr>
            <w:tcW w:type="dxa" w:w="3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Вопрос задания</w:t>
            </w:r>
          </w:p>
        </w:tc>
        <w:tc>
          <w:tcPr>
            <w:tcW w:type="dxa" w:w="3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rep2 (основная)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rep0 (контроль)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1. Различие средних и распределений числа воды</w:t>
            </w:r>
          </w:p>
        </w:tc>
        <w:tc>
          <w:tcPr>
            <w:tcW w:type="dxa" w:w="3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среднее n ниже на 0,76, распределение шире; различие устойчиво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среднее n почти не меняется (−0,15); 7 блоков – вывод не делается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2. Изменение времени корреляции</w:t>
            </w:r>
          </w:p>
        </w:tc>
        <w:tc>
          <w:tcPr>
            <w:tcW w:type="dxa" w:w="3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установлено: оценки неустойчивы, бутстрэп смещён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не оценивается: участки по 149 кадров</w:t>
            </w:r>
          </w:p>
        </w:tc>
      </w:tr>
      <w:tr>
        <w:trPr>
          <w:cantSplit/>
        </w:trPr>
        <w:tc>
          <w:tcPr>
            <w:tcW w:type="dxa" w:w="3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left"/>
            </w:pPr>
            <w:r>
              <w:rPr>
                <w:sz w:val="22"/>
                <w:szCs w:val="22"/>
              </w:rPr>
              <w:t xml:space="preserve">3. Согласованность n_gly_wat и cn_gly_wat</w:t>
            </w:r>
          </w:p>
        </w:tc>
        <w:tc>
          <w:tcPr>
            <w:tcW w:type="dxa" w:w="3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оба показателя уменьшаются</w:t>
            </w:r>
          </w:p>
        </w:tc>
        <w:tc>
          <w:tcPr>
            <w:tcW w:type="dxa" w:w="3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ind w:firstLine="0"/>
              <w:jc w:val="center"/>
            </w:pPr>
            <w:r>
              <w:rPr>
                <w:sz w:val="22"/>
                <w:szCs w:val="22"/>
              </w:rPr>
              <w:t xml:space="preserve">n почти не меняется, cn растёт на 0,52</w:t>
            </w:r>
          </w:p>
        </w:tc>
      </w:tr>
    </w:tbl>
    <w:p>
      <w:pPr>
        <w:spacing w:after="120"/>
      </w:pPr>
    </w:p>
    <w:p>
      <w:pPr>
        <w:jc w:val="both"/>
      </w:pPr>
      <w:r>
        <w:t xml:space="preserve">Таким образом, контрольная траектория не подтверждает и не опровергает результат rep2. Причина – в самих данных: в rep0 нет длинного пребывания глицина около 8 Å, и сопоставимого по объёму контроля получить нельзя.</w:t>
      </w:r>
    </w:p>
    <w:p>
      <w:pPr>
        <w:pStyle w:val="Heading1"/>
        <w:pageBreakBefore/>
      </w:pPr>
      <w:bookmarkStart w:name="_Toc025" w:id="25"/>
      <w:r>
        <w:t xml:space="preserve">7 Обсуждение</w:t>
      </w:r>
      <w:bookmarkEnd w:id="25"/>
    </w:p>
    <w:p>
      <w:pPr>
        <w:jc w:val="both"/>
      </w:pPr>
      <w:r>
        <w:rPr>
          <w:b/>
          <w:bCs/>
        </w:rPr>
        <w:t xml:space="preserve">Что показывают результаты.</w:t>
      </w:r>
      <w:r>
        <w:t xml:space="preserve"> В основной траектории после ухода из сайта воды вокруг глицина в среднем становится меньше, а её количество колеблется сильнее. Уменьшение среднего вместе с ростом дисперсии означает, что появляется много кадров с малым числом молекул воды (3–4), при этом кадры с 8–9 молекулами тоже остаются. Возможное объяснение: в сайте глицин зафиксирован контактами с белком и ионами, и его окружение стабильно – около 6 молекул воды. В области около 8 Å глицин находится в наружном вестибюле переносчика между боковыми цепями белка и смещается там заметно сильнее (в 98% кадров расстояние лежит между 6 и 10 Å, а в сайте – около 2 Å), поэтому он то частично прикрыт белком, то более открыт воде. Это согласуется и с небольшим уменьшением SASA. Однако это лишь интерпретация: положение глицина в пространстве по нашим данным не восстанавливается, у нас есть только расстояние до центра сайта.</w:t>
      </w:r>
    </w:p>
    <w:p>
      <w:pPr>
        <w:jc w:val="both"/>
      </w:pPr>
      <w:r>
        <w:rPr>
          <w:b/>
          <w:bCs/>
        </w:rPr>
        <w:t xml:space="preserve">Проверка гипотез.</w:t>
      </w:r>
      <w:r>
        <w:t xml:space="preserve"> Гипотеза о равенстве средних n отвергается, в том числе с учётом медленных колебаний (p ≈ 0,009). Гипотеза о равенстве распределений n отвергается (TVD 0,28, p ≈ 0,003 по суррогатам). Гипотеза о равенстве дисперсий отвергается по бутстрэпу, но без суррогатной проверки, поэтому этот вывод осторожнее. Для среднего cn результат пограничный: направление то же, но строгая проверка даёт p ≈ 0,06. Гипотезу о равенстве времён корреляции отвергнуть нельзя, но и подтвердить равенство тоже нельзя: время корреляции в сайте не оценивается надёжно.</w:t>
      </w:r>
    </w:p>
    <w:p>
      <w:pPr>
        <w:jc w:val="both"/>
      </w:pPr>
      <w:r>
        <w:rPr>
          <w:b/>
          <w:bCs/>
        </w:rPr>
        <w:t xml:space="preserve">Почему время корреляции не удалось сравнить.</w:t>
      </w:r>
      <w:r>
        <w:t xml:space="preserve"> Порог 1/e приходится на очень пологую часть АКФ: она сначала быстро падает из-за мгновенных «мерцаний» воды на границе радиуса, а потом медленно спадает из-за долгих изменений окружения. Если АКФ идёт почти вдоль порога, небольшой шум сильно сдвигает первое пересечение. Кроме того, на первом окне плато и в сайте есть тренды, которые завышают время корреляции. На стационарном втором окне плато время корреляции оценивается надёжно (0,65–0,70 нс), но в сайте стационарного участка такой длины нет.</w:t>
      </w:r>
    </w:p>
    <w:p>
      <w:pPr>
        <w:jc w:val="both"/>
      </w:pPr>
      <w:r>
        <w:rPr>
          <w:b/>
          <w:bCs/>
        </w:rPr>
        <w:t xml:space="preserve">Почему контроль не совпал с основной траекторией.</w:t>
      </w:r>
      <w:r>
        <w:t xml:space="preserve"> В rep0 глицин проходит область около 8 Å за несколько наносекунд и почти сразу уходит дальше, а в rep2 задерживается там на сотни наносекунд. Это, скорее всего, разные стадии процесса: в rep0 мы видим сам переход, а в rep2 – долгое пребывание после него. Кроме того, участки rep0 короче тех медленных колебаний гидратации (~100 нс), которые мы видим в rep2, так что по 7 нс нельзя надёжно оценить ни среднее, ни время корреляции. По требованиям курсовой такой результат допустим [1].</w:t>
      </w:r>
    </w:p>
    <w:p>
      <w:pPr>
        <w:jc w:val="both"/>
      </w:pPr>
      <w:r>
        <w:rPr>
          <w:b/>
          <w:bCs/>
        </w:rPr>
        <w:t xml:space="preserve">Устойчивость выводов.</w:t>
      </w:r>
      <w:r>
        <w:t xml:space="preserve"> Вывод об уменьшении среднего числа воды и расширении распределения в rep2 не зависит от длины блока (все допустимые длины), сохраняется на втором окне плато (там эффект даже сильнее) и подтверждается суррогатной проверкой. Направление изменения n и cn в rep2 совпадает.</w:t>
      </w:r>
    </w:p>
    <w:p>
      <w:pPr>
        <w:jc w:val="both"/>
      </w:pPr>
      <w:r>
        <w:rPr>
          <w:b/>
          <w:bCs/>
        </w:rPr>
        <w:t xml:space="preserve">Ограничения работы: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различие участков – это не «чистый» эффект расстояния: положение глицина связано со временем и состоянием белка, и разделить эти факторы по одной траектории нельзя;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длинное плато около 8 Å есть только в rep2, поэтому вывод опирается фактически на одну траекторию;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в гидратации есть колебания длиннее 100 нс, поэтому даже блочный бутстрэп занижает неопределённость средних; p по суррогатам тоже зависят от модели суррогатов;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участки нестационарны, и оценки времени корреляции на них неустойчивы;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поправка на множественные сравнения не делалась;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число молекул воды – не поток воды, а время корреляции счётчика – не время жизни отдельной молекулы воды рядом с глицином;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радиус подсчёта воды и формула cn_gly_wat в описании данных не указаны, поэтому абсолютные значения сравнивать с литературой нельзя.</w:t>
      </w:r>
    </w:p>
    <w:p>
      <w:pPr>
        <w:pStyle w:val="Heading1"/>
        <w:pageBreakBefore/>
      </w:pPr>
      <w:bookmarkStart w:name="_Toc026" w:id="26"/>
      <w:r>
        <w:t xml:space="preserve">8 Заключение</w:t>
      </w:r>
      <w:bookmarkEnd w:id="26"/>
    </w:p>
    <w:p>
      <w:pPr>
        <w:jc w:val="both"/>
      </w:pPr>
      <w:r>
        <w:t xml:space="preserve">В работе на МД-траекториях переносчика GlyT1 сравнено число молекул воды вокруг глицина в сайте связывания и в области около 8 Å от него. Ответ на исследовательский вопрос:</w:t>
      </w:r>
    </w:p>
    <w:p>
      <w:pPr>
        <w:jc w:val="both"/>
      </w:pPr>
      <w:r>
        <w:t xml:space="preserve">1. На основной траектории rep2 распределение числа молекул воды различается между областями. Около 8 Å воды в среднем меньше (6,28 → 5,52 молекулы, разность −0,76 [−1,13; −0,45]), а разброс больше (дисперсия 1,17 → 2,27). Распределение сдвигается вниз и становится шире: доля кадров с 3–4 молекулами растёт с 3% до 25%, энтропия – с 2,14 до 2,62 бит.</w:t>
      </w:r>
    </w:p>
    <w:p>
      <w:pPr>
        <w:jc w:val="both"/>
      </w:pPr>
      <w:r>
        <w:t xml:space="preserve">2. Различие средних и распределений n сохраняется при всех допустимых длинах блока, на втором окне плато и при проверке суррогатами (p ≈ 0,009 для среднего, p ≈ 0,003 для распределения). Непрерывный показатель cn меняется в ту же сторону, но слабее; для него результат пограничный (p ≈ 0,06).</w:t>
      </w:r>
    </w:p>
    <w:p>
      <w:pPr>
        <w:jc w:val="both"/>
      </w:pPr>
      <w:r>
        <w:t xml:space="preserve">3. Различие времени корреляции между областями не установлено: в сайте оно надёжно не оценивается, а бутстрэп для него смещён. На стационарном участке плато время корреляции равно 0,65 нс для n и 0,70 нс для cn.</w:t>
      </w:r>
    </w:p>
    <w:p>
      <w:pPr>
        <w:jc w:val="both"/>
      </w:pPr>
      <w:r>
        <w:t xml:space="preserve">4. Контрольная траектория rep0 не подтверждает и не опровергает результат: глицин задерживается около 8 Å лишь на ~7 нс, и для статистического вывода данных недостаточно. Для проверки воспроизводимости нужны траектории с долгим пребыванием глицина в обеих областях.</w:t>
      </w:r>
    </w:p>
    <w:p>
      <w:pPr>
        <w:jc w:val="both"/>
      </w:pPr>
      <w:r>
        <w:t xml:space="preserve">Итог: распределение числа молекул воды между выбранными областями различается, а различие времени корреляции на имеющихся данных установить нельзя.</w:t>
      </w:r>
    </w:p>
    <w:p>
      <w:pPr>
        <w:pStyle w:val="Heading1"/>
        <w:pageBreakBefore/>
      </w:pPr>
      <w:bookmarkStart w:name="_Toc027" w:id="27"/>
      <w:r>
        <w:t xml:space="preserve">9 Список использованных источников</w:t>
      </w:r>
      <w:bookmarkEnd w:id="27"/>
    </w:p>
    <w:p>
      <w:pPr>
        <w:ind w:left="0" w:firstLine="0"/>
        <w:jc w:val="both"/>
      </w:pPr>
      <w:r>
        <w:t xml:space="preserve">1. Темы курсовых работ по теоретическим основам кибернетики: требования к курсовой работе, описание модели и тема 2 «Гидратация глицина и корреляционное время водного окружения». – Учебное задание, 2026. – 16 с.</w:t>
      </w:r>
    </w:p>
    <w:p>
      <w:pPr>
        <w:ind w:left="0" w:firstLine="0"/>
        <w:jc w:val="both"/>
      </w:pPr>
      <w:r>
        <w:t xml:space="preserve">2. Wei Y., Li R., Meng Y., Hu T., Zhao J., Gao Y., Bai Q., Li N., Zhao Y. Transport mechanism and pharmacology of the human GlyT1 // Cell. – 2024. – Vol. 187. – P. 1719. – DOI: 10.1016/j.cell.2024.02.026.</w:t>
      </w:r>
    </w:p>
    <w:p>
      <w:pPr>
        <w:ind w:left="0" w:firstLine="0"/>
        <w:jc w:val="both"/>
      </w:pPr>
      <w:r>
        <w:t xml:space="preserve">3. Karpycheva S. A., Ivontsin L. A., Mashkovtseva E. V., Nartsissov Y. R. Molecular modeling of glycine and ions binding to the GlyT1 transporter. – 2025. – DOI: 10.46991/JISEES.2025.SI1.109.</w:t>
      </w:r>
    </w:p>
    <w:p>
      <w:pPr>
        <w:ind w:left="0" w:firstLine="0"/>
        <w:jc w:val="both"/>
      </w:pPr>
      <w:r>
        <w:t xml:space="preserve">4. Box G. E. P., Jenkins G. M., Reinsel G. C., Ljung G. M. Time series analysis: forecasting and control. – 5th ed. – Hoboken: Wiley, 2015. – 712 p.</w:t>
      </w:r>
    </w:p>
    <w:p>
      <w:pPr>
        <w:ind w:left="0" w:firstLine="0"/>
        <w:jc w:val="both"/>
      </w:pPr>
      <w:r>
        <w:t xml:space="preserve">5. Kwiatkowski D., Phillips P. C. B., Schmidt P., Shin Y. Testing the null hypothesis of stationarity against the alternative of a unit root // Journal of Econometrics. – 1992. – Vol. 54. – P. 159–178.</w:t>
      </w:r>
    </w:p>
    <w:p>
      <w:pPr>
        <w:ind w:left="0" w:firstLine="0"/>
        <w:jc w:val="both"/>
      </w:pPr>
      <w:r>
        <w:t xml:space="preserve">6. Dickey D. A., Fuller W. A. Distribution of the estimators for autoregressive time series with a unit root // Journal of the American Statistical Association. – 1979. – Vol. 74, № 366. – P. 427–431.</w:t>
      </w:r>
    </w:p>
    <w:p>
      <w:pPr>
        <w:ind w:left="0" w:firstLine="0"/>
        <w:jc w:val="both"/>
      </w:pPr>
      <w:r>
        <w:t xml:space="preserve">7. Künsch H. R. The jackknife and the bootstrap for general stationary observations // The Annals of Statistics. – 1989. – Vol. 17, № 3. – P. 1217–1241.</w:t>
      </w:r>
    </w:p>
    <w:p>
      <w:pPr>
        <w:ind w:left="0" w:firstLine="0"/>
        <w:jc w:val="both"/>
      </w:pPr>
      <w:r>
        <w:t xml:space="preserve">8. Politis D. N., White H. Automatic block-length selection for the dependent bootstrap </w:t>
      </w:r>
      <w:r>
        <w:rPr>
          <w:i/>
          <w:iCs/>
        </w:rPr>
        <w:t xml:space="preserve"> Econometric Reviews. – 2004. – Vol. 23, № 1. – P. 53–70; Patton A., Politis D. N., White H. Correction to «Automatic block-length selection for the dependent bootstrap» </w:t>
      </w:r>
      <w:r>
        <w:t xml:space="preserve"> Econometric Reviews. – 2009. – Vol. 28, № 4. – P. 372–375.</w:t>
      </w:r>
    </w:p>
    <w:p>
      <w:pPr>
        <w:ind w:left="0" w:firstLine="0"/>
        <w:jc w:val="both"/>
      </w:pPr>
      <w:r>
        <w:t xml:space="preserve">9. Efron B., Tibshirani R. J. An introduction to the bootstrap. – New York: Chapman &amp; Hall, 1993. – 436 p.</w:t>
      </w:r>
    </w:p>
    <w:p>
      <w:pPr>
        <w:ind w:left="0" w:firstLine="0"/>
        <w:jc w:val="both"/>
      </w:pPr>
      <w:r>
        <w:t xml:space="preserve">10. Schreiber T., Schmitz A. Surrogate time series // Physica D. – 2000. – Vol. 142, № 3–4. – P. 346–382.</w:t>
      </w:r>
    </w:p>
    <w:p>
      <w:pPr>
        <w:ind w:left="0" w:firstLine="0"/>
        <w:jc w:val="both"/>
      </w:pPr>
      <w:r>
        <w:t xml:space="preserve">11. Shannon C. E. A mathematical theory of communication // Bell System Technical Journal. – 1948. – Vol. 27. – P. 379–423, 623–656.</w:t>
      </w:r>
    </w:p>
    <w:p>
      <w:pPr>
        <w:ind w:left="0" w:firstLine="0"/>
        <w:jc w:val="both"/>
      </w:pPr>
      <w:r>
        <w:t xml:space="preserve">12. Seabold S., Perktold J. Statsmodels: econometric and statistical modeling with Python </w:t>
      </w:r>
      <w:r>
        <w:rPr>
          <w:i/>
          <w:iCs/>
        </w:rPr>
        <w:t xml:space="preserve"> Proceedings of the 9th Python in Science Conference. – 2010. – P. 92–96. Документация: https:</w:t>
      </w:r>
      <w:r>
        <w:t xml:space="preserve">www.statsmodels.org (дата обращения: 26.10.2026).</w:t>
      </w:r>
    </w:p>
    <w:p>
      <w:pPr>
        <w:ind w:left="0" w:firstLine="0"/>
        <w:jc w:val="both"/>
      </w:pPr>
      <w:r>
        <w:t xml:space="preserve">13. Sheppard K. arch: ARCH models and bootstrap in Python [Электронный ресурс]. – URL: https://arch.readthedocs.io (дата обращения: 26.10.2026).</w:t>
      </w:r>
    </w:p>
    <w:p>
      <w:pPr>
        <w:ind w:left="0" w:firstLine="0"/>
        <w:jc w:val="both"/>
      </w:pPr>
      <w:r>
        <w:t xml:space="preserve">14. Miller G. A. Note on the bias of information estimates // Information theory in psychology: problems and methods / ed. H. Quastler. – Glencoe: Free Press, 1955. – P. 95–100.</w:t>
      </w:r>
    </w:p>
    <w:p>
      <w:pPr>
        <w:ind w:left="0" w:firstLine="0"/>
        <w:jc w:val="both"/>
      </w:pPr>
      <w:r>
        <w:t xml:space="preserve">15. Welch P. D. The use of fast Fourier transform for the estimation of power spectra: a method based on time averaging over short, modified periodograms // IEEE Transactions on Audio and Electroacoustics. – 1967. – Vol. 15, № 2. – P. 70–73.</w:t>
      </w:r>
    </w:p>
    <w:p>
      <w:pPr>
        <w:ind w:left="0" w:firstLine="0"/>
        <w:jc w:val="both"/>
      </w:pPr>
      <w:r>
        <w:t xml:space="preserve">16. Virtanen P. et al. SciPy 1.0: fundamental algorithms for scientific computing in Python // Nature Methods. – 2020. – Vol. 17. – P. 261–272.</w:t>
      </w:r>
    </w:p>
    <w:p>
      <w:pPr>
        <w:ind w:left="0" w:firstLine="0"/>
        <w:jc w:val="both"/>
      </w:pPr>
      <w:r>
        <w:t xml:space="preserve">17. Код и результаты расчётов курсовой работы [Электронный ресурс]. – URL: https://github.com/Isson-N/Glycine_Hydration (дата обращения: 26.10.2026).</w:t>
      </w:r>
    </w:p>
    <w:p>
      <w:pPr>
        <w:pStyle w:val="Heading1"/>
        <w:pageBreakBefore/>
      </w:pPr>
      <w:bookmarkStart w:name="_Toc028" w:id="28"/>
      <w:r>
        <w:t xml:space="preserve">Приложение А. Воспроизведение расчётов</w:t>
      </w:r>
      <w:bookmarkEnd w:id="28"/>
    </w:p>
    <w:p>
      <w:pPr>
        <w:jc w:val="both"/>
      </w:pPr>
      <w:r>
        <w:t xml:space="preserve">Весь код, таблицы результатов и рисунки выложены в репозитории https://github.com/Isson-N/Glycine_Hydration [17]. Исходный файл gly_matrix_all_reps.csv в репозиторий не входит (по требованиям его не нужно прикладывать повторно); для пересчёта его нужно положить в data/gly_matrix_all_reps.csv. Нужен Python 3 с пакетами numpy, pandas, scipy, statsmodels, arch, matplotlib и openpyxl. Команды выполняются из корня репозитория: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second_member/run_member1_C.py        # этапы 1–3: проверка данных, статистика, распределения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second_member/autocorrelation.py C    # АКФ, время корреляции, стационарность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second_member/bootstrap.py C          # блочный бутстрэп, p-value, TVD, перестановка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second_member/autocorrelation.py C2   # второе окно плато (проверка)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second_member/bootstrap.py C2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second_member/extras.py               # энтропия Шеннона и спектральная плотность</w:t>
      </w:r>
    </w:p>
    <w:p>
      <w:pPr>
        <w:spacing w:after="0"/>
        <w:ind w:left="709" w:firstLine="0"/>
      </w:pPr>
      <w:r>
        <w:rPr>
          <w:rFonts w:ascii="Courier New" w:cs="Courier New" w:eastAsia="Courier New" w:hAnsi="Courier New"/>
          <w:sz w:val="20"/>
          <w:szCs w:val="20"/>
        </w:rPr>
        <w:t xml:space="preserve">python second_member/regions_final.py        # рисунок выбранных участков</w:t>
      </w:r>
    </w:p>
    <w:p>
      <w:pPr>
        <w:spacing w:after="120"/>
      </w:pPr>
    </w:p>
    <w:p>
      <w:pPr>
        <w:jc w:val="both"/>
      </w:pPr>
      <w:r>
        <w:t xml:space="preserve">Границы участков задаются в файле second_member/segments.py. Результаты записываются в папку second_member/C/: stage1-3/data_C.xlsx – проверка данных и статистики участков; «Автокорреляция C.xlsx» – АКФ, время корреляции и проверка стационарности; «Бутстрэп C.xlsx» – разности, доверительные интервалы и p при всех длинах блока; stage7/Дополнительно.xlsx – энтропия. Бутстрэп использует фиксированное начальное значение генератора (seed = 1), поэтому повторный запуск даёт те же числа. Скрипты суррогатной проверки лежат в second_member/checks/.</w:t>
      </w:r>
    </w:p>
    <w:sectPr>
      <w:footerReference w:type="default" r:id="rId6"/>
      <w:footerReference w:type="first" r:id="rId7"/>
      <w:pgSz w:w="11906" w:h="16838" w:orient="portrait"/>
      <w:pgMar w:top="1134" w:right="1134" w:bottom="1134" w:left="1417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sz w:val="28"/>
        <w:szCs w:val="28"/>
      </w:rPr>
      <w:t xml:space="preserve"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 w:lineRule="auto" w:after="120"/>
        <w:ind w:firstLine="709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0" w:after="240"/>
      <w:ind w:firstLin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ind w:firstLine="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TOC1">
    <w:name w:val="toc 1"/>
    <w:basedOn w:val="Normal"/>
    <w:next w:val="Normal"/>
    <w:pPr>
      <w:tabs>
        <w:tab w:val="right" w:pos="9355" w:leader="dot"/>
      </w:tabs>
      <w:spacing w:after="60"/>
      <w:ind w:left="0" w:firstLine="0"/>
    </w:pPr>
  </w:style>
  <w:style w:type="paragraph" w:styleId="TOC2">
    <w:name w:val="toc 2"/>
    <w:basedOn w:val="Normal"/>
    <w:next w:val="Normal"/>
    <w:pPr>
      <w:tabs>
        <w:tab w:val="right" w:pos="9355" w:leader="dot"/>
      </w:tabs>
      <w:spacing w:after="60"/>
      <w:ind w:left="284" w:firstLine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9b2fdb72ffc1a378f3a6a7db2c8628cc995f7f66.png"/><Relationship Id="rId9" Type="http://schemas.openxmlformats.org/officeDocument/2006/relationships/image" Target="media/06d54150df651f790ed9be8c1d19f32e0d02290d.png"/><Relationship Id="rId10" Type="http://schemas.openxmlformats.org/officeDocument/2006/relationships/image" Target="media/7727a2cce238ea9dfe5f1bf60df0386569ee8256.png"/><Relationship Id="rId11" Type="http://schemas.openxmlformats.org/officeDocument/2006/relationships/image" Target="media/c30f3be567d54f69b39c1e2ca89b0182d6320135.png"/><Relationship Id="rId12" Type="http://schemas.openxmlformats.org/officeDocument/2006/relationships/image" Target="media/f4c466ef7a546c7b52269b03298e15a3a79df357.png"/><Relationship Id="rId13" Type="http://schemas.openxmlformats.org/officeDocument/2006/relationships/image" Target="media/4a63bd6f15e932b303980115681b0c30ebd89197.png"/><Relationship Id="rId14" Type="http://schemas.openxmlformats.org/officeDocument/2006/relationships/image" Target="media/0a20411e42bf4447910e22d7289fa4f75637cfec.png"/><Relationship Id="rId15" Type="http://schemas.openxmlformats.org/officeDocument/2006/relationships/image" Target="media/da60caf522a86f28cf5c2a57c784e721932f77c3.png"/><Relationship Id="rId16" Type="http://schemas.openxmlformats.org/officeDocument/2006/relationships/image" Target="media/3a71d4837e23d458806a1465e9b60a7cc7c96049.png"/><Relationship Id="rId17" Type="http://schemas.openxmlformats.org/officeDocument/2006/relationships/image" Target="media/e39ee43eb05a6d295fd6960f6472666e3a1957c5.png"/><Relationship Id="rId18" Type="http://schemas.openxmlformats.org/officeDocument/2006/relationships/image" Target="media/6781a476c3e0bca4a10ce9984b53b3a446b3fb11.png"/><Relationship Id="rId19" Type="http://schemas.openxmlformats.org/officeDocument/2006/relationships/image" Target="media/6a5524958d83c106440d0c66586d9ba247680449.pn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Гидратация глицина и корреляционное время водного окружения в переносчике GlyT1</dc:title>
  <dc:creator>Бессонов И., Смуток Д.</dc:creator>
  <cp:lastModifiedBy>Бессонов И.</cp:lastModifiedBy>
  <cp:revision>1</cp:revision>
  <dcterms:created xsi:type="dcterms:W3CDTF">2026-10-26T21:15:10.162Z</dcterms:created>
  <dcterms:modified xsi:type="dcterms:W3CDTF">2026-10-26T21:15:10.164Z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