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6AC" w:rsidRPr="005822BB" w:rsidRDefault="007A16AC" w:rsidP="007A16AC">
      <w:pPr>
        <w:pStyle w:val="paragraph"/>
        <w:spacing w:before="0" w:beforeAutospacing="0" w:after="0" w:afterAutospacing="0"/>
        <w:textAlignment w:val="baseline"/>
        <w:rPr>
          <w:rFonts w:ascii="Calibri" w:hAnsi="Calibri" w:cs="Calibri"/>
          <w:sz w:val="18"/>
          <w:szCs w:val="18"/>
        </w:rPr>
      </w:pPr>
      <w:r w:rsidRPr="005822BB">
        <w:rPr>
          <w:rStyle w:val="normaltextrun"/>
          <w:rFonts w:ascii="Calibri" w:hAnsi="Calibri" w:cs="Calibri"/>
          <w:color w:val="000000"/>
          <w:sz w:val="22"/>
          <w:szCs w:val="22"/>
          <w:u w:val="single"/>
        </w:rPr>
        <w:t>Safe Harbor statement under the Private Securities Litigation Reform Act of 1995</w:t>
      </w:r>
      <w:r w:rsidRPr="005822BB">
        <w:rPr>
          <w:rStyle w:val="eop"/>
          <w:rFonts w:ascii="Calibri" w:hAnsi="Calibri" w:cs="Calibri"/>
          <w:sz w:val="22"/>
          <w:szCs w:val="22"/>
        </w:rPr>
        <w:t> </w:t>
      </w:r>
    </w:p>
    <w:p w:rsidR="007A16AC" w:rsidRPr="005822BB" w:rsidRDefault="007A16AC" w:rsidP="007A16AC">
      <w:pPr>
        <w:pStyle w:val="paragraph"/>
        <w:spacing w:before="0" w:beforeAutospacing="0" w:after="0" w:afterAutospacing="0"/>
        <w:textAlignment w:val="baseline"/>
        <w:rPr>
          <w:rFonts w:ascii="Calibri" w:hAnsi="Calibri" w:cs="Calibri"/>
          <w:sz w:val="18"/>
          <w:szCs w:val="18"/>
        </w:rPr>
      </w:pPr>
      <w:r w:rsidRPr="005822BB">
        <w:rPr>
          <w:rStyle w:val="normaltextrun"/>
          <w:rFonts w:ascii="Calibri" w:hAnsi="Calibri" w:cs="Calibri"/>
          <w:i/>
          <w:iCs/>
          <w:color w:val="000000"/>
          <w:sz w:val="22"/>
          <w:szCs w:val="22"/>
        </w:rPr>
        <w:t xml:space="preserve">Statements made by </w:t>
      </w:r>
      <w:r>
        <w:rPr>
          <w:rStyle w:val="normaltextrun"/>
          <w:rFonts w:ascii="Calibri" w:hAnsi="Calibri" w:cs="Calibri"/>
          <w:i/>
          <w:iCs/>
          <w:color w:val="000000"/>
          <w:sz w:val="22"/>
          <w:szCs w:val="22"/>
        </w:rPr>
        <w:t>DEMO COMPANY</w:t>
      </w:r>
      <w:r w:rsidRPr="005822BB">
        <w:rPr>
          <w:rStyle w:val="normaltextrun"/>
          <w:rFonts w:ascii="Calibri" w:hAnsi="Calibri" w:cs="Calibri"/>
          <w:i/>
          <w:iCs/>
          <w:color w:val="000000"/>
          <w:sz w:val="22"/>
          <w:szCs w:val="22"/>
        </w:rPr>
        <w:t xml:space="preserve"> Solutions, Inc. that are not historical facts are</w:t>
      </w:r>
      <w:r w:rsidRPr="005822BB">
        <w:rPr>
          <w:rStyle w:val="apple-converted-space"/>
          <w:rFonts w:ascii="Calibri" w:hAnsi="Calibri" w:cs="Calibri"/>
          <w:color w:val="000000"/>
          <w:sz w:val="22"/>
          <w:szCs w:val="22"/>
        </w:rPr>
        <w:t> </w:t>
      </w:r>
      <w:r w:rsidRPr="005822BB">
        <w:rPr>
          <w:rStyle w:val="normaltextrun"/>
          <w:rFonts w:ascii="Calibri" w:hAnsi="Calibri" w:cs="Calibri"/>
          <w:i/>
          <w:iCs/>
          <w:color w:val="000000"/>
          <w:sz w:val="22"/>
          <w:szCs w:val="22"/>
        </w:rPr>
        <w:t>forward-looking statements</w:t>
      </w:r>
      <w:r w:rsidRPr="005822BB">
        <w:rPr>
          <w:rStyle w:val="apple-converted-space"/>
          <w:rFonts w:ascii="Calibri" w:hAnsi="Calibri" w:cs="Calibri"/>
          <w:color w:val="000000"/>
          <w:sz w:val="22"/>
          <w:szCs w:val="22"/>
        </w:rPr>
        <w:t> </w:t>
      </w:r>
      <w:r w:rsidRPr="005822BB">
        <w:rPr>
          <w:rStyle w:val="normaltextrun"/>
          <w:rFonts w:ascii="Calibri" w:hAnsi="Calibri" w:cs="Calibri"/>
          <w:i/>
          <w:iCs/>
          <w:color w:val="000000"/>
          <w:sz w:val="22"/>
          <w:szCs w:val="22"/>
        </w:rPr>
        <w:t>that are</w:t>
      </w:r>
      <w:r w:rsidRPr="005822BB">
        <w:rPr>
          <w:rStyle w:val="apple-converted-space"/>
          <w:rFonts w:ascii="Calibri" w:hAnsi="Calibri" w:cs="Calibri"/>
          <w:color w:val="000000"/>
          <w:sz w:val="22"/>
          <w:szCs w:val="22"/>
        </w:rPr>
        <w:t> </w:t>
      </w:r>
      <w:r w:rsidRPr="005822BB">
        <w:rPr>
          <w:rStyle w:val="normaltextrun"/>
          <w:rFonts w:ascii="Calibri" w:hAnsi="Calibri" w:cs="Calibri"/>
          <w:i/>
          <w:iCs/>
          <w:color w:val="000000"/>
          <w:sz w:val="22"/>
          <w:szCs w:val="22"/>
        </w:rPr>
        <w:t>subject to certain risks, uncertainties and important factors that could cause actual results to differ materially from those reflected in the forward-looking statements included herein.</w:t>
      </w:r>
      <w:r w:rsidRPr="005822BB">
        <w:rPr>
          <w:rStyle w:val="apple-converted-space"/>
          <w:rFonts w:ascii="Calibri" w:hAnsi="Calibri" w:cs="Calibri"/>
          <w:color w:val="000000"/>
          <w:sz w:val="22"/>
          <w:szCs w:val="22"/>
        </w:rPr>
        <w:t> </w:t>
      </w:r>
      <w:r w:rsidRPr="005822BB">
        <w:rPr>
          <w:rStyle w:val="normaltextrun"/>
          <w:rFonts w:ascii="Calibri" w:hAnsi="Calibri" w:cs="Calibri"/>
          <w:i/>
          <w:iCs/>
          <w:color w:val="000000"/>
          <w:sz w:val="22"/>
          <w:szCs w:val="22"/>
        </w:rPr>
        <w:t xml:space="preserve">Forward-looking statements contained in this press release include, without limitation, statements regarding the Company’s </w:t>
      </w:r>
      <w:r>
        <w:rPr>
          <w:rStyle w:val="normaltextrun"/>
          <w:rFonts w:ascii="Calibri" w:hAnsi="Calibri" w:cs="Calibri"/>
          <w:i/>
          <w:iCs/>
          <w:color w:val="000000"/>
          <w:sz w:val="22"/>
          <w:szCs w:val="22"/>
        </w:rPr>
        <w:t xml:space="preserve">growth prospects, </w:t>
      </w:r>
      <w:r w:rsidRPr="005822BB">
        <w:rPr>
          <w:rStyle w:val="normaltextrun"/>
          <w:rFonts w:ascii="Calibri" w:hAnsi="Calibri" w:cs="Calibri"/>
          <w:i/>
          <w:iCs/>
          <w:color w:val="000000"/>
          <w:sz w:val="22"/>
          <w:szCs w:val="22"/>
        </w:rPr>
        <w:t>estimates of backlog,</w:t>
      </w:r>
      <w:r w:rsidRPr="005822BB">
        <w:rPr>
          <w:rStyle w:val="apple-converted-space"/>
          <w:rFonts w:ascii="Calibri" w:hAnsi="Calibri" w:cs="Calibri"/>
          <w:color w:val="000000"/>
          <w:sz w:val="22"/>
          <w:szCs w:val="22"/>
        </w:rPr>
        <w:t> </w:t>
      </w:r>
      <w:r>
        <w:rPr>
          <w:rStyle w:val="apple-converted-space"/>
          <w:rFonts w:ascii="Calibri" w:hAnsi="Calibri" w:cs="Calibri"/>
          <w:i/>
          <w:color w:val="000000"/>
          <w:sz w:val="22"/>
          <w:szCs w:val="22"/>
        </w:rPr>
        <w:t xml:space="preserve">industry trends and market growth, </w:t>
      </w:r>
      <w:r w:rsidRPr="005822BB">
        <w:rPr>
          <w:rStyle w:val="normaltextrun"/>
          <w:rFonts w:ascii="Calibri" w:hAnsi="Calibri" w:cs="Calibri"/>
          <w:i/>
          <w:iCs/>
          <w:color w:val="000000"/>
          <w:sz w:val="22"/>
          <w:szCs w:val="22"/>
        </w:rPr>
        <w:t>results of investments in sales and marketing,</w:t>
      </w:r>
      <w:r w:rsidRPr="00345A12">
        <w:rPr>
          <w:rStyle w:val="normaltextrun"/>
          <w:rFonts w:ascii="Calibri" w:hAnsi="Calibri" w:cs="Calibri"/>
          <w:i/>
          <w:iCs/>
          <w:color w:val="000000"/>
          <w:sz w:val="22"/>
          <w:szCs w:val="22"/>
        </w:rPr>
        <w:t xml:space="preserve"> </w:t>
      </w:r>
      <w:r>
        <w:rPr>
          <w:rStyle w:val="normaltextrun"/>
          <w:rFonts w:ascii="Calibri" w:hAnsi="Calibri" w:cs="Calibri"/>
          <w:i/>
          <w:iCs/>
          <w:color w:val="000000"/>
          <w:sz w:val="22"/>
          <w:szCs w:val="22"/>
        </w:rPr>
        <w:t>adjusted EBITDA,</w:t>
      </w:r>
      <w:r w:rsidRPr="005822BB">
        <w:rPr>
          <w:rStyle w:val="normaltextrun"/>
          <w:rFonts w:ascii="Calibri" w:hAnsi="Calibri" w:cs="Calibri"/>
          <w:i/>
          <w:iCs/>
          <w:color w:val="000000"/>
          <w:sz w:val="22"/>
          <w:szCs w:val="22"/>
        </w:rPr>
        <w:t xml:space="preserve"> success of future products</w:t>
      </w:r>
      <w:r w:rsidRPr="005822BB">
        <w:rPr>
          <w:rStyle w:val="apple-converted-space"/>
          <w:rFonts w:ascii="Calibri" w:hAnsi="Calibri" w:cs="Calibri"/>
          <w:color w:val="000000"/>
          <w:sz w:val="22"/>
          <w:szCs w:val="22"/>
        </w:rPr>
        <w:t> </w:t>
      </w:r>
      <w:r w:rsidRPr="005822BB">
        <w:rPr>
          <w:rStyle w:val="normaltextrun"/>
          <w:rFonts w:ascii="Calibri" w:hAnsi="Calibri" w:cs="Calibri"/>
          <w:i/>
          <w:iCs/>
          <w:color w:val="000000"/>
          <w:sz w:val="22"/>
          <w:szCs w:val="22"/>
        </w:rPr>
        <w:t>and related expectations and assumptions. </w:t>
      </w:r>
      <w:r w:rsidRPr="005822BB">
        <w:rPr>
          <w:rStyle w:val="apple-converted-space"/>
          <w:rFonts w:ascii="Calibri" w:hAnsi="Calibri" w:cs="Calibri"/>
          <w:color w:val="000000"/>
          <w:sz w:val="22"/>
          <w:szCs w:val="22"/>
        </w:rPr>
        <w:t> </w:t>
      </w:r>
      <w:r w:rsidRPr="005822BB">
        <w:rPr>
          <w:rStyle w:val="normaltextrun"/>
          <w:rFonts w:ascii="Calibri" w:hAnsi="Calibri" w:cs="Calibri"/>
          <w:i/>
          <w:iCs/>
          <w:color w:val="000000"/>
          <w:sz w:val="22"/>
          <w:szCs w:val="22"/>
        </w:rPr>
        <w:t>These risks and uncertainties include, but are not limited to, the timing of contract negotiations and execution of contracts and the related timing of the revenue recognition related thereto, the potential cancellation of existing contracts or clients not completing projects included in the backlog, the impact of competitive solutions and pricing, solution demand and market acceptance, new solution development</w:t>
      </w:r>
      <w:r w:rsidRPr="005822BB">
        <w:rPr>
          <w:rStyle w:val="apple-converted-space"/>
          <w:rFonts w:ascii="Calibri" w:hAnsi="Calibri" w:cs="Calibri"/>
          <w:color w:val="000000"/>
          <w:sz w:val="22"/>
          <w:szCs w:val="22"/>
        </w:rPr>
        <w:t> </w:t>
      </w:r>
      <w:r w:rsidRPr="005822BB">
        <w:rPr>
          <w:rStyle w:val="normaltextrun"/>
          <w:rFonts w:ascii="Calibri" w:hAnsi="Calibri" w:cs="Calibri"/>
          <w:i/>
          <w:iCs/>
          <w:color w:val="000000"/>
          <w:sz w:val="22"/>
          <w:szCs w:val="22"/>
        </w:rPr>
        <w:t>and enhancement of current solutions, key strategic alliances with vendors</w:t>
      </w:r>
      <w:r w:rsidRPr="005822BB">
        <w:rPr>
          <w:rStyle w:val="apple-converted-space"/>
          <w:rFonts w:ascii="Calibri" w:hAnsi="Calibri" w:cs="Calibri"/>
          <w:color w:val="000000"/>
          <w:sz w:val="22"/>
          <w:szCs w:val="22"/>
        </w:rPr>
        <w:t> </w:t>
      </w:r>
      <w:r w:rsidRPr="005822BB">
        <w:rPr>
          <w:rStyle w:val="normaltextrun"/>
          <w:rFonts w:ascii="Calibri" w:hAnsi="Calibri" w:cs="Calibri"/>
          <w:i/>
          <w:iCs/>
          <w:color w:val="000000"/>
          <w:sz w:val="22"/>
          <w:szCs w:val="22"/>
        </w:rPr>
        <w:t>and channel partners</w:t>
      </w:r>
      <w:r w:rsidRPr="005822BB">
        <w:rPr>
          <w:rStyle w:val="apple-converted-space"/>
          <w:rFonts w:ascii="Calibri" w:hAnsi="Calibri" w:cs="Calibri"/>
          <w:color w:val="000000"/>
          <w:sz w:val="22"/>
          <w:szCs w:val="22"/>
        </w:rPr>
        <w:t> </w:t>
      </w:r>
      <w:r w:rsidRPr="005822BB">
        <w:rPr>
          <w:rStyle w:val="normaltextrun"/>
          <w:rFonts w:ascii="Calibri" w:hAnsi="Calibri" w:cs="Calibri"/>
          <w:i/>
          <w:iCs/>
          <w:color w:val="000000"/>
          <w:sz w:val="22"/>
          <w:szCs w:val="22"/>
        </w:rPr>
        <w:t xml:space="preserve">that resell the Company's solutions, the ability of the Company to control costs, </w:t>
      </w:r>
      <w:r>
        <w:rPr>
          <w:rStyle w:val="normaltextrun"/>
          <w:rFonts w:ascii="Calibri" w:hAnsi="Calibri" w:cs="Calibri"/>
          <w:i/>
          <w:iCs/>
          <w:color w:val="000000"/>
          <w:sz w:val="22"/>
          <w:szCs w:val="22"/>
        </w:rPr>
        <w:t xml:space="preserve">the effects of cost-containment measures implemented by the Company, </w:t>
      </w:r>
      <w:r w:rsidRPr="005822BB">
        <w:rPr>
          <w:rStyle w:val="normaltextrun"/>
          <w:rFonts w:ascii="Calibri" w:hAnsi="Calibri" w:cs="Calibri"/>
          <w:i/>
          <w:iCs/>
          <w:color w:val="000000"/>
          <w:sz w:val="22"/>
          <w:szCs w:val="22"/>
        </w:rPr>
        <w:t>availability of solutions from third</w:t>
      </w:r>
      <w:r w:rsidRPr="005822BB">
        <w:rPr>
          <w:rStyle w:val="apple-converted-space"/>
          <w:rFonts w:ascii="Calibri" w:hAnsi="Calibri" w:cs="Calibri"/>
          <w:color w:val="000000"/>
          <w:sz w:val="22"/>
          <w:szCs w:val="22"/>
        </w:rPr>
        <w:t> </w:t>
      </w:r>
      <w:r w:rsidRPr="005822BB">
        <w:rPr>
          <w:rStyle w:val="normaltextrun"/>
          <w:rFonts w:ascii="Calibri" w:hAnsi="Calibri" w:cs="Calibri"/>
          <w:i/>
          <w:iCs/>
          <w:color w:val="000000"/>
          <w:sz w:val="22"/>
          <w:szCs w:val="22"/>
        </w:rPr>
        <w:t xml:space="preserve">party vendors, the healthcare regulatory environment, potential changes in legislation, regulation and government funding affecting the healthcare industry, healthcare information systems budgets, availability of healthcare information systems trained personnel for implementation of new systems, as well as maintenance of legacy systems, fluctuations in operating results, effects of critical accounting policies and judgments, changes in accounting policies or procedures as may be required by the Financial Accounting Standards Board or other similar entities, changes in economic, business and market conditions impacting the healthcare industry generally and the markets in which the Company operates and nationally, and the Company's ability to maintain compliance with the terms of its credit facilities, and other risks detailed from time to time in the </w:t>
      </w:r>
      <w:r>
        <w:rPr>
          <w:rStyle w:val="normaltextrun"/>
          <w:rFonts w:ascii="Calibri" w:hAnsi="Calibri" w:cs="Calibri"/>
          <w:i/>
          <w:iCs/>
          <w:color w:val="000000"/>
          <w:sz w:val="22"/>
          <w:szCs w:val="22"/>
        </w:rPr>
        <w:t>DEMO COMPANY</w:t>
      </w:r>
      <w:r w:rsidRPr="005822BB">
        <w:rPr>
          <w:rStyle w:val="normaltextrun"/>
          <w:rFonts w:ascii="Calibri" w:hAnsi="Calibri" w:cs="Calibri"/>
          <w:i/>
          <w:iCs/>
          <w:color w:val="000000"/>
          <w:sz w:val="22"/>
          <w:szCs w:val="22"/>
        </w:rPr>
        <w:t xml:space="preserve"> Solutions, Inc. filings with the U. S. Securities and Exchange Commission. Readers are cautioned not to place undue reliance on these forward-looking statements, which reflect management's analysis only as of the date hereof. The Company undertakes no obligation to publicly release the results of any revision to these forward-looking statements, which may be made to reflect events or circumstances after the date hereof or to reflect the occurrence of unanticipated events, except as required by law.</w:t>
      </w:r>
      <w:r w:rsidRPr="005822BB">
        <w:rPr>
          <w:rStyle w:val="eop"/>
          <w:rFonts w:ascii="Calibri" w:hAnsi="Calibri" w:cs="Calibri"/>
          <w:sz w:val="22"/>
          <w:szCs w:val="22"/>
        </w:rPr>
        <w:t> </w:t>
      </w:r>
    </w:p>
    <w:p w:rsidR="00C50DB8" w:rsidRPr="007A16AC" w:rsidRDefault="00C50DB8" w:rsidP="007A16AC"/>
    <w:sectPr w:rsidR="00C50DB8" w:rsidRPr="007A16AC" w:rsidSect="00C50D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0E90"/>
    <w:rsid w:val="007A16AC"/>
    <w:rsid w:val="00840E90"/>
    <w:rsid w:val="00B8362E"/>
    <w:rsid w:val="00C50D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90"/>
    <w:pPr>
      <w:spacing w:after="0" w:line="240" w:lineRule="auto"/>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16AC"/>
  </w:style>
  <w:style w:type="paragraph" w:customStyle="1" w:styleId="paragraph">
    <w:name w:val="paragraph"/>
    <w:basedOn w:val="Normal"/>
    <w:rsid w:val="007A16AC"/>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DefaultParagraphFont"/>
    <w:rsid w:val="007A16AC"/>
  </w:style>
  <w:style w:type="character" w:customStyle="1" w:styleId="eop">
    <w:name w:val="eop"/>
    <w:basedOn w:val="DefaultParagraphFont"/>
    <w:rsid w:val="007A16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Chinni</dc:creator>
  <cp:lastModifiedBy>Chinni</cp:lastModifiedBy>
  <cp:revision>2</cp:revision>
  <dcterms:created xsi:type="dcterms:W3CDTF">2021-05-05T15:59:00Z</dcterms:created>
  <dcterms:modified xsi:type="dcterms:W3CDTF">2021-05-05T17:34:00Z</dcterms:modified>
</cp:coreProperties>
</file>