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55FF1" w14:textId="77777777" w:rsidR="004C77C2" w:rsidRDefault="004C77C2">
      <w:pPr>
        <w:spacing w:before="2000"/>
      </w:pPr>
    </w:p>
    <w:p w14:paraId="54CE65EF" w14:textId="77777777" w:rsidR="004C77C2" w:rsidRDefault="00000000">
      <w:pPr>
        <w:jc w:val="center"/>
      </w:pPr>
      <w:r>
        <w:rPr>
          <w:b/>
          <w:bCs/>
          <w:color w:val="1A1A2E"/>
          <w:sz w:val="48"/>
          <w:szCs w:val="48"/>
        </w:rPr>
        <w:t>Manual de Usuario</w:t>
      </w:r>
    </w:p>
    <w:p w14:paraId="0D29634F" w14:textId="77777777" w:rsidR="004C77C2" w:rsidRDefault="00000000">
      <w:pPr>
        <w:spacing w:after="100"/>
        <w:jc w:val="center"/>
      </w:pPr>
      <w:r>
        <w:rPr>
          <w:b/>
          <w:bCs/>
          <w:color w:val="E74C3C"/>
          <w:sz w:val="36"/>
          <w:szCs w:val="36"/>
        </w:rPr>
        <w:t>CRM CenthriX</w:t>
      </w:r>
    </w:p>
    <w:p w14:paraId="07D38D3E" w14:textId="77777777" w:rsidR="004C77C2" w:rsidRDefault="00000000">
      <w:pPr>
        <w:spacing w:after="400"/>
        <w:jc w:val="center"/>
      </w:pPr>
      <w:r>
        <w:rPr>
          <w:color w:val="455A64"/>
          <w:sz w:val="24"/>
          <w:szCs w:val="24"/>
        </w:rPr>
        <w:t>Guía completa de uso del sistema</w:t>
      </w:r>
    </w:p>
    <w:p w14:paraId="59DE3832" w14:textId="77777777" w:rsidR="004C77C2" w:rsidRDefault="00000000">
      <w:pPr>
        <w:spacing w:after="120"/>
        <w:jc w:val="center"/>
      </w:pPr>
      <w:r>
        <w:rPr>
          <w:color w:val="455A64"/>
        </w:rPr>
        <w:t>Versión: 1.0.0 | Fecha: Marzo 2026</w:t>
      </w:r>
    </w:p>
    <w:p w14:paraId="3D1ECA9A" w14:textId="77777777" w:rsidR="004C77C2" w:rsidRDefault="00000000">
      <w:pPr>
        <w:spacing w:after="120"/>
        <w:jc w:val="center"/>
      </w:pPr>
      <w:r>
        <w:rPr>
          <w:color w:val="455A64"/>
        </w:rPr>
        <w:t>ISTHO S.A.S. — Centro Logístico Industrial del Norte</w:t>
      </w:r>
    </w:p>
    <w:p w14:paraId="614F5A1F" w14:textId="77777777" w:rsidR="004C77C2" w:rsidRDefault="00000000">
      <w:r>
        <w:br w:type="page"/>
      </w:r>
    </w:p>
    <w:p w14:paraId="3C4151D8" w14:textId="77777777" w:rsidR="004C77C2" w:rsidRDefault="00000000">
      <w:pPr>
        <w:pStyle w:val="Ttulo1"/>
        <w:spacing w:before="300" w:after="150"/>
      </w:pPr>
      <w:r>
        <w:rPr>
          <w:b/>
          <w:bCs/>
          <w:color w:val="1A1A2E"/>
        </w:rPr>
        <w:lastRenderedPageBreak/>
        <w:t>Tabla de Contenido</w:t>
      </w:r>
    </w:p>
    <w:p w14:paraId="30EDAB9A" w14:textId="77777777" w:rsidR="004C77C2" w:rsidRDefault="00000000">
      <w:pPr>
        <w:spacing w:after="120"/>
      </w:pPr>
      <w:r>
        <w:rPr>
          <w:color w:val="455A64"/>
        </w:rPr>
        <w:t>1. Autenticación</w:t>
      </w:r>
    </w:p>
    <w:p w14:paraId="28DD0E82" w14:textId="77777777" w:rsidR="004C77C2" w:rsidRDefault="00000000">
      <w:pPr>
        <w:spacing w:after="120"/>
      </w:pPr>
      <w:r>
        <w:rPr>
          <w:color w:val="455A64"/>
        </w:rPr>
        <w:t>2. Dashboard</w:t>
      </w:r>
    </w:p>
    <w:p w14:paraId="438269B8" w14:textId="77777777" w:rsidR="004C77C2" w:rsidRDefault="00000000">
      <w:pPr>
        <w:spacing w:after="120"/>
      </w:pPr>
      <w:r>
        <w:rPr>
          <w:color w:val="455A64"/>
        </w:rPr>
        <w:t>3. Clientes</w:t>
      </w:r>
    </w:p>
    <w:p w14:paraId="7D1E7F2C" w14:textId="77777777" w:rsidR="004C77C2" w:rsidRDefault="00000000">
      <w:pPr>
        <w:spacing w:after="120"/>
      </w:pPr>
      <w:r>
        <w:rPr>
          <w:color w:val="455A64"/>
        </w:rPr>
        <w:t>4. Inventario</w:t>
      </w:r>
    </w:p>
    <w:p w14:paraId="1601B831" w14:textId="77777777" w:rsidR="004C77C2" w:rsidRDefault="00000000">
      <w:pPr>
        <w:spacing w:after="120"/>
      </w:pPr>
      <w:r>
        <w:rPr>
          <w:color w:val="455A64"/>
        </w:rPr>
        <w:t>5. Auditoría WMS</w:t>
      </w:r>
    </w:p>
    <w:p w14:paraId="5B03F75B" w14:textId="77777777" w:rsidR="004C77C2" w:rsidRDefault="00000000">
      <w:pPr>
        <w:spacing w:after="120"/>
      </w:pPr>
      <w:r>
        <w:rPr>
          <w:color w:val="455A64"/>
        </w:rPr>
        <w:t>6. Vehículos</w:t>
      </w:r>
    </w:p>
    <w:p w14:paraId="423549CE" w14:textId="77777777" w:rsidR="004C77C2" w:rsidRDefault="00000000">
      <w:pPr>
        <w:spacing w:after="120"/>
      </w:pPr>
      <w:r>
        <w:rPr>
          <w:color w:val="455A64"/>
        </w:rPr>
        <w:t>7. Viajes</w:t>
      </w:r>
    </w:p>
    <w:p w14:paraId="115D4552" w14:textId="77777777" w:rsidR="004C77C2" w:rsidRDefault="00000000">
      <w:pPr>
        <w:spacing w:after="120"/>
      </w:pPr>
      <w:r>
        <w:rPr>
          <w:color w:val="455A64"/>
        </w:rPr>
        <w:t>8. Cajas Menores</w:t>
      </w:r>
    </w:p>
    <w:p w14:paraId="42391A54" w14:textId="77777777" w:rsidR="004C77C2" w:rsidRDefault="00000000">
      <w:pPr>
        <w:spacing w:after="120"/>
      </w:pPr>
      <w:r>
        <w:rPr>
          <w:color w:val="455A64"/>
        </w:rPr>
        <w:t>9. Movimientos</w:t>
      </w:r>
    </w:p>
    <w:p w14:paraId="23B3E38E" w14:textId="77777777" w:rsidR="004C77C2" w:rsidRDefault="00000000">
      <w:pPr>
        <w:spacing w:after="120"/>
      </w:pPr>
      <w:r>
        <w:rPr>
          <w:color w:val="455A64"/>
        </w:rPr>
        <w:t>10. Reportes</w:t>
      </w:r>
    </w:p>
    <w:p w14:paraId="472D8CA9" w14:textId="77777777" w:rsidR="004C77C2" w:rsidRDefault="00000000">
      <w:pPr>
        <w:spacing w:after="120"/>
      </w:pPr>
      <w:r>
        <w:rPr>
          <w:color w:val="455A64"/>
        </w:rPr>
        <w:t>11. Configuración WMS</w:t>
      </w:r>
    </w:p>
    <w:p w14:paraId="397A1393" w14:textId="77777777" w:rsidR="004C77C2" w:rsidRDefault="00000000">
      <w:pPr>
        <w:spacing w:after="120"/>
      </w:pPr>
      <w:r>
        <w:rPr>
          <w:color w:val="455A64"/>
        </w:rPr>
        <w:t>12. Administración</w:t>
      </w:r>
    </w:p>
    <w:p w14:paraId="1B4DC2A0" w14:textId="77777777" w:rsidR="004C77C2" w:rsidRDefault="00000000">
      <w:pPr>
        <w:spacing w:after="120"/>
      </w:pPr>
      <w:r>
        <w:rPr>
          <w:color w:val="455A64"/>
        </w:rPr>
        <w:t>13. Perfil</w:t>
      </w:r>
    </w:p>
    <w:p w14:paraId="11302DE6" w14:textId="77777777" w:rsidR="004C77C2" w:rsidRDefault="00000000">
      <w:pPr>
        <w:spacing w:after="120"/>
      </w:pPr>
      <w:r>
        <w:rPr>
          <w:color w:val="455A64"/>
        </w:rPr>
        <w:t>14. Notificaciones</w:t>
      </w:r>
    </w:p>
    <w:p w14:paraId="005D85C2" w14:textId="77777777" w:rsidR="004C77C2" w:rsidRDefault="00000000">
      <w:r>
        <w:br w:type="page"/>
      </w:r>
    </w:p>
    <w:p w14:paraId="1EE1159B" w14:textId="77777777" w:rsidR="004C77C2" w:rsidRDefault="00000000">
      <w:pPr>
        <w:pStyle w:val="Ttulo1"/>
        <w:spacing w:before="300" w:after="150"/>
      </w:pPr>
      <w:r>
        <w:rPr>
          <w:b/>
          <w:bCs/>
          <w:color w:val="1A1A2E"/>
        </w:rPr>
        <w:lastRenderedPageBreak/>
        <w:t>1. Autenticación</w:t>
      </w:r>
    </w:p>
    <w:p w14:paraId="3C06A2A4" w14:textId="77777777" w:rsidR="004C77C2" w:rsidRDefault="00000000">
      <w:pPr>
        <w:spacing w:after="120"/>
      </w:pPr>
      <w:r>
        <w:rPr>
          <w:color w:val="455A64"/>
        </w:rPr>
        <w:t>Inicio de sesión, recuperar contraseña, cambio obligatorio, bloqueo de cuenta.</w:t>
      </w:r>
    </w:p>
    <w:p w14:paraId="659A52CE" w14:textId="04FCF2C0" w:rsidR="004C77C2" w:rsidRDefault="002F0A51">
      <w:pPr>
        <w:pBdr>
          <w:top w:val="dashed" w:sz="1" w:space="0" w:color="B0BEC5"/>
          <w:left w:val="dashed" w:sz="1" w:space="0" w:color="B0BEC5"/>
          <w:bottom w:val="dashed" w:sz="1" w:space="0" w:color="B0BEC5"/>
          <w:right w:val="dashed" w:sz="1" w:space="0" w:color="B0BEC5"/>
        </w:pBdr>
        <w:spacing w:before="150" w:after="150"/>
        <w:jc w:val="center"/>
      </w:pPr>
      <w:r w:rsidRPr="002F0A51">
        <w:drawing>
          <wp:inline distT="0" distB="0" distL="0" distR="0" wp14:anchorId="76F9506A" wp14:editId="7BADE752">
            <wp:extent cx="5731510" cy="259524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91E2" w14:textId="77777777" w:rsidR="004C77C2" w:rsidRDefault="00000000">
      <w:pPr>
        <w:pStyle w:val="Ttulo3"/>
        <w:spacing w:before="300" w:after="150"/>
      </w:pPr>
      <w:r>
        <w:rPr>
          <w:b/>
          <w:bCs/>
          <w:color w:val="1A1A2E"/>
          <w:sz w:val="22"/>
          <w:szCs w:val="22"/>
        </w:rPr>
        <w:t>Inicio de Sesión</w:t>
      </w:r>
    </w:p>
    <w:p w14:paraId="5C547E44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1. </w:t>
      </w:r>
      <w:r>
        <w:rPr>
          <w:color w:val="455A64"/>
        </w:rPr>
        <w:t>Abrir el navegador e ingresar la URL del sistema.</w:t>
      </w:r>
    </w:p>
    <w:p w14:paraId="307CD796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2. </w:t>
      </w:r>
      <w:r>
        <w:rPr>
          <w:color w:val="455A64"/>
        </w:rPr>
        <w:t>Ingresar usuario o correo electrónico en el campo correspondiente.</w:t>
      </w:r>
    </w:p>
    <w:p w14:paraId="40676A03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3. </w:t>
      </w:r>
      <w:r>
        <w:rPr>
          <w:color w:val="455A64"/>
        </w:rPr>
        <w:t>Ingresar la contraseña.</w:t>
      </w:r>
    </w:p>
    <w:p w14:paraId="5A5ACABB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4. </w:t>
      </w:r>
      <w:r>
        <w:rPr>
          <w:color w:val="455A64"/>
        </w:rPr>
        <w:t>Opcionalmente marcar "Recordarme" para mantener la sesión.</w:t>
      </w:r>
    </w:p>
    <w:p w14:paraId="6820595F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5. </w:t>
      </w:r>
      <w:r>
        <w:rPr>
          <w:color w:val="455A64"/>
        </w:rPr>
        <w:t>Hacer clic en "Iniciar Sesión".</w:t>
      </w:r>
    </w:p>
    <w:p w14:paraId="3C1191DD" w14:textId="77777777" w:rsidR="004C77C2" w:rsidRDefault="00000000">
      <w:pPr>
        <w:spacing w:after="120"/>
      </w:pPr>
      <w:r>
        <w:rPr>
          <w:i/>
          <w:iCs/>
          <w:color w:val="455A64"/>
        </w:rPr>
        <w:t>Si es el primer inicio de sesión con contraseña temporal, el sistema solicitará cambiarla obligatoriamente.</w:t>
      </w:r>
    </w:p>
    <w:p w14:paraId="0915AAE6" w14:textId="77777777" w:rsidR="004C77C2" w:rsidRDefault="00000000">
      <w:pPr>
        <w:pStyle w:val="Ttulo3"/>
        <w:spacing w:before="300" w:after="150"/>
      </w:pPr>
      <w:r>
        <w:rPr>
          <w:b/>
          <w:bCs/>
          <w:color w:val="1A1A2E"/>
          <w:sz w:val="22"/>
          <w:szCs w:val="22"/>
        </w:rPr>
        <w:t>Recuperar Contraseña</w:t>
      </w:r>
    </w:p>
    <w:p w14:paraId="1F49E457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1. </w:t>
      </w:r>
      <w:r>
        <w:rPr>
          <w:color w:val="455A64"/>
        </w:rPr>
        <w:t>Hacer clic en "¿Olvidaste tu contraseña?" en la página de login.</w:t>
      </w:r>
    </w:p>
    <w:p w14:paraId="70C9AC94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2. </w:t>
      </w:r>
      <w:r>
        <w:rPr>
          <w:color w:val="455A64"/>
        </w:rPr>
        <w:t>Ingresar el correo electrónico registrado.</w:t>
      </w:r>
    </w:p>
    <w:p w14:paraId="03EE94D8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3. </w:t>
      </w:r>
      <w:r>
        <w:rPr>
          <w:color w:val="455A64"/>
        </w:rPr>
        <w:t>Hacer clic en "Enviar Instrucciones".</w:t>
      </w:r>
    </w:p>
    <w:p w14:paraId="72D0C54F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4. </w:t>
      </w:r>
      <w:r>
        <w:rPr>
          <w:color w:val="455A64"/>
        </w:rPr>
        <w:t>Revisar el correo y seguir el enlace de restablecimiento.</w:t>
      </w:r>
    </w:p>
    <w:p w14:paraId="4E2E534C" w14:textId="77777777" w:rsidR="004C77C2" w:rsidRDefault="00000000">
      <w:pPr>
        <w:pStyle w:val="Ttulo3"/>
        <w:spacing w:before="300" w:after="150"/>
      </w:pPr>
      <w:r>
        <w:rPr>
          <w:b/>
          <w:bCs/>
          <w:color w:val="1A1A2E"/>
          <w:sz w:val="22"/>
          <w:szCs w:val="22"/>
        </w:rPr>
        <w:t>Bloqueo de Cuenta</w:t>
      </w:r>
    </w:p>
    <w:p w14:paraId="623E5E27" w14:textId="77777777" w:rsidR="004C77C2" w:rsidRDefault="00000000">
      <w:pPr>
        <w:spacing w:after="120"/>
      </w:pPr>
      <w:r>
        <w:rPr>
          <w:color w:val="455A64"/>
        </w:rPr>
        <w:t>Después de 5 intentos fallidos consecutivos, la cuenta se bloquea por 15 minutos. El bloqueo se levanta automáticamente.</w:t>
      </w:r>
    </w:p>
    <w:p w14:paraId="0DAEEC51" w14:textId="77777777" w:rsidR="004C77C2" w:rsidRDefault="00000000">
      <w:pPr>
        <w:spacing w:before="200" w:after="200"/>
      </w:pPr>
      <w:r>
        <w:rPr>
          <w:color w:val="B0BEC5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0AAC935B" w14:textId="77777777" w:rsidR="004C77C2" w:rsidRDefault="00000000">
      <w:pPr>
        <w:pStyle w:val="Ttulo1"/>
        <w:spacing w:before="300" w:after="150"/>
      </w:pPr>
      <w:r>
        <w:rPr>
          <w:b/>
          <w:bCs/>
          <w:color w:val="1A1A2E"/>
        </w:rPr>
        <w:t>2. Dashboard</w:t>
      </w:r>
    </w:p>
    <w:p w14:paraId="199DB8D1" w14:textId="77777777" w:rsidR="004C77C2" w:rsidRDefault="00000000">
      <w:pPr>
        <w:spacing w:after="120"/>
      </w:pPr>
      <w:r>
        <w:rPr>
          <w:color w:val="455A64"/>
        </w:rPr>
        <w:t>Panel de control diferenciado por rol (Admin, Financiera, Conductor, Operador).</w:t>
      </w:r>
    </w:p>
    <w:p w14:paraId="52C7EA97" w14:textId="1F925BBD" w:rsidR="004C77C2" w:rsidRDefault="002F0A51">
      <w:pPr>
        <w:pBdr>
          <w:top w:val="dashed" w:sz="1" w:space="0" w:color="B0BEC5"/>
          <w:left w:val="dashed" w:sz="1" w:space="0" w:color="B0BEC5"/>
          <w:bottom w:val="dashed" w:sz="1" w:space="0" w:color="B0BEC5"/>
          <w:right w:val="dashed" w:sz="1" w:space="0" w:color="B0BEC5"/>
        </w:pBdr>
        <w:spacing w:before="150" w:after="150"/>
        <w:jc w:val="center"/>
      </w:pPr>
      <w:r w:rsidRPr="002F0A51">
        <w:lastRenderedPageBreak/>
        <w:drawing>
          <wp:inline distT="0" distB="0" distL="0" distR="0" wp14:anchorId="4CD61762" wp14:editId="4255E258">
            <wp:extent cx="5731510" cy="2606040"/>
            <wp:effectExtent l="0" t="0" r="254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7354" w14:textId="77777777" w:rsidR="004C77C2" w:rsidRDefault="00000000">
      <w:pPr>
        <w:spacing w:before="200" w:after="200"/>
      </w:pPr>
      <w:r>
        <w:rPr>
          <w:color w:val="B0BEC5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66783A80" w14:textId="77777777" w:rsidR="004C77C2" w:rsidRDefault="00000000">
      <w:pPr>
        <w:pStyle w:val="Ttulo1"/>
        <w:spacing w:before="300" w:after="150"/>
      </w:pPr>
      <w:r>
        <w:rPr>
          <w:b/>
          <w:bCs/>
          <w:color w:val="1A1A2E"/>
        </w:rPr>
        <w:t>3. Clientes</w:t>
      </w:r>
    </w:p>
    <w:p w14:paraId="2D692A4D" w14:textId="77777777" w:rsidR="004C77C2" w:rsidRDefault="00000000">
      <w:pPr>
        <w:spacing w:after="120"/>
      </w:pPr>
      <w:r>
        <w:rPr>
          <w:color w:val="455A64"/>
        </w:rPr>
        <w:t>Gestión de clientes corporativos, contactos y portal de consulta.</w:t>
      </w:r>
    </w:p>
    <w:p w14:paraId="368891BB" w14:textId="78AB100F" w:rsidR="004C77C2" w:rsidRDefault="002F0A51">
      <w:pPr>
        <w:pBdr>
          <w:top w:val="dashed" w:sz="1" w:space="0" w:color="B0BEC5"/>
          <w:left w:val="dashed" w:sz="1" w:space="0" w:color="B0BEC5"/>
          <w:bottom w:val="dashed" w:sz="1" w:space="0" w:color="B0BEC5"/>
          <w:right w:val="dashed" w:sz="1" w:space="0" w:color="B0BEC5"/>
        </w:pBdr>
        <w:spacing w:before="150" w:after="150"/>
        <w:jc w:val="center"/>
      </w:pPr>
      <w:r w:rsidRPr="002F0A51">
        <w:drawing>
          <wp:inline distT="0" distB="0" distL="0" distR="0" wp14:anchorId="5593F906" wp14:editId="326F85CE">
            <wp:extent cx="5731510" cy="2589530"/>
            <wp:effectExtent l="0" t="0" r="254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90E5" w14:textId="77777777" w:rsidR="004C77C2" w:rsidRDefault="00000000">
      <w:pPr>
        <w:spacing w:before="200" w:after="200"/>
      </w:pPr>
      <w:r>
        <w:rPr>
          <w:color w:val="B0BEC5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5E02727D" w14:textId="77777777" w:rsidR="004C77C2" w:rsidRDefault="00000000">
      <w:pPr>
        <w:pStyle w:val="Ttulo1"/>
        <w:spacing w:before="300" w:after="150"/>
      </w:pPr>
      <w:r>
        <w:rPr>
          <w:b/>
          <w:bCs/>
          <w:color w:val="1A1A2E"/>
        </w:rPr>
        <w:t>4. Inventario</w:t>
      </w:r>
    </w:p>
    <w:p w14:paraId="1EEF0253" w14:textId="77777777" w:rsidR="004C77C2" w:rsidRDefault="00000000">
      <w:pPr>
        <w:spacing w:after="120"/>
      </w:pPr>
      <w:r>
        <w:rPr>
          <w:color w:val="455A64"/>
        </w:rPr>
        <w:t>Productos, stock por cliente, cajas, lotes, alertas de inventario.</w:t>
      </w:r>
    </w:p>
    <w:p w14:paraId="5238E69E" w14:textId="549DBCDE" w:rsidR="004C77C2" w:rsidRDefault="002F0A51">
      <w:pPr>
        <w:pBdr>
          <w:top w:val="dashed" w:sz="1" w:space="0" w:color="B0BEC5"/>
          <w:left w:val="dashed" w:sz="1" w:space="0" w:color="B0BEC5"/>
          <w:bottom w:val="dashed" w:sz="1" w:space="0" w:color="B0BEC5"/>
          <w:right w:val="dashed" w:sz="1" w:space="0" w:color="B0BEC5"/>
        </w:pBdr>
        <w:spacing w:before="150" w:after="150"/>
        <w:jc w:val="center"/>
      </w:pPr>
      <w:r w:rsidRPr="002F0A51">
        <w:lastRenderedPageBreak/>
        <w:drawing>
          <wp:inline distT="0" distB="0" distL="0" distR="0" wp14:anchorId="426369BD" wp14:editId="57310001">
            <wp:extent cx="5731510" cy="2598420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2BA3" w14:textId="77777777" w:rsidR="004C77C2" w:rsidRDefault="00000000">
      <w:pPr>
        <w:spacing w:before="200" w:after="200"/>
      </w:pPr>
      <w:r>
        <w:rPr>
          <w:color w:val="B0BEC5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113B102B" w14:textId="77777777" w:rsidR="004C77C2" w:rsidRDefault="00000000">
      <w:pPr>
        <w:pStyle w:val="Ttulo1"/>
        <w:spacing w:before="300" w:after="150"/>
      </w:pPr>
      <w:r>
        <w:rPr>
          <w:b/>
          <w:bCs/>
          <w:color w:val="1A1A2E"/>
        </w:rPr>
        <w:t>5. Auditoría WMS</w:t>
      </w:r>
    </w:p>
    <w:p w14:paraId="21E7F027" w14:textId="77777777" w:rsidR="004C77C2" w:rsidRDefault="00000000">
      <w:pPr>
        <w:spacing w:after="120"/>
      </w:pPr>
      <w:r>
        <w:rPr>
          <w:color w:val="455A64"/>
        </w:rPr>
        <w:t>Verificación de entradas (CO), salidas (PK) y kardex (CR). Registro de averías y evidencias.</w:t>
      </w:r>
    </w:p>
    <w:p w14:paraId="59F4DA4A" w14:textId="41ECC8F2" w:rsidR="004C77C2" w:rsidRDefault="002F0A51">
      <w:pPr>
        <w:pBdr>
          <w:top w:val="dashed" w:sz="1" w:space="0" w:color="B0BEC5"/>
          <w:left w:val="dashed" w:sz="1" w:space="0" w:color="B0BEC5"/>
          <w:bottom w:val="dashed" w:sz="1" w:space="0" w:color="B0BEC5"/>
          <w:right w:val="dashed" w:sz="1" w:space="0" w:color="B0BEC5"/>
        </w:pBdr>
        <w:spacing w:before="150" w:after="150"/>
        <w:jc w:val="center"/>
      </w:pPr>
      <w:r w:rsidRPr="002F0A51">
        <w:drawing>
          <wp:inline distT="0" distB="0" distL="0" distR="0" wp14:anchorId="33E5D497" wp14:editId="4281FB53">
            <wp:extent cx="5731510" cy="2600960"/>
            <wp:effectExtent l="0" t="0" r="254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25B9" w14:textId="77777777" w:rsidR="004C77C2" w:rsidRDefault="00000000">
      <w:pPr>
        <w:spacing w:before="200" w:after="200"/>
      </w:pPr>
      <w:r>
        <w:rPr>
          <w:color w:val="B0BEC5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0D1EDFB6" w14:textId="77777777" w:rsidR="004C77C2" w:rsidRDefault="00000000">
      <w:pPr>
        <w:pStyle w:val="Ttulo1"/>
        <w:spacing w:before="300" w:after="150"/>
      </w:pPr>
      <w:r>
        <w:rPr>
          <w:b/>
          <w:bCs/>
          <w:color w:val="1A1A2E"/>
        </w:rPr>
        <w:t>6. Vehículos</w:t>
      </w:r>
    </w:p>
    <w:p w14:paraId="7478F0C0" w14:textId="77777777" w:rsidR="004C77C2" w:rsidRDefault="00000000">
      <w:pPr>
        <w:spacing w:after="120"/>
      </w:pPr>
      <w:r>
        <w:rPr>
          <w:color w:val="455A64"/>
        </w:rPr>
        <w:t>Flota vehicular, documentos SOAT/tecnomecánica, alertas de vencimiento.</w:t>
      </w:r>
    </w:p>
    <w:p w14:paraId="5EB8F953" w14:textId="1DF0215F" w:rsidR="004C77C2" w:rsidRDefault="00854258">
      <w:pPr>
        <w:pBdr>
          <w:top w:val="dashed" w:sz="1" w:space="0" w:color="B0BEC5"/>
          <w:left w:val="dashed" w:sz="1" w:space="0" w:color="B0BEC5"/>
          <w:bottom w:val="dashed" w:sz="1" w:space="0" w:color="B0BEC5"/>
          <w:right w:val="dashed" w:sz="1" w:space="0" w:color="B0BEC5"/>
        </w:pBdr>
        <w:spacing w:before="150" w:after="150"/>
        <w:jc w:val="center"/>
      </w:pPr>
      <w:r w:rsidRPr="00854258">
        <w:lastRenderedPageBreak/>
        <w:drawing>
          <wp:inline distT="0" distB="0" distL="0" distR="0" wp14:anchorId="203CFB73" wp14:editId="4ACDF277">
            <wp:extent cx="5731510" cy="2598420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BD7D" w14:textId="77777777" w:rsidR="004C77C2" w:rsidRDefault="00000000">
      <w:pPr>
        <w:spacing w:before="200" w:after="200"/>
      </w:pPr>
      <w:r>
        <w:rPr>
          <w:color w:val="B0BEC5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6A0F6A88" w14:textId="77777777" w:rsidR="004C77C2" w:rsidRDefault="00000000">
      <w:pPr>
        <w:pStyle w:val="Ttulo1"/>
        <w:spacing w:before="300" w:after="150"/>
      </w:pPr>
      <w:r>
        <w:rPr>
          <w:b/>
          <w:bCs/>
          <w:color w:val="1A1A2E"/>
        </w:rPr>
        <w:t>7. Viajes</w:t>
      </w:r>
    </w:p>
    <w:p w14:paraId="6C76C2A3" w14:textId="77777777" w:rsidR="004C77C2" w:rsidRDefault="00000000">
      <w:pPr>
        <w:spacing w:after="120"/>
      </w:pPr>
      <w:r>
        <w:rPr>
          <w:color w:val="455A64"/>
        </w:rPr>
        <w:t>Creación de viajes con conductor, vehículo, ruta y gastos asociados.</w:t>
      </w:r>
    </w:p>
    <w:p w14:paraId="2315E240" w14:textId="6C9132DC" w:rsidR="004C77C2" w:rsidRDefault="00854258">
      <w:pPr>
        <w:pBdr>
          <w:top w:val="dashed" w:sz="1" w:space="0" w:color="B0BEC5"/>
          <w:left w:val="dashed" w:sz="1" w:space="0" w:color="B0BEC5"/>
          <w:bottom w:val="dashed" w:sz="1" w:space="0" w:color="B0BEC5"/>
          <w:right w:val="dashed" w:sz="1" w:space="0" w:color="B0BEC5"/>
        </w:pBdr>
        <w:spacing w:before="150" w:after="150"/>
        <w:jc w:val="center"/>
      </w:pPr>
      <w:r w:rsidRPr="00854258">
        <w:drawing>
          <wp:inline distT="0" distB="0" distL="0" distR="0" wp14:anchorId="195914A4" wp14:editId="5D08EC9B">
            <wp:extent cx="5731510" cy="2600960"/>
            <wp:effectExtent l="0" t="0" r="254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6E9E" w14:textId="77777777" w:rsidR="004C77C2" w:rsidRDefault="00000000">
      <w:pPr>
        <w:spacing w:before="200" w:after="200"/>
      </w:pPr>
      <w:r>
        <w:rPr>
          <w:color w:val="B0BEC5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14C1742D" w14:textId="77777777" w:rsidR="004C77C2" w:rsidRDefault="00000000">
      <w:pPr>
        <w:pStyle w:val="Ttulo1"/>
        <w:spacing w:before="300" w:after="150"/>
      </w:pPr>
      <w:r>
        <w:rPr>
          <w:b/>
          <w:bCs/>
          <w:color w:val="1A1A2E"/>
        </w:rPr>
        <w:t>8. Cajas Menores</w:t>
      </w:r>
    </w:p>
    <w:p w14:paraId="5C928E7B" w14:textId="77777777" w:rsidR="004C77C2" w:rsidRDefault="00000000">
      <w:pPr>
        <w:spacing w:after="120"/>
      </w:pPr>
      <w:r>
        <w:rPr>
          <w:color w:val="455A64"/>
        </w:rPr>
        <w:t>Fondos asignados a usuarios. Saldo, movimientos, cierre con traslado o liquidación.</w:t>
      </w:r>
    </w:p>
    <w:p w14:paraId="7D70DDFF" w14:textId="77777777" w:rsidR="004C77C2" w:rsidRDefault="00000000">
      <w:pPr>
        <w:pBdr>
          <w:top w:val="dashed" w:sz="1" w:space="0" w:color="B0BEC5"/>
          <w:left w:val="dashed" w:sz="1" w:space="0" w:color="B0BEC5"/>
          <w:bottom w:val="dashed" w:sz="1" w:space="0" w:color="B0BEC5"/>
          <w:right w:val="dashed" w:sz="1" w:space="0" w:color="B0BEC5"/>
        </w:pBdr>
        <w:spacing w:before="150" w:after="150"/>
        <w:jc w:val="center"/>
      </w:pPr>
      <w:r>
        <w:rPr>
          <w:i/>
          <w:iCs/>
          <w:color w:val="B0BEC5"/>
          <w:sz w:val="20"/>
          <w:szCs w:val="20"/>
        </w:rPr>
        <w:t>[ Insertar captura: Detalle de Caja Menor ]</w:t>
      </w:r>
    </w:p>
    <w:p w14:paraId="6E016D41" w14:textId="77777777" w:rsidR="004C77C2" w:rsidRDefault="00000000">
      <w:pPr>
        <w:pStyle w:val="Ttulo3"/>
        <w:spacing w:before="300" w:after="150"/>
      </w:pPr>
      <w:r>
        <w:rPr>
          <w:b/>
          <w:bCs/>
          <w:color w:val="1A1A2E"/>
          <w:sz w:val="22"/>
          <w:szCs w:val="22"/>
        </w:rPr>
        <w:t>Crear Caja Menor</w:t>
      </w:r>
    </w:p>
    <w:p w14:paraId="47C94CED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1. </w:t>
      </w:r>
      <w:r>
        <w:rPr>
          <w:color w:val="455A64"/>
        </w:rPr>
        <w:t>Ir a Viajes → Cajas Menores.</w:t>
      </w:r>
    </w:p>
    <w:p w14:paraId="1098F2BF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2. </w:t>
      </w:r>
      <w:r>
        <w:rPr>
          <w:color w:val="455A64"/>
        </w:rPr>
        <w:t>Hacer clic en "Nueva Caja Menor".</w:t>
      </w:r>
    </w:p>
    <w:p w14:paraId="56A54A46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3. </w:t>
      </w:r>
      <w:r>
        <w:rPr>
          <w:color w:val="455A64"/>
        </w:rPr>
        <w:t>Seleccionar el usuario asignado (puede ser cualquier usuario activo del sistema).</w:t>
      </w:r>
    </w:p>
    <w:p w14:paraId="1E1F44CF" w14:textId="77777777" w:rsidR="004C77C2" w:rsidRDefault="00000000">
      <w:pPr>
        <w:spacing w:after="80"/>
      </w:pPr>
      <w:r>
        <w:rPr>
          <w:b/>
          <w:bCs/>
          <w:color w:val="E74C3C"/>
        </w:rPr>
        <w:lastRenderedPageBreak/>
        <w:t xml:space="preserve">4. </w:t>
      </w:r>
      <w:r>
        <w:rPr>
          <w:color w:val="455A64"/>
        </w:rPr>
        <w:t>Ingresar el saldo inicial.</w:t>
      </w:r>
    </w:p>
    <w:p w14:paraId="309F89D3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5. </w:t>
      </w:r>
      <w:r>
        <w:rPr>
          <w:color w:val="455A64"/>
        </w:rPr>
        <w:t>Agregar observaciones opcionales.</w:t>
      </w:r>
    </w:p>
    <w:p w14:paraId="73772835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6. </w:t>
      </w:r>
      <w:r>
        <w:rPr>
          <w:color w:val="455A64"/>
        </w:rPr>
        <w:t>Hacer clic en "Crear".</w:t>
      </w:r>
    </w:p>
    <w:p w14:paraId="3D4E812D" w14:textId="77777777" w:rsidR="004C77C2" w:rsidRDefault="00000000">
      <w:pPr>
        <w:spacing w:after="120"/>
      </w:pPr>
      <w:r>
        <w:rPr>
          <w:i/>
          <w:iCs/>
          <w:color w:val="455A64"/>
        </w:rPr>
        <w:t>Nota: Si el usuario asignado es conductor, podrá asociar viajes a los gastos. Para otros roles, el campo viaje no aparecerá.</w:t>
      </w:r>
    </w:p>
    <w:p w14:paraId="07BE6202" w14:textId="77777777" w:rsidR="004C77C2" w:rsidRDefault="00000000">
      <w:pPr>
        <w:pStyle w:val="Ttulo3"/>
        <w:spacing w:before="300" w:after="150"/>
      </w:pPr>
      <w:r>
        <w:rPr>
          <w:b/>
          <w:bCs/>
          <w:color w:val="1A1A2E"/>
          <w:sz w:val="22"/>
          <w:szCs w:val="22"/>
        </w:rPr>
        <w:t>Cerrar Caja Menor</w:t>
      </w:r>
    </w:p>
    <w:p w14:paraId="2DC2A538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1. </w:t>
      </w:r>
      <w:r>
        <w:rPr>
          <w:color w:val="455A64"/>
        </w:rPr>
        <w:t>Abrir el detalle de la caja menor.</w:t>
      </w:r>
    </w:p>
    <w:p w14:paraId="1F491B8E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2. </w:t>
      </w:r>
      <w:r>
        <w:rPr>
          <w:color w:val="455A64"/>
        </w:rPr>
        <w:t>Hacer clic en "Cerrar Caja".</w:t>
      </w:r>
    </w:p>
    <w:p w14:paraId="52B2D1A1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3. </w:t>
      </w:r>
      <w:r>
        <w:rPr>
          <w:color w:val="455A64"/>
        </w:rPr>
        <w:t>Si hay saldo sobrante, elegir: "Guardar para siguiente caja" o "Entregar al usuario".</w:t>
      </w:r>
    </w:p>
    <w:p w14:paraId="3120EC6C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4. </w:t>
      </w:r>
      <w:r>
        <w:rPr>
          <w:color w:val="455A64"/>
        </w:rPr>
        <w:t>Confirmar el cierre.</w:t>
      </w:r>
    </w:p>
    <w:p w14:paraId="571ACA64" w14:textId="77777777" w:rsidR="004C77C2" w:rsidRDefault="00000000">
      <w:pPr>
        <w:spacing w:before="200" w:after="200"/>
      </w:pPr>
      <w:r>
        <w:rPr>
          <w:color w:val="B0BEC5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39D35265" w14:textId="77777777" w:rsidR="004C77C2" w:rsidRDefault="00000000">
      <w:pPr>
        <w:pStyle w:val="Ttulo1"/>
        <w:spacing w:before="300" w:after="150"/>
      </w:pPr>
      <w:r>
        <w:rPr>
          <w:b/>
          <w:bCs/>
          <w:color w:val="1A1A2E"/>
        </w:rPr>
        <w:t>9. Movimientos</w:t>
      </w:r>
    </w:p>
    <w:p w14:paraId="7B0CAE07" w14:textId="77777777" w:rsidR="004C77C2" w:rsidRDefault="00000000">
      <w:pPr>
        <w:spacing w:after="120"/>
      </w:pPr>
      <w:r>
        <w:rPr>
          <w:color w:val="455A64"/>
        </w:rPr>
        <w:t>Egresos e ingresos. 18 conceptos de egreso, 7 de ingreso. Aprobación individual y masiva.</w:t>
      </w:r>
    </w:p>
    <w:p w14:paraId="307D2B5E" w14:textId="77777777" w:rsidR="004C77C2" w:rsidRDefault="00000000">
      <w:pPr>
        <w:pBdr>
          <w:top w:val="dashed" w:sz="1" w:space="0" w:color="B0BEC5"/>
          <w:left w:val="dashed" w:sz="1" w:space="0" w:color="B0BEC5"/>
          <w:bottom w:val="dashed" w:sz="1" w:space="0" w:color="B0BEC5"/>
          <w:right w:val="dashed" w:sz="1" w:space="0" w:color="B0BEC5"/>
        </w:pBdr>
        <w:spacing w:before="150" w:after="150"/>
        <w:jc w:val="center"/>
      </w:pPr>
      <w:r>
        <w:rPr>
          <w:i/>
          <w:iCs/>
          <w:color w:val="B0BEC5"/>
          <w:sz w:val="20"/>
          <w:szCs w:val="20"/>
        </w:rPr>
        <w:t>[ Insertar captura: Listado de Movimientos ]</w:t>
      </w:r>
    </w:p>
    <w:p w14:paraId="4CF5937C" w14:textId="77777777" w:rsidR="004C77C2" w:rsidRDefault="00000000">
      <w:pPr>
        <w:pStyle w:val="Ttulo3"/>
        <w:spacing w:before="300" w:after="150"/>
      </w:pPr>
      <w:r>
        <w:rPr>
          <w:b/>
          <w:bCs/>
          <w:color w:val="1A1A2E"/>
          <w:sz w:val="22"/>
          <w:szCs w:val="22"/>
        </w:rPr>
        <w:t>Crear Movimiento</w:t>
      </w:r>
    </w:p>
    <w:p w14:paraId="0427C9D4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1. </w:t>
      </w:r>
      <w:r>
        <w:rPr>
          <w:color w:val="455A64"/>
        </w:rPr>
        <w:t>Ir a Viajes → Movimientos → "Nuevo Movimiento".</w:t>
      </w:r>
    </w:p>
    <w:p w14:paraId="05766BF6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2. </w:t>
      </w:r>
      <w:r>
        <w:rPr>
          <w:color w:val="455A64"/>
        </w:rPr>
        <w:t>Seleccionar la caja menor.</w:t>
      </w:r>
    </w:p>
    <w:p w14:paraId="2B187AB6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3. </w:t>
      </w:r>
      <w:r>
        <w:rPr>
          <w:color w:val="455A64"/>
        </w:rPr>
        <w:t>Elegir tipo: Egreso o Ingreso.</w:t>
      </w:r>
    </w:p>
    <w:p w14:paraId="65285063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4. </w:t>
      </w:r>
      <w:r>
        <w:rPr>
          <w:color w:val="455A64"/>
        </w:rPr>
        <w:t>Seleccionar concepto de la lista predefinida.</w:t>
      </w:r>
    </w:p>
    <w:p w14:paraId="56A0CF9D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5. </w:t>
      </w:r>
      <w:r>
        <w:rPr>
          <w:color w:val="455A64"/>
        </w:rPr>
        <w:t>Ingresar el valor.</w:t>
      </w:r>
    </w:p>
    <w:p w14:paraId="72499838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6. </w:t>
      </w:r>
      <w:r>
        <w:rPr>
          <w:color w:val="455A64"/>
        </w:rPr>
        <w:t>Si el usuario es conductor: opcionalmente asociar un viaje.</w:t>
      </w:r>
    </w:p>
    <w:p w14:paraId="0C61828D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7. </w:t>
      </w:r>
      <w:r>
        <w:rPr>
          <w:color w:val="455A64"/>
        </w:rPr>
        <w:t>En la pestaña "Soporte": agregar descripción y archivo adjunto.</w:t>
      </w:r>
    </w:p>
    <w:p w14:paraId="13DA0569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8. </w:t>
      </w:r>
      <w:r>
        <w:rPr>
          <w:color w:val="455A64"/>
        </w:rPr>
        <w:t>Hacer clic en "Registrar Movimiento".</w:t>
      </w:r>
    </w:p>
    <w:p w14:paraId="2E0E4ABD" w14:textId="77777777" w:rsidR="004C77C2" w:rsidRDefault="00000000">
      <w:pPr>
        <w:pStyle w:val="Ttulo3"/>
        <w:spacing w:before="300" w:after="150"/>
      </w:pPr>
      <w:r>
        <w:rPr>
          <w:b/>
          <w:bCs/>
          <w:color w:val="1A1A2E"/>
          <w:sz w:val="22"/>
          <w:szCs w:val="22"/>
        </w:rPr>
        <w:t>Aprobar/Rechazar Gastos</w:t>
      </w:r>
    </w:p>
    <w:p w14:paraId="7555F3F9" w14:textId="77777777" w:rsidR="004C77C2" w:rsidRDefault="00000000">
      <w:pPr>
        <w:spacing w:after="120"/>
      </w:pPr>
      <w:r>
        <w:rPr>
          <w:color w:val="455A64"/>
        </w:rPr>
        <w:t>Solo disponible para Admin, Supervisor y Financiera.</w:t>
      </w:r>
    </w:p>
    <w:p w14:paraId="7D7D83F3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1. </w:t>
      </w:r>
      <w:r>
        <w:rPr>
          <w:color w:val="455A64"/>
        </w:rPr>
        <w:t>Seleccionar uno o más movimientos pendientes.</w:t>
      </w:r>
    </w:p>
    <w:p w14:paraId="533C0214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2. </w:t>
      </w:r>
      <w:r>
        <w:rPr>
          <w:color w:val="455A64"/>
        </w:rPr>
        <w:t>Hacer clic en "Aprobar" o "Rechazar".</w:t>
      </w:r>
    </w:p>
    <w:p w14:paraId="40289C65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3. </w:t>
      </w:r>
      <w:r>
        <w:rPr>
          <w:color w:val="455A64"/>
        </w:rPr>
        <w:t>Al aprobar: el valor aprobado puede diferir del solicitado.</w:t>
      </w:r>
    </w:p>
    <w:p w14:paraId="7104B471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4. </w:t>
      </w:r>
      <w:r>
        <w:rPr>
          <w:color w:val="455A64"/>
        </w:rPr>
        <w:t>Al rechazar: agregar observaciones del motivo.</w:t>
      </w:r>
    </w:p>
    <w:p w14:paraId="5C8B4684" w14:textId="77777777" w:rsidR="004C77C2" w:rsidRDefault="00000000">
      <w:pPr>
        <w:spacing w:before="200" w:after="200"/>
      </w:pPr>
      <w:r>
        <w:rPr>
          <w:color w:val="B0BEC5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661D0C58" w14:textId="77777777" w:rsidR="004C77C2" w:rsidRDefault="00000000">
      <w:pPr>
        <w:pStyle w:val="Ttulo1"/>
        <w:spacing w:before="300" w:after="150"/>
      </w:pPr>
      <w:r>
        <w:rPr>
          <w:b/>
          <w:bCs/>
          <w:color w:val="1A1A2E"/>
        </w:rPr>
        <w:t>10. Reportes</w:t>
      </w:r>
    </w:p>
    <w:p w14:paraId="036F765F" w14:textId="77777777" w:rsidR="004C77C2" w:rsidRDefault="00000000">
      <w:pPr>
        <w:spacing w:after="120"/>
      </w:pPr>
      <w:r>
        <w:rPr>
          <w:color w:val="455A64"/>
        </w:rPr>
        <w:t>6 tipos de reportes con KPIs, gráficos y exportación. Reportes programados por email.</w:t>
      </w:r>
    </w:p>
    <w:p w14:paraId="661CCB4A" w14:textId="22323CF4" w:rsidR="004C77C2" w:rsidRDefault="00166BAA">
      <w:pPr>
        <w:pBdr>
          <w:top w:val="dashed" w:sz="1" w:space="0" w:color="B0BEC5"/>
          <w:left w:val="dashed" w:sz="1" w:space="0" w:color="B0BEC5"/>
          <w:bottom w:val="dashed" w:sz="1" w:space="0" w:color="B0BEC5"/>
          <w:right w:val="dashed" w:sz="1" w:space="0" w:color="B0BEC5"/>
        </w:pBdr>
        <w:spacing w:before="150" w:after="150"/>
        <w:jc w:val="center"/>
      </w:pPr>
      <w:r w:rsidRPr="00166BAA">
        <w:lastRenderedPageBreak/>
        <w:drawing>
          <wp:inline distT="0" distB="0" distL="0" distR="0" wp14:anchorId="7C591B0D" wp14:editId="25016888">
            <wp:extent cx="5731510" cy="2586355"/>
            <wp:effectExtent l="0" t="0" r="254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B93C" w14:textId="77777777" w:rsidR="004C77C2" w:rsidRDefault="00000000">
      <w:pPr>
        <w:pStyle w:val="Ttulo3"/>
        <w:spacing w:before="300" w:after="150"/>
      </w:pPr>
      <w:r>
        <w:rPr>
          <w:b/>
          <w:bCs/>
          <w:color w:val="1A1A2E"/>
          <w:sz w:val="22"/>
          <w:szCs w:val="22"/>
        </w:rPr>
        <w:t>Reportes Programados</w:t>
      </w:r>
    </w:p>
    <w:p w14:paraId="65622D74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1. </w:t>
      </w:r>
      <w:r>
        <w:rPr>
          <w:color w:val="455A64"/>
        </w:rPr>
        <w:t>Ir a Dashboard → Reportes → Reportes Programados.</w:t>
      </w:r>
    </w:p>
    <w:p w14:paraId="0276A252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2. </w:t>
      </w:r>
      <w:r>
        <w:rPr>
          <w:color w:val="455A64"/>
        </w:rPr>
        <w:t>Hacer clic en "Nuevo Reporte Programado".</w:t>
      </w:r>
    </w:p>
    <w:p w14:paraId="1C3DDBD7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3. </w:t>
      </w:r>
      <w:r>
        <w:rPr>
          <w:color w:val="455A64"/>
        </w:rPr>
        <w:t>Ingresar nombre descriptivo.</w:t>
      </w:r>
    </w:p>
    <w:p w14:paraId="0C27757E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4. </w:t>
      </w:r>
      <w:r>
        <w:rPr>
          <w:color w:val="455A64"/>
        </w:rPr>
        <w:t>Seleccionar tipo: Operaciones, Inventario, Clientes, Viajes, Cajas Menores o Gastos.</w:t>
      </w:r>
    </w:p>
    <w:p w14:paraId="60D31799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5. </w:t>
      </w:r>
      <w:r>
        <w:rPr>
          <w:color w:val="455A64"/>
        </w:rPr>
        <w:t>Seleccionar formato: Excel, PDF o ambos.</w:t>
      </w:r>
    </w:p>
    <w:p w14:paraId="1D3D2499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6. </w:t>
      </w:r>
      <w:r>
        <w:rPr>
          <w:color w:val="455A64"/>
        </w:rPr>
        <w:t>Elegir frecuencia (diario, semanal, quincenal, mensual).</w:t>
      </w:r>
    </w:p>
    <w:p w14:paraId="4DB1B728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7. </w:t>
      </w:r>
      <w:r>
        <w:rPr>
          <w:color w:val="455A64"/>
        </w:rPr>
        <w:t>Ingresar emails destinatarios separados por coma.</w:t>
      </w:r>
    </w:p>
    <w:p w14:paraId="35CC4E80" w14:textId="77777777" w:rsidR="004C77C2" w:rsidRDefault="00000000">
      <w:pPr>
        <w:spacing w:after="80"/>
      </w:pPr>
      <w:r>
        <w:rPr>
          <w:b/>
          <w:bCs/>
          <w:color w:val="E74C3C"/>
        </w:rPr>
        <w:t xml:space="preserve">8. </w:t>
      </w:r>
      <w:r>
        <w:rPr>
          <w:color w:val="455A64"/>
        </w:rPr>
        <w:t>Hacer clic en "Crear".</w:t>
      </w:r>
    </w:p>
    <w:p w14:paraId="79EC5D96" w14:textId="77777777" w:rsidR="004C77C2" w:rsidRDefault="00000000">
      <w:pPr>
        <w:spacing w:before="200" w:after="200"/>
      </w:pPr>
      <w:r>
        <w:rPr>
          <w:color w:val="B0BEC5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7BCF4291" w14:textId="77777777" w:rsidR="004C77C2" w:rsidRDefault="00000000">
      <w:pPr>
        <w:pStyle w:val="Ttulo1"/>
        <w:spacing w:before="300" w:after="150"/>
      </w:pPr>
      <w:r>
        <w:rPr>
          <w:b/>
          <w:bCs/>
          <w:color w:val="1A1A2E"/>
        </w:rPr>
        <w:t>11. Configuración WMS</w:t>
      </w:r>
    </w:p>
    <w:p w14:paraId="5939B746" w14:textId="77777777" w:rsidR="004C77C2" w:rsidRDefault="00000000">
      <w:pPr>
        <w:spacing w:after="120"/>
      </w:pPr>
      <w:r>
        <w:rPr>
          <w:color w:val="455A64"/>
        </w:rPr>
        <w:t>Motivos de kardex, tipos de orden y estados válidos para procesamiento.</w:t>
      </w:r>
    </w:p>
    <w:p w14:paraId="1638E959" w14:textId="09809C48" w:rsidR="004C77C2" w:rsidRDefault="00166BAA">
      <w:pPr>
        <w:pBdr>
          <w:top w:val="dashed" w:sz="1" w:space="0" w:color="B0BEC5"/>
          <w:left w:val="dashed" w:sz="1" w:space="0" w:color="B0BEC5"/>
          <w:bottom w:val="dashed" w:sz="1" w:space="0" w:color="B0BEC5"/>
          <w:right w:val="dashed" w:sz="1" w:space="0" w:color="B0BEC5"/>
        </w:pBdr>
        <w:spacing w:before="150" w:after="150"/>
        <w:jc w:val="center"/>
      </w:pPr>
      <w:r w:rsidRPr="00166BAA">
        <w:drawing>
          <wp:inline distT="0" distB="0" distL="0" distR="0" wp14:anchorId="25F8298F" wp14:editId="274DA297">
            <wp:extent cx="5731510" cy="2595245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CAE8" w14:textId="77777777" w:rsidR="004C77C2" w:rsidRDefault="00000000">
      <w:pPr>
        <w:spacing w:before="200" w:after="200"/>
      </w:pPr>
      <w:r>
        <w:rPr>
          <w:color w:val="B0BEC5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22E0FC60" w14:textId="77777777" w:rsidR="004C77C2" w:rsidRDefault="00000000">
      <w:pPr>
        <w:pStyle w:val="Ttulo1"/>
        <w:spacing w:before="300" w:after="150"/>
      </w:pPr>
      <w:r>
        <w:rPr>
          <w:b/>
          <w:bCs/>
          <w:color w:val="1A1A2E"/>
        </w:rPr>
        <w:lastRenderedPageBreak/>
        <w:t>12. Administración</w:t>
      </w:r>
    </w:p>
    <w:p w14:paraId="2C3EBD67" w14:textId="77777777" w:rsidR="004C77C2" w:rsidRDefault="00000000">
      <w:pPr>
        <w:spacing w:after="120"/>
      </w:pPr>
      <w:r>
        <w:rPr>
          <w:color w:val="455A64"/>
        </w:rPr>
        <w:t>Usuarios, roles, permisos granulares, sesiones activas.</w:t>
      </w:r>
    </w:p>
    <w:p w14:paraId="7DF4D9AD" w14:textId="77777777" w:rsidR="004C77C2" w:rsidRDefault="00000000">
      <w:pPr>
        <w:pBdr>
          <w:top w:val="dashed" w:sz="1" w:space="0" w:color="B0BEC5"/>
          <w:left w:val="dashed" w:sz="1" w:space="0" w:color="B0BEC5"/>
          <w:bottom w:val="dashed" w:sz="1" w:space="0" w:color="B0BEC5"/>
          <w:right w:val="dashed" w:sz="1" w:space="0" w:color="B0BEC5"/>
        </w:pBdr>
        <w:spacing w:before="150" w:after="150"/>
        <w:jc w:val="center"/>
      </w:pPr>
      <w:r>
        <w:rPr>
          <w:i/>
          <w:iCs/>
          <w:color w:val="B0BEC5"/>
          <w:sz w:val="20"/>
          <w:szCs w:val="20"/>
        </w:rPr>
        <w:t>[ Insertar captura: Administración de Usuarios ]</w:t>
      </w:r>
    </w:p>
    <w:p w14:paraId="354FCA11" w14:textId="77777777" w:rsidR="004C77C2" w:rsidRDefault="00000000">
      <w:pPr>
        <w:spacing w:before="200" w:after="200"/>
      </w:pPr>
      <w:r>
        <w:rPr>
          <w:color w:val="B0BEC5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5107D0B5" w14:textId="77777777" w:rsidR="004C77C2" w:rsidRDefault="00000000">
      <w:pPr>
        <w:pStyle w:val="Ttulo1"/>
        <w:spacing w:before="300" w:after="150"/>
      </w:pPr>
      <w:r>
        <w:rPr>
          <w:b/>
          <w:bCs/>
          <w:color w:val="1A1A2E"/>
        </w:rPr>
        <w:t>13. Perfil</w:t>
      </w:r>
    </w:p>
    <w:p w14:paraId="33DE8420" w14:textId="77777777" w:rsidR="004C77C2" w:rsidRDefault="00000000">
      <w:pPr>
        <w:spacing w:after="120"/>
      </w:pPr>
      <w:r>
        <w:rPr>
          <w:color w:val="455A64"/>
        </w:rPr>
        <w:t>Datos personales, avatar, cambio de contraseña, tema oscuro/claro.</w:t>
      </w:r>
    </w:p>
    <w:p w14:paraId="7A7F8754" w14:textId="458A355A" w:rsidR="004C77C2" w:rsidRDefault="00166BAA">
      <w:pPr>
        <w:pBdr>
          <w:top w:val="dashed" w:sz="1" w:space="0" w:color="B0BEC5"/>
          <w:left w:val="dashed" w:sz="1" w:space="0" w:color="B0BEC5"/>
          <w:bottom w:val="dashed" w:sz="1" w:space="0" w:color="B0BEC5"/>
          <w:right w:val="dashed" w:sz="1" w:space="0" w:color="B0BEC5"/>
        </w:pBdr>
        <w:spacing w:before="150" w:after="150"/>
        <w:jc w:val="center"/>
      </w:pPr>
      <w:r w:rsidRPr="00166BAA">
        <w:drawing>
          <wp:inline distT="0" distB="0" distL="0" distR="0" wp14:anchorId="622D9822" wp14:editId="622BDF7F">
            <wp:extent cx="5731510" cy="2586355"/>
            <wp:effectExtent l="0" t="0" r="254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9B34" w14:textId="77777777" w:rsidR="004C77C2" w:rsidRDefault="00000000">
      <w:pPr>
        <w:spacing w:before="200" w:after="200"/>
      </w:pPr>
      <w:r>
        <w:rPr>
          <w:color w:val="B0BEC5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4C89CCC4" w14:textId="77777777" w:rsidR="004C77C2" w:rsidRDefault="00000000">
      <w:pPr>
        <w:pStyle w:val="Ttulo1"/>
        <w:spacing w:before="300" w:after="150"/>
      </w:pPr>
      <w:r>
        <w:rPr>
          <w:b/>
          <w:bCs/>
          <w:color w:val="1A1A2E"/>
        </w:rPr>
        <w:t>14. Notificaciones</w:t>
      </w:r>
    </w:p>
    <w:p w14:paraId="5D8161DA" w14:textId="77777777" w:rsidR="004C77C2" w:rsidRDefault="00000000">
      <w:pPr>
        <w:spacing w:after="120"/>
      </w:pPr>
      <w:r>
        <w:rPr>
          <w:color w:val="455A64"/>
        </w:rPr>
        <w:t>Alertas en tiempo real via WebSocket. Filtros por tipo y prioridad.</w:t>
      </w:r>
    </w:p>
    <w:p w14:paraId="4793E28E" w14:textId="67F4DDC2" w:rsidR="004C77C2" w:rsidRDefault="00166BAA">
      <w:pPr>
        <w:pBdr>
          <w:top w:val="dashed" w:sz="1" w:space="0" w:color="B0BEC5"/>
          <w:left w:val="dashed" w:sz="1" w:space="0" w:color="B0BEC5"/>
          <w:bottom w:val="dashed" w:sz="1" w:space="0" w:color="B0BEC5"/>
          <w:right w:val="dashed" w:sz="1" w:space="0" w:color="B0BEC5"/>
        </w:pBdr>
        <w:spacing w:before="150" w:after="150"/>
        <w:jc w:val="center"/>
      </w:pPr>
      <w:r w:rsidRPr="00166BAA">
        <w:drawing>
          <wp:inline distT="0" distB="0" distL="0" distR="0" wp14:anchorId="37EC3CF6" wp14:editId="60581C69">
            <wp:extent cx="5731510" cy="2571115"/>
            <wp:effectExtent l="0" t="0" r="254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2CD1" w14:textId="77777777" w:rsidR="004C77C2" w:rsidRDefault="00000000">
      <w:pPr>
        <w:spacing w:before="200" w:after="200"/>
      </w:pPr>
      <w:r>
        <w:rPr>
          <w:color w:val="B0BEC5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4C77C2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5B40D" w14:textId="77777777" w:rsidR="00441156" w:rsidRDefault="00441156">
      <w:r>
        <w:separator/>
      </w:r>
    </w:p>
  </w:endnote>
  <w:endnote w:type="continuationSeparator" w:id="0">
    <w:p w14:paraId="39B145D6" w14:textId="77777777" w:rsidR="00441156" w:rsidRDefault="00441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EF3E2" w14:textId="77777777" w:rsidR="004C77C2" w:rsidRDefault="00000000">
    <w:pPr>
      <w:spacing w:after="120"/>
      <w:jc w:val="center"/>
    </w:pPr>
    <w:r>
      <w:rPr>
        <w:color w:val="B0BEC5"/>
      </w:rPr>
      <w:t>ISTHO S.A.S. © 2026 — Girardota, Antioquia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62D63" w14:textId="77777777" w:rsidR="00441156" w:rsidRDefault="00441156">
      <w:r>
        <w:separator/>
      </w:r>
    </w:p>
  </w:footnote>
  <w:footnote w:type="continuationSeparator" w:id="0">
    <w:p w14:paraId="11FF31F9" w14:textId="77777777" w:rsidR="00441156" w:rsidRDefault="004411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E555A" w14:textId="77777777" w:rsidR="004C77C2" w:rsidRDefault="00000000">
    <w:pPr>
      <w:spacing w:after="120"/>
    </w:pPr>
    <w:r>
      <w:rPr>
        <w:color w:val="B0BEC5"/>
      </w:rPr>
      <w:t>CRM CenthriX — Manual de Usuario | ISTHO S.A.S.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21FB1"/>
    <w:multiLevelType w:val="hybridMultilevel"/>
    <w:tmpl w:val="ED7668B4"/>
    <w:lvl w:ilvl="0" w:tplc="20105ACA">
      <w:start w:val="1"/>
      <w:numFmt w:val="bullet"/>
      <w:lvlText w:val="●"/>
      <w:lvlJc w:val="left"/>
      <w:pPr>
        <w:ind w:left="720" w:hanging="360"/>
      </w:pPr>
    </w:lvl>
    <w:lvl w:ilvl="1" w:tplc="5990619A">
      <w:start w:val="1"/>
      <w:numFmt w:val="bullet"/>
      <w:lvlText w:val="○"/>
      <w:lvlJc w:val="left"/>
      <w:pPr>
        <w:ind w:left="1440" w:hanging="360"/>
      </w:pPr>
    </w:lvl>
    <w:lvl w:ilvl="2" w:tplc="B1E06C16">
      <w:start w:val="1"/>
      <w:numFmt w:val="bullet"/>
      <w:lvlText w:val="■"/>
      <w:lvlJc w:val="left"/>
      <w:pPr>
        <w:ind w:left="2160" w:hanging="360"/>
      </w:pPr>
    </w:lvl>
    <w:lvl w:ilvl="3" w:tplc="09B6E5AC">
      <w:start w:val="1"/>
      <w:numFmt w:val="bullet"/>
      <w:lvlText w:val="●"/>
      <w:lvlJc w:val="left"/>
      <w:pPr>
        <w:ind w:left="2880" w:hanging="360"/>
      </w:pPr>
    </w:lvl>
    <w:lvl w:ilvl="4" w:tplc="BE1E2D7C">
      <w:start w:val="1"/>
      <w:numFmt w:val="bullet"/>
      <w:lvlText w:val="○"/>
      <w:lvlJc w:val="left"/>
      <w:pPr>
        <w:ind w:left="3600" w:hanging="360"/>
      </w:pPr>
    </w:lvl>
    <w:lvl w:ilvl="5" w:tplc="673A819E">
      <w:start w:val="1"/>
      <w:numFmt w:val="bullet"/>
      <w:lvlText w:val="■"/>
      <w:lvlJc w:val="left"/>
      <w:pPr>
        <w:ind w:left="4320" w:hanging="360"/>
      </w:pPr>
    </w:lvl>
    <w:lvl w:ilvl="6" w:tplc="0F1C1E64">
      <w:start w:val="1"/>
      <w:numFmt w:val="bullet"/>
      <w:lvlText w:val="●"/>
      <w:lvlJc w:val="left"/>
      <w:pPr>
        <w:ind w:left="5040" w:hanging="360"/>
      </w:pPr>
    </w:lvl>
    <w:lvl w:ilvl="7" w:tplc="52F87874">
      <w:start w:val="1"/>
      <w:numFmt w:val="bullet"/>
      <w:lvlText w:val="●"/>
      <w:lvlJc w:val="left"/>
      <w:pPr>
        <w:ind w:left="5760" w:hanging="360"/>
      </w:pPr>
    </w:lvl>
    <w:lvl w:ilvl="8" w:tplc="9760E6DE">
      <w:start w:val="1"/>
      <w:numFmt w:val="bullet"/>
      <w:lvlText w:val="●"/>
      <w:lvlJc w:val="left"/>
      <w:pPr>
        <w:ind w:left="6480" w:hanging="360"/>
      </w:pPr>
    </w:lvl>
  </w:abstractNum>
  <w:num w:numId="1" w16cid:durableId="4953901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7C2"/>
    <w:rsid w:val="00166BAA"/>
    <w:rsid w:val="002F0A51"/>
    <w:rsid w:val="00441156"/>
    <w:rsid w:val="004C77C2"/>
    <w:rsid w:val="00854258"/>
    <w:rsid w:val="00A1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29856"/>
  <w15:docId w15:val="{9A06E75E-0E7E-406C-8F8D-9F8B88D64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Segoe UI" w:hAnsi="Segoe UI" w:cs="Segoe U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781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Osman David Gallego Barraza</cp:lastModifiedBy>
  <cp:revision>2</cp:revision>
  <dcterms:created xsi:type="dcterms:W3CDTF">2026-03-24T20:57:00Z</dcterms:created>
  <dcterms:modified xsi:type="dcterms:W3CDTF">2026-03-25T02:00:00Z</dcterms:modified>
</cp:coreProperties>
</file>