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Loss Functions in Deep Learning — MSE, Huber &amp; MRE</w:t>
      </w:r>
    </w:p>
    <w:p>
      <w:pPr>
        <w:spacing w:after="300"/>
      </w:pPr>
      <w:r>
        <w:rPr>
          <w:i/>
          <w:iCs/>
          <w:sz w:val="24"/>
          <w:szCs w:val="24"/>
        </w:rPr>
        <w:t xml:space="preserve">A Self-Learning Reference — Concept, Mathematics, Hand-Verified Worked Examples, Real Code, Industry Relevance</w:t>
      </w:r>
    </w:p>
    <w:p>
      <w:pPr>
        <w:spacing w:after="160"/>
        <w:jc w:val="both"/>
      </w:pPr>
      <w:r>
        <w:t xml:space="preserve">Prepared for: Md Istiak Ahammed — PhD Researcher, Ocean Engineering / AI Applications, Michigan Technological University. Built from the actual loss-function code used in the SWH (Significant Wave Height) estimation project (3_SWH_real_webcam_v2 pipeline). Every numeric example in this document was independently verified by running the real PyTorch code, not just derived on paper — see the verification notes under each worked example.</w:t>
      </w:r>
    </w:p>
    <w:p>
      <w:pPr>
        <w:pBdr>
          <w:bottom w:val="single" w:color="AAAAAA" w:sz="6" w:space="1"/>
        </w:pBdr>
        <w:spacing w:after="200"/>
      </w:pPr>
    </w:p>
    <w:p>
      <w:pPr>
        <w:pStyle w:val="Heading1"/>
        <w:spacing w:after="180" w:before="400"/>
      </w:pPr>
      <w:r>
        <w:t xml:space="preserve">0. How to Use This Document</w:t>
      </w:r>
    </w:p>
    <w:p>
      <w:pPr>
        <w:spacing w:after="160"/>
        <w:jc w:val="both"/>
      </w:pPr>
      <w:r>
        <w:t xml:space="preserve">This is a self-learning reference, built so you can go back to first principles any time you forget why a loss function behaves the way it does, or need to explain it — to your advisor, in a paper, or in a job interview. Each loss function is treated the same way, in the same order, so the pattern of thinking transfers:</w:t>
      </w:r>
    </w:p>
    <w:p>
      <w:pPr>
        <w:pStyle w:val="ListParagraph"/>
        <w:numPr>
          <w:ilvl w:val="0"/>
          <w:numId w:val="2"/>
        </w:numPr>
        <w:spacing w:after="120"/>
      </w:pPr>
      <w:r>
        <w:t xml:space="preserve">What problem is this loss solving, and why does it exist alongside the alternatives?</w:t>
      </w:r>
    </w:p>
    <w:p>
      <w:pPr>
        <w:pStyle w:val="ListParagraph"/>
        <w:numPr>
          <w:ilvl w:val="0"/>
          <w:numId w:val="2"/>
        </w:numPr>
        <w:spacing w:after="120"/>
      </w:pPr>
      <w:r>
        <w:t xml:space="preserve">The exact mathematical formula, with every symbol defined.</w:t>
      </w:r>
    </w:p>
    <w:p>
      <w:pPr>
        <w:pStyle w:val="ListParagraph"/>
        <w:numPr>
          <w:ilvl w:val="0"/>
          <w:numId w:val="2"/>
        </w:numPr>
        <w:spacing w:after="120"/>
      </w:pPr>
      <w:r>
        <w:t xml:space="preserve">A tiny, fully worked numerical example — forward pass → loss → backward pass (gradient) → weight update → verification that the loss actually decreased.</w:t>
      </w:r>
    </w:p>
    <w:p>
      <w:pPr>
        <w:pStyle w:val="ListParagraph"/>
        <w:numPr>
          <w:ilvl w:val="0"/>
          <w:numId w:val="2"/>
        </w:numPr>
        <w:spacing w:after="120"/>
      </w:pPr>
      <w:r>
        <w:t xml:space="preserve">Line-by-line connection to the real project code.</w:t>
      </w:r>
    </w:p>
    <w:p>
      <w:pPr>
        <w:pStyle w:val="ListParagraph"/>
        <w:numPr>
          <w:ilvl w:val="0"/>
          <w:numId w:val="2"/>
        </w:numPr>
        <w:spacing w:after="120"/>
      </w:pPr>
      <w:r>
        <w:t xml:space="preserve">Where this shows up in the real world, outside this one project.</w:t>
      </w:r>
    </w:p>
    <w:p>
      <w:pPr>
        <w:pStyle w:val="ListParagraph"/>
        <w:numPr>
          <w:ilvl w:val="0"/>
          <w:numId w:val="2"/>
        </w:numPr>
        <w:spacing w:after="120"/>
      </w:pPr>
      <w:r>
        <w:t xml:space="preserve">References — where this idea comes from in the literature.</w:t>
      </w:r>
    </w:p>
    <w:p>
      <w:pPr>
        <w:pStyle w:val="ListParagraph"/>
        <w:numPr>
          <w:ilvl w:val="0"/>
          <w:numId w:val="2"/>
        </w:numPr>
        <w:spacing w:after="120"/>
      </w:pPr>
      <w:r>
        <w:t xml:space="preserve">Why this matters for an ML/DL engineering career, and questions you may be asked about it.</w:t>
      </w:r>
    </w:p>
    <w:p>
      <w:pPr>
        <w:spacing w:after="160"/>
        <w:jc w:val="both"/>
      </w:pPr>
      <w:r>
        <w:t xml:space="preserve">This document covers MSE, Huber, and MRE, in that order. A companion document on the imbalance-mitigation mechanisms (StratSample, LDS, RankSim, ConR) is a natural next addition to this learning hub — noted at the end.</w:t>
      </w:r>
    </w:p>
    <w:p>
      <w:pPr>
        <w:pStyle w:val="Heading1"/>
        <w:spacing w:after="180" w:before="400"/>
      </w:pPr>
      <w:r>
        <w:t xml:space="preserve">1. Foundations — What a Loss Function Actually Does</w:t>
      </w:r>
    </w:p>
    <w:p>
      <w:pPr>
        <w:spacing w:after="160"/>
        <w:jc w:val="both"/>
      </w:pPr>
      <w:r>
        <w:t xml:space="preserve">A neural network takes an input (here: a webcam image) and produces a prediction ŷ (predicted significant wave height, in metres). We also know the true answer y (measured by the buoy). A loss function L(ŷ, y) converts the disagreement between prediction and truth into a single number — the smaller that number, the better the model is doing right now.</w:t>
      </w:r>
    </w:p>
    <w:p>
      <w:pPr>
        <w:spacing w:after="160"/>
        <w:jc w:val="both"/>
      </w:pPr>
      <w:r>
        <w:t xml:space="preserve">Training is a loop, repeated for every mini-batch, every epoch: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1. FORWARD PASS   : image  -&gt;  backbone (CNN)  -&gt;  regression head  -&gt;  ŷ</w:t>
            </w:r>
          </w:p>
          <w:p>
            <w:pPr>
              <w:spacing w:after="60"/>
            </w:pPr>
            <w:r>
              <w:rPr>
                <w:rFonts w:ascii="Consolas" w:cs="Consolas" w:eastAsia="Consolas" w:hAnsi="Consolas"/>
                <w:sz w:val="19"/>
                <w:szCs w:val="19"/>
              </w:rPr>
              <w:t xml:space="preserve">2. LOSS           : L = loss_function(ŷ, y)</w:t>
            </w:r>
          </w:p>
          <w:p>
            <w:pPr>
              <w:spacing w:after="60"/>
            </w:pPr>
            <w:r>
              <w:rPr>
                <w:rFonts w:ascii="Consolas" w:cs="Consolas" w:eastAsia="Consolas" w:hAnsi="Consolas"/>
                <w:sz w:val="19"/>
                <w:szCs w:val="19"/>
              </w:rPr>
              <w:t xml:space="preserve">3. BACKWARD PASS  : compute ∂L/∂w for every weight w in the network (chain rule)</w:t>
            </w:r>
          </w:p>
          <w:p>
            <w:pPr>
              <w:spacing w:after="60"/>
            </w:pPr>
            <w:r>
              <w:rPr>
                <w:rFonts w:ascii="Consolas" w:cs="Consolas" w:eastAsia="Consolas" w:hAnsi="Consolas"/>
                <w:sz w:val="19"/>
                <w:szCs w:val="19"/>
              </w:rPr>
              <w:t xml:space="preserve">4. WEIGHT UPDATE  : w_new = w_old − learning_rate × ∂L/∂w   (gradient descent, or a variant like AdamW)</w:t>
            </w:r>
          </w:p>
        </w:tc>
      </w:tr>
    </w:tbl>
    <w:p>
      <w:pPr>
        <w:spacing w:after="160"/>
      </w:pPr>
    </w:p>
    <w:p>
      <w:pPr>
        <w:spacing w:after="160"/>
        <w:jc w:val="both"/>
      </w:pPr>
      <w:r>
        <w:t xml:space="preserve">Steps 1–2 are what changes when you swap MSE ↔ MRE ↔ Huber — the network architecture, the forward pass, and the update mechanism (AdamW) stay identical. Everything downstream (how big the gradient is, which samples get emphasized, how outliers are treated) flows from the choice made in step 2. This is the single most important idea in this whole document: choosing a loss function is choosing what kind of mistake the model is taught to fear most.</w:t>
      </w:r>
    </w:p>
    <w:p>
      <w:pPr>
        <w:pStyle w:val="Heading2"/>
        <w:spacing w:after="140" w:before="280"/>
      </w:pPr>
      <w:r>
        <w:t xml:space="preserve">1.1 The toy network used throughout this document</w:t>
      </w:r>
    </w:p>
    <w:p>
      <w:pPr>
        <w:spacing w:after="160"/>
        <w:jc w:val="both"/>
      </w:pPr>
      <w:r>
        <w:t xml:space="preserve">To make every calculation checkable by hand, all worked examples below use the same tiny stand-in for the real regression head (a pooled 2048-d CNN feature vector, shrunk to 3 numbers for arithmetic sanity):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Input (toy pooled feature):      x = [0.6, 0.2, 0.9]</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Hidden layer (2 neurons, ReLU):</w:t>
            </w:r>
          </w:p>
          <w:p>
            <w:pPr>
              <w:spacing w:after="60"/>
            </w:pPr>
            <w:r>
              <w:rPr>
                <w:rFonts w:ascii="Consolas" w:cs="Consolas" w:eastAsia="Consolas" w:hAnsi="Consolas"/>
                <w:sz w:val="19"/>
                <w:szCs w:val="19"/>
              </w:rPr>
              <w:t xml:space="preserve">  W1 = [[ 0.10, -0.20,  0.05],      b1 = [ 0.05, -0.02]</w:t>
            </w:r>
          </w:p>
          <w:p>
            <w:pPr>
              <w:spacing w:after="60"/>
            </w:pPr>
            <w:r>
              <w:rPr>
                <w:rFonts w:ascii="Consolas" w:cs="Consolas" w:eastAsia="Consolas" w:hAnsi="Consolas"/>
                <w:sz w:val="19"/>
                <w:szCs w:val="19"/>
              </w:rPr>
              <w:t xml:space="preserve">        [ 0.30,  0.10, -0.15]]</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Output layer (1 neuron, linear -&gt; predicted SWH):</w:t>
            </w:r>
          </w:p>
          <w:p>
            <w:pPr>
              <w:spacing w:after="60"/>
            </w:pPr>
            <w:r>
              <w:rPr>
                <w:rFonts w:ascii="Consolas" w:cs="Consolas" w:eastAsia="Consolas" w:hAnsi="Consolas"/>
                <w:sz w:val="19"/>
                <w:szCs w:val="19"/>
              </w:rPr>
              <w:t xml:space="preserve">  W2 = [0.8, 1.2]                   b2 = 0.10</w:t>
            </w:r>
          </w:p>
        </w:tc>
      </w:tr>
    </w:tbl>
    <w:p>
      <w:pPr>
        <w:spacing w:after="160"/>
      </w:pPr>
    </w:p>
    <w:p>
      <w:pPr>
        <w:spacing w:after="160"/>
        <w:jc w:val="both"/>
      </w:pPr>
      <w:r>
        <w:t xml:space="preserve">Forward pass (identical for every loss function, computed once and reused):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h1_pre = 0.10(0.6) + (-0.20)(0.2) + 0.05(0.9) + 0.05  = 0.115</w:t>
            </w:r>
          </w:p>
          <w:p>
            <w:pPr>
              <w:spacing w:after="60"/>
            </w:pPr>
            <w:r>
              <w:rPr>
                <w:rFonts w:ascii="Consolas" w:cs="Consolas" w:eastAsia="Consolas" w:hAnsi="Consolas"/>
                <w:sz w:val="19"/>
                <w:szCs w:val="19"/>
              </w:rPr>
              <w:t xml:space="preserve">h2_pre = 0.30(0.6) +  0.10(0.2) + (-0.15)(0.9) - 0.02  = 0.045</w:t>
            </w:r>
          </w:p>
          <w:p>
            <w:pPr>
              <w:spacing w:after="60"/>
            </w:pPr>
            <w:r>
              <w:rPr>
                <w:rFonts w:ascii="Consolas" w:cs="Consolas" w:eastAsia="Consolas" w:hAnsi="Consolas"/>
                <w:sz w:val="19"/>
                <w:szCs w:val="19"/>
              </w:rPr>
              <w:t xml:space="preserve">ReLU: both positive -&gt; h1 = 0.115,  h2 = 0.045</w:t>
            </w:r>
          </w:p>
          <w:p>
            <w:pPr>
              <w:spacing w:after="60"/>
            </w:pPr>
            <w:r>
              <w:rPr>
                <w:rFonts w:ascii="Consolas" w:cs="Consolas" w:eastAsia="Consolas" w:hAnsi="Consolas"/>
                <w:sz w:val="19"/>
                <w:szCs w:val="19"/>
              </w:rPr>
              <w:t xml:space="preserve">ŷ = 0.8(0.115) + 1.2(0.045) + 0.10  =  0.246   &lt;-- SAME predicted SWH for every example below</w:t>
            </w:r>
          </w:p>
        </w:tc>
      </w:tr>
    </w:tbl>
    <w:p>
      <w:pPr>
        <w:spacing w:after="160"/>
      </w:pPr>
    </w:p>
    <w:p>
      <w:pPr>
        <w:spacing w:after="160"/>
        <w:jc w:val="both"/>
      </w:pPr>
      <w:r>
        <w:t xml:space="preserve">Why the depth/architecture doesn't matter for understanding: the chain rule works the exact same way whether the network has 2 layers (this toy) or 50+ layers (InceptionV3). Only the number of steps changes, not the mechanism.</w:t>
      </w:r>
    </w:p>
    <w:p>
      <w:r>
        <w:br w:type="page"/>
      </w:r>
    </w:p>
    <w:p>
      <w:pPr>
        <w:pStyle w:val="Heading1"/>
        <w:spacing w:after="200" w:before="200"/>
      </w:pPr>
      <w:r>
        <w:t xml:space="preserve">PART A — Huber Loss</w:t>
      </w:r>
    </w:p>
    <w:p>
      <w:pPr>
        <w:pStyle w:val="Heading2"/>
        <w:spacing w:after="140" w:before="280"/>
      </w:pPr>
      <w:r>
        <w:t xml:space="preserve">A.1 Concept — What Problem Does Huber Loss Solve?</w:t>
      </w:r>
    </w:p>
    <w:p>
      <w:pPr>
        <w:spacing w:after="160"/>
        <w:jc w:val="both"/>
      </w:pPr>
      <w:r>
        <w:t xml:space="preserve">Two well-known losses sit at extremes:</w:t>
      </w:r>
    </w:p>
    <w:p>
      <w:pPr>
        <w:pStyle w:val="ListParagraph"/>
        <w:numPr>
          <w:ilvl w:val="0"/>
          <w:numId w:val="3"/>
        </w:numPr>
        <w:spacing w:after="90"/>
      </w:pPr>
      <w:r>
        <w:t xml:space="preserve">MSE (squared error) — grows quadratically with the residual. A single large residual (e.g. a rare, hard-to-predict rough-sea sample) can dominate the gradient and destabilize training.</w:t>
      </w:r>
    </w:p>
    <w:p>
      <w:pPr>
        <w:pStyle w:val="ListParagraph"/>
        <w:numPr>
          <w:ilvl w:val="0"/>
          <w:numId w:val="3"/>
        </w:numPr>
        <w:spacing w:after="90"/>
      </w:pPr>
      <w:r>
        <w:t xml:space="preserve">MAE (absolute error) — every residual gets equal gradient magnitude (±1), robust to outliers, but the gradient is discontinuous exactly at zero error, which makes fine convergence near the optimum jagged.</w:t>
      </w:r>
    </w:p>
    <w:p>
      <w:pPr>
        <w:spacing w:after="160"/>
        <w:jc w:val="both"/>
      </w:pPr>
      <w:r>
        <w:t xml:space="preserve">Huber loss interpolates: quadratic (MSE-like, smooth) for small residuals, linear (MAE-like, bounded) for large residuals, switching at a threshold δ. This is exactly the compromise you want when your dataset has a long-tailed, imbalanced target distribution (as SWH does — 78% of your test samples are Calm/Smooth) with a few genuinely large, sometimes noisy, high-SWH outliers you don't want to let dominate training.</w:t>
      </w:r>
    </w:p>
    <w:p>
      <w:pPr>
        <w:pStyle w:val="Heading2"/>
        <w:spacing w:after="140" w:before="280"/>
      </w:pPr>
      <w:r>
        <w:t xml:space="preserve">A.2 Mathematical Formula and Notation</w:t>
      </w:r>
    </w:p>
    <w:p>
      <w:pPr>
        <w:spacing w:after="160"/>
        <w:jc w:val="both"/>
      </w:pPr>
      <w:r>
        <w:t xml:space="preserve">Per-sample Huber loss, exactly as implemented in src/huber_loss.py: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r>
              <w:rPr>
                <w:rFonts w:ascii="Consolas" w:cs="Consolas" w:eastAsia="Consolas" w:hAnsi="Consolas"/>
                <w:sz w:val="20"/>
                <w:szCs w:val="20"/>
              </w:rPr>
              <w:t xml:space="preserve">L_δ(r) = { 0.5·r² / δ</w:t>
            </w:r>
          </w:p>
          <w:p>
            <w:r>
              <w:rPr>
                <w:rFonts w:ascii="Consolas" w:cs="Consolas" w:eastAsia="Consolas" w:hAnsi="Consolas"/>
                <w:sz w:val="20"/>
                <w:szCs w:val="20"/>
              </w:rPr>
              <w:t xml:space="preserve">         { r − 0.5·δ</w:t>
            </w:r>
          </w:p>
          <w:p>
            <w:r>
              <w:rPr>
                <w:rFonts w:ascii="Consolas" w:cs="Consolas" w:eastAsia="Consolas" w:hAnsi="Consolas"/>
                <w:sz w:val="19"/>
                <w:szCs w:val="19"/>
              </w:rPr>
              <w:t xml:space="preserve">  where r = |ŷ − y|,   condition: r &lt; δ (top branch) else r ≥ δ (bottom branch)</w:t>
            </w:r>
          </w:p>
        </w:tc>
      </w:tr>
    </w:tbl>
    <w:p>
      <w:pPr>
        <w:spacing w:after="1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5325"/>
        <w:gridCol w:w="3277"/>
      </w:tblGrid>
      <w:tr>
        <w:trPr>
          <w:tblHeader/>
        </w:trPr>
        <w:tc>
          <w:tcPr>
            <w:tcW w:type="dxa" w:w="1638"/>
            <w:shd w:fill="1F4E79" w:val="clear"/>
            <w:tcMar>
              <w:top w:type="dxa" w:w="80"/>
              <w:left w:type="dxa" w:w="100"/>
              <w:bottom w:type="dxa" w:w="80"/>
              <w:right w:type="dxa" w:w="100"/>
            </w:tcMar>
          </w:tcPr>
          <w:p>
            <w:pPr>
              <w:jc w:val="center"/>
            </w:pPr>
            <w:r>
              <w:rPr>
                <w:b/>
                <w:bCs/>
                <w:color w:val="FFFFFF"/>
                <w:sz w:val="19"/>
                <w:szCs w:val="19"/>
              </w:rPr>
              <w:t xml:space="preserve">Symbol</w:t>
            </w:r>
          </w:p>
        </w:tc>
        <w:tc>
          <w:tcPr>
            <w:tcW w:type="dxa" w:w="5325"/>
            <w:shd w:fill="1F4E79" w:val="clear"/>
            <w:tcMar>
              <w:top w:type="dxa" w:w="80"/>
              <w:left w:type="dxa" w:w="100"/>
              <w:bottom w:type="dxa" w:w="80"/>
              <w:right w:type="dxa" w:w="100"/>
            </w:tcMar>
          </w:tcPr>
          <w:p>
            <w:pPr>
              <w:jc w:val="center"/>
            </w:pPr>
            <w:r>
              <w:rPr>
                <w:b/>
                <w:bCs/>
                <w:color w:val="FFFFFF"/>
                <w:sz w:val="19"/>
                <w:szCs w:val="19"/>
              </w:rPr>
              <w:t xml:space="preserve">Meaning</w:t>
            </w:r>
          </w:p>
        </w:tc>
        <w:tc>
          <w:tcPr>
            <w:tcW w:type="dxa" w:w="3277"/>
            <w:shd w:fill="1F4E79" w:val="clear"/>
            <w:tcMar>
              <w:top w:type="dxa" w:w="80"/>
              <w:left w:type="dxa" w:w="100"/>
              <w:bottom w:type="dxa" w:w="80"/>
              <w:right w:type="dxa" w:w="100"/>
            </w:tcMar>
          </w:tcPr>
          <w:p>
            <w:pPr>
              <w:jc w:val="center"/>
            </w:pPr>
            <w:r>
              <w:rPr>
                <w:b/>
                <w:bCs/>
                <w:color w:val="FFFFFF"/>
                <w:sz w:val="19"/>
                <w:szCs w:val="19"/>
              </w:rPr>
              <w:t xml:space="preserve">In code</w:t>
            </w:r>
          </w:p>
        </w:tc>
      </w:tr>
      <w:tr>
        <w:tc>
          <w:tcPr>
            <w:tcW w:type="dxa" w:w="1638"/>
            <w:tcMar>
              <w:top w:type="dxa" w:w="80"/>
              <w:left w:type="dxa" w:w="100"/>
              <w:bottom w:type="dxa" w:w="80"/>
              <w:right w:type="dxa" w:w="100"/>
            </w:tcMar>
          </w:tcPr>
          <w:p>
            <w:r>
              <w:rPr>
                <w:b w:val="false"/>
                <w:bCs w:val="false"/>
                <w:sz w:val="19"/>
                <w:szCs w:val="19"/>
              </w:rPr>
              <w:t xml:space="preserve">y</w:t>
            </w:r>
          </w:p>
        </w:tc>
        <w:tc>
          <w:tcPr>
            <w:tcW w:type="dxa" w:w="5325"/>
            <w:tcMar>
              <w:top w:type="dxa" w:w="80"/>
              <w:left w:type="dxa" w:w="100"/>
              <w:bottom w:type="dxa" w:w="80"/>
              <w:right w:type="dxa" w:w="100"/>
            </w:tcMar>
          </w:tcPr>
          <w:p>
            <w:pPr>
              <w:jc w:val="center"/>
            </w:pPr>
            <w:r>
              <w:rPr>
                <w:b w:val="false"/>
                <w:bCs w:val="false"/>
                <w:sz w:val="19"/>
                <w:szCs w:val="19"/>
              </w:rPr>
              <w:t xml:space="preserve">True SWH (metres) — ground truth from buoy</w:t>
            </w:r>
          </w:p>
        </w:tc>
        <w:tc>
          <w:tcPr>
            <w:tcW w:type="dxa" w:w="3277"/>
            <w:tcMar>
              <w:top w:type="dxa" w:w="80"/>
              <w:left w:type="dxa" w:w="100"/>
              <w:bottom w:type="dxa" w:w="80"/>
              <w:right w:type="dxa" w:w="100"/>
            </w:tcMar>
          </w:tcPr>
          <w:p>
            <w:pPr>
              <w:jc w:val="center"/>
            </w:pPr>
            <w:r>
              <w:rPr>
                <w:b w:val="false"/>
                <w:bCs w:val="false"/>
                <w:sz w:val="19"/>
                <w:szCs w:val="19"/>
              </w:rPr>
              <w:t xml:space="preserve">target</w:t>
            </w:r>
          </w:p>
        </w:tc>
      </w:tr>
      <w:tr>
        <w:tc>
          <w:tcPr>
            <w:tcW w:type="dxa" w:w="1638"/>
            <w:tcMar>
              <w:top w:type="dxa" w:w="80"/>
              <w:left w:type="dxa" w:w="100"/>
              <w:bottom w:type="dxa" w:w="80"/>
              <w:right w:type="dxa" w:w="100"/>
            </w:tcMar>
          </w:tcPr>
          <w:p>
            <w:r>
              <w:rPr>
                <w:b w:val="false"/>
                <w:bCs w:val="false"/>
                <w:sz w:val="19"/>
                <w:szCs w:val="19"/>
              </w:rPr>
              <w:t xml:space="preserve">ŷ</w:t>
            </w:r>
          </w:p>
        </w:tc>
        <w:tc>
          <w:tcPr>
            <w:tcW w:type="dxa" w:w="5325"/>
            <w:tcMar>
              <w:top w:type="dxa" w:w="80"/>
              <w:left w:type="dxa" w:w="100"/>
              <w:bottom w:type="dxa" w:w="80"/>
              <w:right w:type="dxa" w:w="100"/>
            </w:tcMar>
          </w:tcPr>
          <w:p>
            <w:pPr>
              <w:jc w:val="center"/>
            </w:pPr>
            <w:r>
              <w:rPr>
                <w:b w:val="false"/>
                <w:bCs w:val="false"/>
                <w:sz w:val="19"/>
                <w:szCs w:val="19"/>
              </w:rPr>
              <w:t xml:space="preserve">Predicted SWH from the network</w:t>
            </w:r>
          </w:p>
        </w:tc>
        <w:tc>
          <w:tcPr>
            <w:tcW w:type="dxa" w:w="3277"/>
            <w:tcMar>
              <w:top w:type="dxa" w:w="80"/>
              <w:left w:type="dxa" w:w="100"/>
              <w:bottom w:type="dxa" w:w="80"/>
              <w:right w:type="dxa" w:w="100"/>
            </w:tcMar>
          </w:tcPr>
          <w:p>
            <w:pPr>
              <w:jc w:val="center"/>
            </w:pPr>
            <w:r>
              <w:rPr>
                <w:b w:val="false"/>
                <w:bCs w:val="false"/>
                <w:sz w:val="19"/>
                <w:szCs w:val="19"/>
              </w:rPr>
              <w:t xml:space="preserve">pred</w:t>
            </w:r>
          </w:p>
        </w:tc>
      </w:tr>
      <w:tr>
        <w:tc>
          <w:tcPr>
            <w:tcW w:type="dxa" w:w="1638"/>
            <w:tcMar>
              <w:top w:type="dxa" w:w="80"/>
              <w:left w:type="dxa" w:w="100"/>
              <w:bottom w:type="dxa" w:w="80"/>
              <w:right w:type="dxa" w:w="100"/>
            </w:tcMar>
          </w:tcPr>
          <w:p>
            <w:r>
              <w:rPr>
                <w:b w:val="false"/>
                <w:bCs w:val="false"/>
                <w:sz w:val="19"/>
                <w:szCs w:val="19"/>
              </w:rPr>
              <w:t xml:space="preserve">r = |ŷ − y|</w:t>
            </w:r>
          </w:p>
        </w:tc>
        <w:tc>
          <w:tcPr>
            <w:tcW w:type="dxa" w:w="5325"/>
            <w:tcMar>
              <w:top w:type="dxa" w:w="80"/>
              <w:left w:type="dxa" w:w="100"/>
              <w:bottom w:type="dxa" w:w="80"/>
              <w:right w:type="dxa" w:w="100"/>
            </w:tcMar>
          </w:tcPr>
          <w:p>
            <w:pPr>
              <w:jc w:val="center"/>
            </w:pPr>
            <w:r>
              <w:rPr>
                <w:b w:val="false"/>
                <w:bCs w:val="false"/>
                <w:sz w:val="19"/>
                <w:szCs w:val="19"/>
              </w:rPr>
              <w:t xml:space="preserve">Absolute residual (sign doesn't matter)</w:t>
            </w:r>
          </w:p>
        </w:tc>
        <w:tc>
          <w:tcPr>
            <w:tcW w:type="dxa" w:w="3277"/>
            <w:tcMar>
              <w:top w:type="dxa" w:w="80"/>
              <w:left w:type="dxa" w:w="100"/>
              <w:bottom w:type="dxa" w:w="80"/>
              <w:right w:type="dxa" w:w="100"/>
            </w:tcMar>
          </w:tcPr>
          <w:p>
            <w:pPr>
              <w:jc w:val="center"/>
            </w:pPr>
            <w:r>
              <w:rPr>
                <w:b w:val="false"/>
                <w:bCs w:val="false"/>
                <w:sz w:val="19"/>
                <w:szCs w:val="19"/>
              </w:rPr>
              <w:t xml:space="preserve">resid = torch.abs(pred - target)</w:t>
            </w:r>
          </w:p>
        </w:tc>
      </w:tr>
      <w:tr>
        <w:tc>
          <w:tcPr>
            <w:tcW w:type="dxa" w:w="1638"/>
            <w:tcMar>
              <w:top w:type="dxa" w:w="80"/>
              <w:left w:type="dxa" w:w="100"/>
              <w:bottom w:type="dxa" w:w="80"/>
              <w:right w:type="dxa" w:w="100"/>
            </w:tcMar>
          </w:tcPr>
          <w:p>
            <w:r>
              <w:rPr>
                <w:b w:val="false"/>
                <w:bCs w:val="false"/>
                <w:sz w:val="19"/>
                <w:szCs w:val="19"/>
              </w:rPr>
              <w:t xml:space="preserve">δ (delta)</w:t>
            </w:r>
          </w:p>
        </w:tc>
        <w:tc>
          <w:tcPr>
            <w:tcW w:type="dxa" w:w="5325"/>
            <w:tcMar>
              <w:top w:type="dxa" w:w="80"/>
              <w:left w:type="dxa" w:w="100"/>
              <w:bottom w:type="dxa" w:w="80"/>
              <w:right w:type="dxa" w:w="100"/>
            </w:tcMar>
          </w:tcPr>
          <w:p>
            <w:pPr>
              <w:jc w:val="center"/>
            </w:pPr>
            <w:r>
              <w:rPr>
                <w:b w:val="false"/>
                <w:bCs w:val="false"/>
                <w:sz w:val="19"/>
                <w:szCs w:val="19"/>
              </w:rPr>
              <w:t xml:space="preserve">Threshold hyperparameter = 0.15 m in this project</w:t>
            </w:r>
          </w:p>
        </w:tc>
        <w:tc>
          <w:tcPr>
            <w:tcW w:type="dxa" w:w="3277"/>
            <w:tcMar>
              <w:top w:type="dxa" w:w="80"/>
              <w:left w:type="dxa" w:w="100"/>
              <w:bottom w:type="dxa" w:w="80"/>
              <w:right w:type="dxa" w:w="100"/>
            </w:tcMar>
          </w:tcPr>
          <w:p>
            <w:pPr>
              <w:jc w:val="center"/>
            </w:pPr>
            <w:r>
              <w:rPr>
                <w:b w:val="false"/>
                <w:bCs w:val="false"/>
                <w:sz w:val="19"/>
                <w:szCs w:val="19"/>
              </w:rPr>
              <w:t xml:space="preserve">DELTA_DEFAULT = 0.15</w:t>
            </w:r>
          </w:p>
        </w:tc>
      </w:tr>
      <w:tr>
        <w:tc>
          <w:tcPr>
            <w:tcW w:type="dxa" w:w="1638"/>
            <w:tcMar>
              <w:top w:type="dxa" w:w="80"/>
              <w:left w:type="dxa" w:w="100"/>
              <w:bottom w:type="dxa" w:w="80"/>
              <w:right w:type="dxa" w:w="100"/>
            </w:tcMar>
          </w:tcPr>
          <w:p>
            <w:r>
              <w:rPr>
                <w:b w:val="false"/>
                <w:bCs w:val="false"/>
                <w:sz w:val="19"/>
                <w:szCs w:val="19"/>
              </w:rPr>
              <w:t xml:space="preserve">N</w:t>
            </w:r>
          </w:p>
        </w:tc>
        <w:tc>
          <w:tcPr>
            <w:tcW w:type="dxa" w:w="5325"/>
            <w:tcMar>
              <w:top w:type="dxa" w:w="80"/>
              <w:left w:type="dxa" w:w="100"/>
              <w:bottom w:type="dxa" w:w="80"/>
              <w:right w:type="dxa" w:w="100"/>
            </w:tcMar>
          </w:tcPr>
          <w:p>
            <w:pPr>
              <w:jc w:val="center"/>
            </w:pPr>
            <w:r>
              <w:rPr>
                <w:b w:val="false"/>
                <w:bCs w:val="false"/>
                <w:sz w:val="19"/>
                <w:szCs w:val="19"/>
              </w:rPr>
              <w:t xml:space="preserve">Batch size (32 in this project)</w:t>
            </w:r>
          </w:p>
        </w:tc>
        <w:tc>
          <w:tcPr>
            <w:tcW w:type="dxa" w:w="3277"/>
            <w:tcMar>
              <w:top w:type="dxa" w:w="80"/>
              <w:left w:type="dxa" w:w="100"/>
              <w:bottom w:type="dxa" w:w="80"/>
              <w:right w:type="dxa" w:w="100"/>
            </w:tcMar>
          </w:tcPr>
          <w:p>
            <w:pPr>
              <w:jc w:val="center"/>
            </w:pPr>
            <w:r>
              <w:rPr>
                <w:b w:val="false"/>
                <w:bCs w:val="false"/>
                <w:sz w:val="19"/>
                <w:szCs w:val="19"/>
              </w:rPr>
              <w:t xml:space="preserve">loss.mean()</w:t>
            </w:r>
          </w:p>
        </w:tc>
      </w:tr>
    </w:tbl>
    <w:p>
      <w:pPr>
        <w:spacing w:after="160"/>
        <w:jc w:val="both"/>
      </w:pPr>
      <w:r>
        <w:t xml:space="preserve">Important detail unique to this project's implementation: the quadratic branch is divided by δ (0.5r²/δ), not the textbook 0.5r² alone. This makes both branches agree not just in value but in gradient magnitude (exactly 1.0) at the boundary r=δ — a smooth, kink-free transition, matching the convention from Yang et al. (2021, ICML) LDS/FDS official code, rather than the older "clipped-quadratic" textbook formulation.</w:t>
      </w:r>
    </w:p>
    <w:p>
      <w:pPr>
        <w:pStyle w:val="Heading2"/>
        <w:spacing w:after="140" w:before="280"/>
      </w:pPr>
      <w:r>
        <w:t xml:space="preserve">A.3 Fully Worked Numerical Example</w:t>
      </w:r>
    </w:p>
    <w:p>
      <w:pPr>
        <w:spacing w:after="160"/>
        <w:jc w:val="both"/>
      </w:pPr>
      <w:r>
        <w:t xml:space="preserve">Using the toy network from §1.1 (ŷ = 0.246):</w:t>
      </w:r>
    </w:p>
    <w:p>
      <w:pPr>
        <w:pStyle w:val="Heading3"/>
        <w:spacing w:after="110" w:before="220"/>
      </w:pPr>
      <w:r>
        <w:t xml:space="preserve">Case A — small residual (quadratic branch): target y = 0.30 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 = |0.246 − 0.300| = 0.054      (0.054 &lt; δ=0.15 -&gt; QUADRATIC branch)</w:t>
            </w:r>
          </w:p>
          <w:p>
            <w:pPr>
              <w:spacing w:after="60"/>
            </w:pPr>
            <w:r>
              <w:rPr>
                <w:rFonts w:ascii="Consolas" w:cs="Consolas" w:eastAsia="Consolas" w:hAnsi="Consolas"/>
                <w:sz w:val="19"/>
                <w:szCs w:val="19"/>
              </w:rPr>
              <w:t xml:space="preserve">L_A = 0.5 × 0.054² / 0.15 = 0.5 × 0.002916 / 0.15 = 0.00972</w:t>
            </w:r>
          </w:p>
        </w:tc>
      </w:tr>
    </w:tbl>
    <w:p>
      <w:pPr>
        <w:spacing w:after="160"/>
      </w:pPr>
    </w:p>
    <w:p>
      <w:pPr>
        <w:pStyle w:val="Heading3"/>
        <w:spacing w:after="110" w:before="220"/>
      </w:pPr>
      <w:r>
        <w:t xml:space="preserve">Case B — large residual (linear branch): target y = 1.80 m (a rare, high-SWH sample)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 = |0.246 − 1.800| = 1.554      (1.554 &gt;&gt; δ=0.15 -&gt; LINEAR branch)</w:t>
            </w:r>
          </w:p>
          <w:p>
            <w:pPr>
              <w:spacing w:after="60"/>
            </w:pPr>
            <w:r>
              <w:rPr>
                <w:rFonts w:ascii="Consolas" w:cs="Consolas" w:eastAsia="Consolas" w:hAnsi="Consolas"/>
                <w:sz w:val="19"/>
                <w:szCs w:val="19"/>
              </w:rPr>
              <w:t xml:space="preserve">L_B = 1.554 − 0.5(0.15) = 1.554 − 0.075 = 1.479</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Compare: IF this were (hypothetically) forced through the quadratic formula:</w:t>
            </w:r>
          </w:p>
          <w:p>
            <w:pPr>
              <w:spacing w:after="60"/>
            </w:pPr>
            <w:r>
              <w:rPr>
                <w:rFonts w:ascii="Consolas" w:cs="Consolas" w:eastAsia="Consolas" w:hAnsi="Consolas"/>
                <w:sz w:val="19"/>
                <w:szCs w:val="19"/>
              </w:rPr>
              <w:t xml:space="preserve">  0.5 × 1.554² / 0.15 = 8.05   &lt;-- 5.4x larger! This is exactly what Huber prevents.</w:t>
            </w:r>
          </w:p>
        </w:tc>
      </w:tr>
    </w:tbl>
    <w:p>
      <w:pPr>
        <w:spacing w:after="160"/>
      </w:pPr>
    </w:p>
    <w:p>
      <w:pPr>
        <w:pStyle w:val="Heading3"/>
        <w:spacing w:after="110" w:before="220"/>
      </w:pPr>
      <w:r>
        <w:t xml:space="preserve">Backward pass (chain rule), Case A — nothing skipped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∂L/∂r = r/δ = 0.054/0.15 = 0.36        (quadratic-branch derivative)</w:t>
            </w:r>
          </w:p>
          <w:p>
            <w:pPr>
              <w:spacing w:after="60"/>
            </w:pPr>
            <w:r>
              <w:rPr>
                <w:rFonts w:ascii="Consolas" w:cs="Consolas" w:eastAsia="Consolas" w:hAnsi="Consolas"/>
                <w:sz w:val="19"/>
                <w:szCs w:val="19"/>
              </w:rPr>
              <w:t xml:space="preserve">∂r/∂ŷ = sign(ŷ−y) = sign(-0.054) = -1</w:t>
            </w:r>
          </w:p>
          <w:p>
            <w:pPr>
              <w:spacing w:after="60"/>
            </w:pPr>
            <w:r>
              <w:rPr>
                <w:rFonts w:ascii="Consolas" w:cs="Consolas" w:eastAsia="Consolas" w:hAnsi="Consolas"/>
                <w:sz w:val="19"/>
                <w:szCs w:val="19"/>
              </w:rPr>
              <w:t xml:space="preserve">∂L/∂ŷ = 0.36 × (-1) = -0.36</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∂L/∂W2 = ∂L/∂ŷ × h = -0.36×[0.115, 0.045] = [-0.0414, -0.0162]     ∂L/∂b2 = -0.36</w:t>
            </w:r>
          </w:p>
          <w:p>
            <w:pPr>
              <w:spacing w:after="60"/>
            </w:pPr>
            <w:r>
              <w:rPr>
                <w:rFonts w:ascii="Consolas" w:cs="Consolas" w:eastAsia="Consolas" w:hAnsi="Consolas"/>
                <w:sz w:val="19"/>
                <w:szCs w:val="19"/>
              </w:rPr>
              <w:t xml:space="preserve">∂L/∂h  = ∂L/∂ŷ × W2 = -0.36×[0.8, 1.2] = [-0.288, -0.432]</w:t>
            </w:r>
          </w:p>
          <w:p>
            <w:pPr>
              <w:spacing w:after="60"/>
            </w:pPr>
            <w:r>
              <w:rPr>
                <w:rFonts w:ascii="Consolas" w:cs="Consolas" w:eastAsia="Consolas" w:hAnsi="Consolas"/>
                <w:sz w:val="19"/>
                <w:szCs w:val="19"/>
              </w:rPr>
              <w:t xml:space="preserve">ReLU active both sides -&gt; ∂L/∂h_pre unchanged = [-0.288, -0.432]</w:t>
            </w:r>
          </w:p>
          <w:p>
            <w:pPr>
              <w:spacing w:after="60"/>
            </w:pPr>
            <w:r>
              <w:rPr>
                <w:rFonts w:ascii="Consolas" w:cs="Consolas" w:eastAsia="Consolas" w:hAnsi="Consolas"/>
                <w:sz w:val="19"/>
                <w:szCs w:val="19"/>
              </w:rPr>
              <w:t xml:space="preserve">∂L/∂W1 = outer([-0.288,-0.432], x) =</w:t>
            </w:r>
          </w:p>
          <w:p>
            <w:pPr>
              <w:spacing w:after="60"/>
            </w:pPr>
            <w:r>
              <w:rPr>
                <w:rFonts w:ascii="Consolas" w:cs="Consolas" w:eastAsia="Consolas" w:hAnsi="Consolas"/>
                <w:sz w:val="19"/>
                <w:szCs w:val="19"/>
              </w:rPr>
              <w:t xml:space="preserve">   row1: -0.288×[0.6,0.2,0.9] = [-0.1728, -0.0576, -0.2592]   ∂L/∂b1_1 = -0.288</w:t>
            </w:r>
          </w:p>
          <w:p>
            <w:pPr>
              <w:spacing w:after="60"/>
            </w:pPr>
            <w:r>
              <w:rPr>
                <w:rFonts w:ascii="Consolas" w:cs="Consolas" w:eastAsia="Consolas" w:hAnsi="Consolas"/>
                <w:sz w:val="19"/>
                <w:szCs w:val="19"/>
              </w:rPr>
              <w:t xml:space="preserve">   row2: -0.432×[0.6,0.2,0.9] = [-0.2592, -0.0864, -0.3888]   ∂L/∂b1_2 = -0.432</w:t>
            </w:r>
          </w:p>
        </w:tc>
      </w:tr>
    </w:tbl>
    <w:p>
      <w:pPr>
        <w:spacing w:after="160"/>
      </w:pPr>
    </w:p>
    <w:p>
      <w:pPr>
        <w:pStyle w:val="Heading3"/>
        <w:spacing w:after="110" w:before="220"/>
      </w:pPr>
      <w:r>
        <w:t xml:space="preserve">Weight update (plain SGD, lr = 0.01) and verification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w_new = w_old − lr × gradient   for every weight above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Re-running the forward pass with updated weights:</w:t>
            </w:r>
          </w:p>
          <w:p>
            <w:pPr>
              <w:spacing w:after="60"/>
            </w:pPr>
            <w:r>
              <w:rPr>
                <w:rFonts w:ascii="Consolas" w:cs="Consolas" w:eastAsia="Consolas" w:hAnsi="Consolas"/>
                <w:sz w:val="19"/>
                <w:szCs w:val="19"/>
              </w:rPr>
              <w:t xml:space="preserve">  ŷ_new = 0.2662   (was 0.246)</w:t>
            </w:r>
          </w:p>
          <w:p>
            <w:pPr>
              <w:spacing w:after="60"/>
            </w:pPr>
            <w:r>
              <w:rPr>
                <w:rFonts w:ascii="Consolas" w:cs="Consolas" w:eastAsia="Consolas" w:hAnsi="Consolas"/>
                <w:sz w:val="19"/>
                <w:szCs w:val="19"/>
              </w:rPr>
              <w:t xml:space="preserve">  new residual = |0.2662 − 0.300| = 0.0338   (was 0.054  -&gt; ERROR DECREASED)</w:t>
            </w:r>
          </w:p>
          <w:p>
            <w:pPr>
              <w:spacing w:after="60"/>
            </w:pPr>
            <w:r>
              <w:rPr>
                <w:rFonts w:ascii="Consolas" w:cs="Consolas" w:eastAsia="Consolas" w:hAnsi="Consolas"/>
                <w:sz w:val="19"/>
                <w:szCs w:val="19"/>
              </w:rPr>
              <w:t xml:space="preserve">  L_new = 0.5×0.0338²/0.15 ≈ 0.00381          (was 0.00972  -&gt; LOSS DROPPED ~61% in one step)</w:t>
            </w:r>
          </w:p>
        </w:tc>
      </w:tr>
    </w:tbl>
    <w:p>
      <w:pPr>
        <w:spacing w:after="160"/>
      </w:pPr>
    </w:p>
    <w:p>
      <w:pPr>
        <w:pStyle w:val="Heading2"/>
        <w:spacing w:after="140" w:before="280"/>
      </w:pPr>
      <w:r>
        <w:t xml:space="preserve">A.4 Line-by-Line Code Connection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 src/huber_loss.py</w:t>
            </w:r>
          </w:p>
          <w:p>
            <w:pPr>
              <w:spacing w:after="60"/>
            </w:pPr>
            <w:r>
              <w:rPr>
                <w:rFonts w:ascii="Consolas" w:cs="Consolas" w:eastAsia="Consolas" w:hAnsi="Consolas"/>
                <w:sz w:val="19"/>
                <w:szCs w:val="19"/>
              </w:rPr>
              <w:t xml:space="preserve">resid = torch.abs(pred - target)                 # r = |ŷ - y|      -&gt; §A.2</w:t>
            </w:r>
          </w:p>
          <w:p>
            <w:pPr>
              <w:spacing w:after="60"/>
            </w:pPr>
            <w:r>
              <w:rPr>
                <w:rFonts w:ascii="Consolas" w:cs="Consolas" w:eastAsia="Consolas" w:hAnsi="Consolas"/>
                <w:sz w:val="19"/>
                <w:szCs w:val="19"/>
              </w:rPr>
              <w:t xml:space="preserve">cond  = resid &lt; self.delta                        # branch selector -&gt; §A.2</w:t>
            </w:r>
          </w:p>
          <w:p>
            <w:pPr>
              <w:spacing w:after="60"/>
            </w:pPr>
            <w:r>
              <w:rPr>
                <w:rFonts w:ascii="Consolas" w:cs="Consolas" w:eastAsia="Consolas" w:hAnsi="Consolas"/>
                <w:sz w:val="19"/>
                <w:szCs w:val="19"/>
              </w:rPr>
              <w:t xml:space="preserve">loss  = torch.where(cond,</w:t>
            </w:r>
          </w:p>
          <w:p>
            <w:pPr>
              <w:spacing w:after="60"/>
            </w:pPr>
            <w:r>
              <w:rPr>
                <w:rFonts w:ascii="Consolas" w:cs="Consolas" w:eastAsia="Consolas" w:hAnsi="Consolas"/>
                <w:sz w:val="19"/>
                <w:szCs w:val="19"/>
              </w:rPr>
              <w:t xml:space="preserve">            0.5 * resid.pow(2) / self.delta,       # quadratic branch</w:t>
            </w:r>
          </w:p>
          <w:p>
            <w:pPr>
              <w:spacing w:after="60"/>
            </w:pPr>
            <w:r>
              <w:rPr>
                <w:rFonts w:ascii="Consolas" w:cs="Consolas" w:eastAsia="Consolas" w:hAnsi="Consolas"/>
                <w:sz w:val="19"/>
                <w:szCs w:val="19"/>
              </w:rPr>
              <w:t xml:space="preserve">            resid - 0.5 * self.delta)               # linear branch</w:t>
            </w:r>
          </w:p>
          <w:p>
            <w:pPr>
              <w:spacing w:after="60"/>
            </w:pPr>
            <w:r>
              <w:rPr>
                <w:rFonts w:ascii="Consolas" w:cs="Consolas" w:eastAsia="Consolas" w:hAnsi="Consolas"/>
                <w:sz w:val="19"/>
                <w:szCs w:val="19"/>
              </w:rPr>
              <w:t xml:space="preserve">return loss.mean()                                 # average over the N=32-sample batch</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main.py, train_one_epoch()</w:t>
            </w:r>
          </w:p>
          <w:p>
            <w:pPr>
              <w:spacing w:after="60"/>
            </w:pPr>
            <w:r>
              <w:rPr>
                <w:rFonts w:ascii="Consolas" w:cs="Consolas" w:eastAsia="Consolas" w:hAnsi="Consolas"/>
                <w:sz w:val="19"/>
                <w:szCs w:val="19"/>
              </w:rPr>
              <w:t xml:space="preserve">outputs = model(images)          # forward pass          -&gt; §1.1</w:t>
            </w:r>
          </w:p>
          <w:p>
            <w:pPr>
              <w:spacing w:after="60"/>
            </w:pPr>
            <w:r>
              <w:rPr>
                <w:rFonts w:ascii="Consolas" w:cs="Consolas" w:eastAsia="Consolas" w:hAnsi="Consolas"/>
                <w:sz w:val="19"/>
                <w:szCs w:val="19"/>
              </w:rPr>
              <w:t xml:space="preserve">loss = criterion(outputs, targets)                        # -&gt; §A.2/A.3</w:t>
            </w:r>
          </w:p>
          <w:p>
            <w:pPr>
              <w:spacing w:after="60"/>
            </w:pPr>
            <w:r>
              <w:rPr>
                <w:rFonts w:ascii="Consolas" w:cs="Consolas" w:eastAsia="Consolas" w:hAnsi="Consolas"/>
                <w:sz w:val="19"/>
                <w:szCs w:val="19"/>
              </w:rPr>
              <w:t xml:space="preserve">scaler.scale(loss).backward()    # backward pass (autograd does §A.3's chain rule automatically)</w:t>
            </w:r>
          </w:p>
          <w:p>
            <w:pPr>
              <w:spacing w:after="60"/>
            </w:pPr>
            <w:r>
              <w:rPr>
                <w:rFonts w:ascii="Consolas" w:cs="Consolas" w:eastAsia="Consolas" w:hAnsi="Consolas"/>
                <w:sz w:val="19"/>
                <w:szCs w:val="19"/>
              </w:rPr>
              <w:t xml:space="preserve">scaler.step(optimizer)           # weight update, via AdamW (see below), not plain SGD</w:t>
            </w:r>
          </w:p>
        </w:tc>
      </w:tr>
    </w:tbl>
    <w:p>
      <w:pPr>
        <w:spacing w:after="160"/>
      </w:pPr>
    </w:p>
    <w:p>
      <w:pPr>
        <w:spacing w:after="160"/>
        <w:jc w:val="both"/>
      </w:pPr>
      <w:r>
        <w:t xml:space="preserve">δ = 0.15 m was not copied from a textbook — it was set from this project's own early-run residual distribution (roughly the p90 hardest-residual mark), and deliberately kept equal to ConR's w=0.15 m similarity window, so both mechanisms agree on what counts as a "meaningfully different" SWH value.</w:t>
      </w:r>
    </w:p>
    <w:p>
      <w:pPr>
        <w:pStyle w:val="Heading2"/>
        <w:spacing w:after="140" w:before="280"/>
      </w:pPr>
      <w:r>
        <w:t xml:space="preserve">A.5 Real-World Applications</w:t>
      </w:r>
    </w:p>
    <w:p>
      <w:pPr>
        <w:spacing w:after="160"/>
        <w:jc w:val="both"/>
      </w:pPr>
      <w:r>
        <w:t xml:space="preserve">Huber loss (and its close sibling, Smooth L1 loss) is one of the most widely deployed regression losses in production machine learning, precisely because most real-world regression targets are noisy and imbalanced, just like SWH:</w:t>
      </w:r>
    </w:p>
    <w:p>
      <w:pPr>
        <w:pStyle w:val="ListParagraph"/>
        <w:numPr>
          <w:ilvl w:val="0"/>
          <w:numId w:val="3"/>
        </w:numPr>
        <w:spacing w:after="90"/>
      </w:pPr>
      <w:r>
        <w:t xml:space="preserve">Object detection bounding-box regression — Fast R-CNN, Faster R-CNN, YOLO, and SSD all use Smooth L1 (a Huber variant, δ=1) to regress box coordinates, because a few badly-localized boxes shouldn't blow up the whole detector's gradient.</w:t>
      </w:r>
    </w:p>
    <w:p>
      <w:pPr>
        <w:pStyle w:val="ListParagraph"/>
        <w:numPr>
          <w:ilvl w:val="0"/>
          <w:numId w:val="3"/>
        </w:numPr>
        <w:spacing w:after="90"/>
      </w:pPr>
      <w:r>
        <w:t xml:space="preserve">Robust statistics and outlier-heavy sensor data — financial time series, industrial sensor telemetry, and any measurement pipeline where occasional sensor glitches occur but shouldn't dominate a fitted model.</w:t>
      </w:r>
    </w:p>
    <w:p>
      <w:pPr>
        <w:pStyle w:val="ListParagraph"/>
        <w:numPr>
          <w:ilvl w:val="0"/>
          <w:numId w:val="3"/>
        </w:numPr>
        <w:spacing w:after="90"/>
      </w:pPr>
      <w:r>
        <w:t xml:space="preserve">Autonomous driving / robotics — trajectory and control regression targets, where large disagreements sometimes reflect labeling or perception noise, not real signal.</w:t>
      </w:r>
    </w:p>
    <w:p>
      <w:pPr>
        <w:pStyle w:val="ListParagraph"/>
        <w:numPr>
          <w:ilvl w:val="0"/>
          <w:numId w:val="3"/>
        </w:numPr>
        <w:spacing w:after="90"/>
      </w:pPr>
      <w:r>
        <w:t xml:space="preserve">Depth estimation and other dense-regression computer vision tasks, for the same reason as bounding boxes: pixel-level regression targets have a long tail of hard, sometimes-mislabeled pixels.</w:t>
      </w:r>
    </w:p>
    <w:p>
      <w:pPr>
        <w:pStyle w:val="ListParagraph"/>
        <w:numPr>
          <w:ilvl w:val="0"/>
          <w:numId w:val="3"/>
        </w:numPr>
        <w:spacing w:after="90"/>
      </w:pPr>
      <w:r>
        <w:t xml:space="preserve">Reinforcement learning — Huber loss is the default loss for the TD-error term in DQN (Deep Q-Networks) and many of its successors, specifically to prevent occasional large TD-errors from destabilizing Q-value learning.</w:t>
      </w:r>
    </w:p>
    <w:p>
      <w:pPr>
        <w:pStyle w:val="Heading2"/>
        <w:spacing w:after="140" w:before="280"/>
      </w:pPr>
      <w:r>
        <w:t xml:space="preserve">A.6 References</w:t>
      </w:r>
    </w:p>
    <w:p>
      <w:pPr>
        <w:pStyle w:val="ListParagraph"/>
        <w:numPr>
          <w:ilvl w:val="0"/>
          <w:numId w:val="3"/>
        </w:numPr>
        <w:spacing w:after="90"/>
      </w:pPr>
      <w:r>
        <w:t xml:space="preserve">Huber, P. J. (1964). "Robust Estimation of a Location Parameter." Annals of Mathematical Statistics, 35(1), 73–101. — the original paper; Huber loss was invented for robust statistics, decades before deep learning.</w:t>
      </w:r>
    </w:p>
    <w:p>
      <w:pPr>
        <w:pStyle w:val="ListParagraph"/>
        <w:numPr>
          <w:ilvl w:val="0"/>
          <w:numId w:val="3"/>
        </w:numPr>
        <w:spacing w:after="90"/>
      </w:pPr>
      <w:r>
        <w:t xml:space="preserve">Girshick, R. (2015). "Fast R-CNN." ICCV. — introduces Smooth L1 loss for bounding-box regression, the computer-vision lineage of Huber loss most ML engineers meet first.</w:t>
      </w:r>
    </w:p>
    <w:p>
      <w:pPr>
        <w:pStyle w:val="ListParagraph"/>
        <w:numPr>
          <w:ilvl w:val="0"/>
          <w:numId w:val="3"/>
        </w:numPr>
        <w:spacing w:after="90"/>
      </w:pPr>
      <w:r>
        <w:t xml:space="preserve">Mnih, V. et al. (2015). "Human-level control through deep reinforcement learning." Nature. — DQN, uses Huber-loss-clipped TD-error.</w:t>
      </w:r>
    </w:p>
    <w:p>
      <w:pPr>
        <w:pStyle w:val="ListParagraph"/>
        <w:numPr>
          <w:ilvl w:val="0"/>
          <w:numId w:val="3"/>
        </w:numPr>
        <w:spacing w:after="90"/>
      </w:pPr>
      <w:r>
        <w:t xml:space="preserve">Yang, Y., Zha, K., Chen, Y., Wang, H., &amp; Katabi, D. (2021). "Delving into Deep Imbalanced Regression." ICML. — the LDS/FDS reference whose weighted_huber_loss() convention (δ-normalized quadratic branch) this project's src/huber_loss.py follows.</w:t>
      </w:r>
    </w:p>
    <w:p>
      <w:pPr>
        <w:pStyle w:val="ListParagraph"/>
        <w:numPr>
          <w:ilvl w:val="0"/>
          <w:numId w:val="3"/>
        </w:numPr>
        <w:spacing w:after="90"/>
      </w:pPr>
      <w:r>
        <w:t xml:space="preserve">PyTorch documentation: torch.nn.HuberLoss / torch.nn.SmoothL1Loss — for how the framework's built-in version compares to this project's from-scratch implementation.</w:t>
      </w:r>
    </w:p>
    <w:p>
      <w:pPr>
        <w:pStyle w:val="Heading2"/>
        <w:spacing w:after="140" w:before="280"/>
      </w:pPr>
      <w:r>
        <w:t xml:space="preserve">A.7 Career Relevance — Where This Shows Up on the Job</w:t>
      </w:r>
    </w:p>
    <w:p>
      <w:pPr>
        <w:spacing w:after="160"/>
        <w:jc w:val="both"/>
      </w:pPr>
      <w:r>
        <w:t xml:space="preserve">"Which loss function should we use and why" is one of the most common practical decisions an ML/DL engineer makes, and Huber loss specifically comes up whenever a regression target is noisy, has outliers, or (like SWH) is imbalanced:</w:t>
      </w:r>
    </w:p>
    <w:p>
      <w:pPr>
        <w:pStyle w:val="ListParagraph"/>
        <w:numPr>
          <w:ilvl w:val="0"/>
          <w:numId w:val="3"/>
        </w:numPr>
        <w:spacing w:after="90"/>
      </w:pPr>
      <w:r>
        <w:t xml:space="preserve">Computer vision engineer roles (autonomous vehicles, robotics, AR/VR) — nearly every detection/tracking pipeline you'll touch uses Smooth L1/Huber for box or keypoint regression; being able to explain why is a standard interview and design-review topic.</w:t>
      </w:r>
    </w:p>
    <w:p>
      <w:pPr>
        <w:pStyle w:val="ListParagraph"/>
        <w:numPr>
          <w:ilvl w:val="0"/>
          <w:numId w:val="3"/>
        </w:numPr>
        <w:spacing w:after="90"/>
      </w:pPr>
      <w:r>
        <w:t xml:space="preserve">Applied ML / MLE roles at any company with sensor or forecasting data — robust loss selection is a first-line tool against noisy labels or measurement error, before reaching for more complex robust-statistics machinery.</w:t>
      </w:r>
    </w:p>
    <w:p>
      <w:pPr>
        <w:pStyle w:val="ListParagraph"/>
        <w:numPr>
          <w:ilvl w:val="0"/>
          <w:numId w:val="3"/>
        </w:numPr>
        <w:spacing w:after="90"/>
      </w:pPr>
      <w:r>
        <w:t xml:space="preserve">Research engineer / research scientist roles — designing a NEW loss (as you did with the δ-normalized Huber and later the ConR+LDS combination) is exactly the kind of applied-research skill that separates a research engineer from someone who only calls library functions.</w:t>
      </w:r>
    </w:p>
    <w:p>
      <w:pPr>
        <w:pStyle w:val="Heading2"/>
        <w:spacing w:after="140" w:before="280"/>
      </w:pPr>
      <w:r>
        <w:t xml:space="preserve">A.8 Likely Interview / Viva Questions on Huber Loss</w:t>
      </w:r>
    </w:p>
    <w:p>
      <w:pPr>
        <w:pStyle w:val="ListParagraph"/>
        <w:numPr>
          <w:ilvl w:val="0"/>
          <w:numId w:val="3"/>
        </w:numPr>
        <w:spacing w:after="90"/>
      </w:pPr>
      <w:r>
        <w:t xml:space="preserve">What's the difference between MSE, MAE, and Huber loss, and when would you choose each?</w:t>
      </w:r>
    </w:p>
    <w:p>
      <w:pPr>
        <w:pStyle w:val="ListParagraph"/>
        <w:numPr>
          <w:ilvl w:val="0"/>
          <w:numId w:val="3"/>
        </w:numPr>
        <w:spacing w:after="90"/>
      </w:pPr>
      <w:r>
        <w:t xml:space="preserve">Why is Huber loss preferred over MSE for data with outliers? Can you derive the gradient of each?</w:t>
      </w:r>
    </w:p>
    <w:p>
      <w:pPr>
        <w:pStyle w:val="ListParagraph"/>
        <w:numPr>
          <w:ilvl w:val="0"/>
          <w:numId w:val="3"/>
        </w:numPr>
        <w:spacing w:after="90"/>
      </w:pPr>
      <w:r>
        <w:t xml:space="preserve">What does the δ (delta) hyperparameter control, and how would you choose its value in a new problem?</w:t>
      </w:r>
    </w:p>
    <w:p>
      <w:pPr>
        <w:pStyle w:val="ListParagraph"/>
        <w:numPr>
          <w:ilvl w:val="0"/>
          <w:numId w:val="3"/>
        </w:numPr>
        <w:spacing w:after="90"/>
      </w:pPr>
      <w:r>
        <w:t xml:space="preserve">What is Smooth L1 loss and where have you seen it used? (expect this if your CV lands on an autonomous-vehicles / robotics team)</w:t>
      </w:r>
    </w:p>
    <w:p>
      <w:pPr>
        <w:pStyle w:val="ListParagraph"/>
        <w:numPr>
          <w:ilvl w:val="0"/>
          <w:numId w:val="3"/>
        </w:numPr>
        <w:spacing w:after="90"/>
      </w:pPr>
      <w:r>
        <w:t xml:space="preserve">Is Huber loss convex? Is it differentiable everywhere? (Yes to both — that's part of why it's popular over MAE.)</w:t>
      </w:r>
    </w:p>
    <w:p>
      <w:pPr>
        <w:pStyle w:val="ListParagraph"/>
        <w:numPr>
          <w:ilvl w:val="0"/>
          <w:numId w:val="3"/>
        </w:numPr>
        <w:spacing w:after="90"/>
      </w:pPr>
      <w:r>
        <w:t xml:space="preserve">How would you decide the value of δ from your own data, rather than guessing? (be ready to describe your project's own p90-residual approach.)</w:t>
      </w:r>
    </w:p>
    <w:p>
      <w:pPr>
        <w:pStyle w:val="ListParagraph"/>
        <w:numPr>
          <w:ilvl w:val="0"/>
          <w:numId w:val="3"/>
        </w:numPr>
        <w:spacing w:after="90"/>
      </w:pPr>
      <w:r>
        <w:t xml:space="preserve">Walk me through backpropagation for a simple network by hand. (You now have a fully worked answer — §A.3.)</w:t>
      </w:r>
    </w:p>
    <w:p>
      <w:r>
        <w:br w:type="page"/>
      </w:r>
    </w:p>
    <w:p>
      <w:pPr>
        <w:pStyle w:val="Heading1"/>
        <w:spacing w:after="200" w:before="200"/>
      </w:pPr>
      <w:r>
        <w:t xml:space="preserve">PART B — MRE Loss (Epsilon-Guarded Mean Relative Error)</w:t>
      </w:r>
    </w:p>
    <w:p>
      <w:pPr>
        <w:pStyle w:val="Heading2"/>
        <w:spacing w:after="140" w:before="280"/>
      </w:pPr>
      <w:r>
        <w:t xml:space="preserve">B.1 Concept — What Problem Does MRE Solve?</w:t>
      </w:r>
    </w:p>
    <w:p>
      <w:pPr>
        <w:spacing w:after="160"/>
        <w:jc w:val="both"/>
      </w:pPr>
      <w:r>
        <w:t xml:space="preserve">MSE and Huber both measure absolute error — a 0.05 m mistake counts the same whether the true SWH was 0.1 m or 2.0 m. But in many applications (including wave-height reporting, which is conventionally expressed as a percentage error in the literature), what actually matters is relative/proportional accuracy: how big was the mistake compared to the size of the thing being measured? MRE (Mean Relative Error) directly optimizes that.</w:t>
      </w:r>
    </w:p>
    <w:p>
      <w:pPr>
        <w:pStyle w:val="Heading2"/>
        <w:spacing w:after="140" w:before="280"/>
      </w:pPr>
      <w:r>
        <w:t xml:space="preserve">B.2 Mathematical Formula and Notation</w:t>
      </w:r>
    </w:p>
    <w:p>
      <w:pPr>
        <w:spacing w:after="160"/>
        <w:jc w:val="both"/>
      </w:pPr>
      <w:r>
        <w:t xml:space="preserve">Per-batch MRE loss, exactly as implemented in src/losses.py: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r>
              <w:rPr>
                <w:rFonts w:ascii="Consolas" w:cs="Consolas" w:eastAsia="Consolas" w:hAnsi="Consolas"/>
                <w:sz w:val="20"/>
                <w:szCs w:val="20"/>
              </w:rPr>
              <w:t xml:space="preserve">MRE = (1/N) Σᵢ  |ŷᵢ − yᵢ| / (|yᵢ| + ε)</w:t>
            </w:r>
          </w:p>
        </w:tc>
      </w:tr>
    </w:tbl>
    <w:p>
      <w:pPr>
        <w:spacing w:after="1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5325"/>
        <w:gridCol w:w="3277"/>
      </w:tblGrid>
      <w:tr>
        <w:trPr>
          <w:tblHeader/>
        </w:trPr>
        <w:tc>
          <w:tcPr>
            <w:tcW w:type="dxa" w:w="1638"/>
            <w:shd w:fill="1F4E79" w:val="clear"/>
            <w:tcMar>
              <w:top w:type="dxa" w:w="80"/>
              <w:left w:type="dxa" w:w="100"/>
              <w:bottom w:type="dxa" w:w="80"/>
              <w:right w:type="dxa" w:w="100"/>
            </w:tcMar>
          </w:tcPr>
          <w:p>
            <w:pPr>
              <w:jc w:val="center"/>
            </w:pPr>
            <w:r>
              <w:rPr>
                <w:b/>
                <w:bCs/>
                <w:color w:val="FFFFFF"/>
                <w:sz w:val="19"/>
                <w:szCs w:val="19"/>
              </w:rPr>
              <w:t xml:space="preserve">Symbol</w:t>
            </w:r>
          </w:p>
        </w:tc>
        <w:tc>
          <w:tcPr>
            <w:tcW w:type="dxa" w:w="5325"/>
            <w:shd w:fill="1F4E79" w:val="clear"/>
            <w:tcMar>
              <w:top w:type="dxa" w:w="80"/>
              <w:left w:type="dxa" w:w="100"/>
              <w:bottom w:type="dxa" w:w="80"/>
              <w:right w:type="dxa" w:w="100"/>
            </w:tcMar>
          </w:tcPr>
          <w:p>
            <w:pPr>
              <w:jc w:val="center"/>
            </w:pPr>
            <w:r>
              <w:rPr>
                <w:b/>
                <w:bCs/>
                <w:color w:val="FFFFFF"/>
                <w:sz w:val="19"/>
                <w:szCs w:val="19"/>
              </w:rPr>
              <w:t xml:space="preserve">Meaning</w:t>
            </w:r>
          </w:p>
        </w:tc>
        <w:tc>
          <w:tcPr>
            <w:tcW w:type="dxa" w:w="3277"/>
            <w:shd w:fill="1F4E79" w:val="clear"/>
            <w:tcMar>
              <w:top w:type="dxa" w:w="80"/>
              <w:left w:type="dxa" w:w="100"/>
              <w:bottom w:type="dxa" w:w="80"/>
              <w:right w:type="dxa" w:w="100"/>
            </w:tcMar>
          </w:tcPr>
          <w:p>
            <w:pPr>
              <w:jc w:val="center"/>
            </w:pPr>
            <w:r>
              <w:rPr>
                <w:b/>
                <w:bCs/>
                <w:color w:val="FFFFFF"/>
                <w:sz w:val="19"/>
                <w:szCs w:val="19"/>
              </w:rPr>
              <w:t xml:space="preserve">In code</w:t>
            </w:r>
          </w:p>
        </w:tc>
      </w:tr>
      <w:tr>
        <w:tc>
          <w:tcPr>
            <w:tcW w:type="dxa" w:w="1638"/>
            <w:tcMar>
              <w:top w:type="dxa" w:w="80"/>
              <w:left w:type="dxa" w:w="100"/>
              <w:bottom w:type="dxa" w:w="80"/>
              <w:right w:type="dxa" w:w="100"/>
            </w:tcMar>
          </w:tcPr>
          <w:p>
            <w:r>
              <w:rPr>
                <w:b w:val="false"/>
                <w:bCs w:val="false"/>
                <w:sz w:val="19"/>
                <w:szCs w:val="19"/>
              </w:rPr>
              <w:t xml:space="preserve">yᵢ</w:t>
            </w:r>
          </w:p>
        </w:tc>
        <w:tc>
          <w:tcPr>
            <w:tcW w:type="dxa" w:w="5325"/>
            <w:tcMar>
              <w:top w:type="dxa" w:w="80"/>
              <w:left w:type="dxa" w:w="100"/>
              <w:bottom w:type="dxa" w:w="80"/>
              <w:right w:type="dxa" w:w="100"/>
            </w:tcMar>
          </w:tcPr>
          <w:p>
            <w:pPr>
              <w:jc w:val="center"/>
            </w:pPr>
            <w:r>
              <w:rPr>
                <w:b w:val="false"/>
                <w:bCs w:val="false"/>
                <w:sz w:val="19"/>
                <w:szCs w:val="19"/>
              </w:rPr>
              <w:t xml:space="preserve">True SWH of sample i</w:t>
            </w:r>
          </w:p>
        </w:tc>
        <w:tc>
          <w:tcPr>
            <w:tcW w:type="dxa" w:w="3277"/>
            <w:tcMar>
              <w:top w:type="dxa" w:w="80"/>
              <w:left w:type="dxa" w:w="100"/>
              <w:bottom w:type="dxa" w:w="80"/>
              <w:right w:type="dxa" w:w="100"/>
            </w:tcMar>
          </w:tcPr>
          <w:p>
            <w:pPr>
              <w:jc w:val="center"/>
            </w:pPr>
            <w:r>
              <w:rPr>
                <w:b w:val="false"/>
                <w:bCs w:val="false"/>
                <w:sz w:val="19"/>
                <w:szCs w:val="19"/>
              </w:rPr>
              <w:t xml:space="preserve">target</w:t>
            </w:r>
          </w:p>
        </w:tc>
      </w:tr>
      <w:tr>
        <w:tc>
          <w:tcPr>
            <w:tcW w:type="dxa" w:w="1638"/>
            <w:tcMar>
              <w:top w:type="dxa" w:w="80"/>
              <w:left w:type="dxa" w:w="100"/>
              <w:bottom w:type="dxa" w:w="80"/>
              <w:right w:type="dxa" w:w="100"/>
            </w:tcMar>
          </w:tcPr>
          <w:p>
            <w:r>
              <w:rPr>
                <w:b w:val="false"/>
                <w:bCs w:val="false"/>
                <w:sz w:val="19"/>
                <w:szCs w:val="19"/>
              </w:rPr>
              <w:t xml:space="preserve">ŷᵢ</w:t>
            </w:r>
          </w:p>
        </w:tc>
        <w:tc>
          <w:tcPr>
            <w:tcW w:type="dxa" w:w="5325"/>
            <w:tcMar>
              <w:top w:type="dxa" w:w="80"/>
              <w:left w:type="dxa" w:w="100"/>
              <w:bottom w:type="dxa" w:w="80"/>
              <w:right w:type="dxa" w:w="100"/>
            </w:tcMar>
          </w:tcPr>
          <w:p>
            <w:pPr>
              <w:jc w:val="center"/>
            </w:pPr>
            <w:r>
              <w:rPr>
                <w:b w:val="false"/>
                <w:bCs w:val="false"/>
                <w:sz w:val="19"/>
                <w:szCs w:val="19"/>
              </w:rPr>
              <w:t xml:space="preserve">Predicted SWH of sample i</w:t>
            </w:r>
          </w:p>
        </w:tc>
        <w:tc>
          <w:tcPr>
            <w:tcW w:type="dxa" w:w="3277"/>
            <w:tcMar>
              <w:top w:type="dxa" w:w="80"/>
              <w:left w:type="dxa" w:w="100"/>
              <w:bottom w:type="dxa" w:w="80"/>
              <w:right w:type="dxa" w:w="100"/>
            </w:tcMar>
          </w:tcPr>
          <w:p>
            <w:pPr>
              <w:jc w:val="center"/>
            </w:pPr>
            <w:r>
              <w:rPr>
                <w:b w:val="false"/>
                <w:bCs w:val="false"/>
                <w:sz w:val="19"/>
                <w:szCs w:val="19"/>
              </w:rPr>
              <w:t xml:space="preserve">pred</w:t>
            </w:r>
          </w:p>
        </w:tc>
      </w:tr>
      <w:tr>
        <w:tc>
          <w:tcPr>
            <w:tcW w:type="dxa" w:w="1638"/>
            <w:tcMar>
              <w:top w:type="dxa" w:w="80"/>
              <w:left w:type="dxa" w:w="100"/>
              <w:bottom w:type="dxa" w:w="80"/>
              <w:right w:type="dxa" w:w="100"/>
            </w:tcMar>
          </w:tcPr>
          <w:p>
            <w:r>
              <w:rPr>
                <w:b w:val="false"/>
                <w:bCs w:val="false"/>
                <w:sz w:val="19"/>
                <w:szCs w:val="19"/>
              </w:rPr>
              <w:t xml:space="preserve">|ŷᵢ − yᵢ|</w:t>
            </w:r>
          </w:p>
        </w:tc>
        <w:tc>
          <w:tcPr>
            <w:tcW w:type="dxa" w:w="5325"/>
            <w:tcMar>
              <w:top w:type="dxa" w:w="80"/>
              <w:left w:type="dxa" w:w="100"/>
              <w:bottom w:type="dxa" w:w="80"/>
              <w:right w:type="dxa" w:w="100"/>
            </w:tcMar>
          </w:tcPr>
          <w:p>
            <w:pPr>
              <w:jc w:val="center"/>
            </w:pPr>
            <w:r>
              <w:rPr>
                <w:b w:val="false"/>
                <w:bCs w:val="false"/>
                <w:sz w:val="19"/>
                <w:szCs w:val="19"/>
              </w:rPr>
              <w:t xml:space="preserve">Absolute error</w:t>
            </w:r>
          </w:p>
        </w:tc>
        <w:tc>
          <w:tcPr>
            <w:tcW w:type="dxa" w:w="3277"/>
            <w:tcMar>
              <w:top w:type="dxa" w:w="80"/>
              <w:left w:type="dxa" w:w="100"/>
              <w:bottom w:type="dxa" w:w="80"/>
              <w:right w:type="dxa" w:w="100"/>
            </w:tcMar>
          </w:tcPr>
          <w:p>
            <w:pPr>
              <w:jc w:val="center"/>
            </w:pPr>
            <w:r>
              <w:rPr>
                <w:b w:val="false"/>
                <w:bCs w:val="false"/>
                <w:sz w:val="19"/>
                <w:szCs w:val="19"/>
              </w:rPr>
              <w:t xml:space="preserve">torch.abs(pred - target)</w:t>
            </w:r>
          </w:p>
        </w:tc>
      </w:tr>
      <w:tr>
        <w:tc>
          <w:tcPr>
            <w:tcW w:type="dxa" w:w="1638"/>
            <w:tcMar>
              <w:top w:type="dxa" w:w="80"/>
              <w:left w:type="dxa" w:w="100"/>
              <w:bottom w:type="dxa" w:w="80"/>
              <w:right w:type="dxa" w:w="100"/>
            </w:tcMar>
          </w:tcPr>
          <w:p>
            <w:r>
              <w:rPr>
                <w:b w:val="false"/>
                <w:bCs w:val="false"/>
                <w:sz w:val="19"/>
                <w:szCs w:val="19"/>
              </w:rPr>
              <w:t xml:space="preserve">ε (epsilon)</w:t>
            </w:r>
          </w:p>
        </w:tc>
        <w:tc>
          <w:tcPr>
            <w:tcW w:type="dxa" w:w="5325"/>
            <w:tcMar>
              <w:top w:type="dxa" w:w="80"/>
              <w:left w:type="dxa" w:w="100"/>
              <w:bottom w:type="dxa" w:w="80"/>
              <w:right w:type="dxa" w:w="100"/>
            </w:tcMar>
          </w:tcPr>
          <w:p>
            <w:pPr>
              <w:jc w:val="center"/>
            </w:pPr>
            <w:r>
              <w:rPr>
                <w:b w:val="false"/>
                <w:bCs w:val="false"/>
                <w:sz w:val="19"/>
                <w:szCs w:val="19"/>
              </w:rPr>
              <w:t xml:space="preserve">Small guard constant = 0.001 m</w:t>
            </w:r>
          </w:p>
        </w:tc>
        <w:tc>
          <w:tcPr>
            <w:tcW w:type="dxa" w:w="3277"/>
            <w:tcMar>
              <w:top w:type="dxa" w:w="80"/>
              <w:left w:type="dxa" w:w="100"/>
              <w:bottom w:type="dxa" w:w="80"/>
              <w:right w:type="dxa" w:w="100"/>
            </w:tcMar>
          </w:tcPr>
          <w:p>
            <w:pPr>
              <w:jc w:val="center"/>
            </w:pPr>
            <w:r>
              <w:rPr>
                <w:b w:val="false"/>
                <w:bCs w:val="false"/>
                <w:sz w:val="19"/>
                <w:szCs w:val="19"/>
              </w:rPr>
              <w:t xml:space="preserve">MRE_EPS = 1e-3</w:t>
            </w:r>
          </w:p>
        </w:tc>
      </w:tr>
      <w:tr>
        <w:tc>
          <w:tcPr>
            <w:tcW w:type="dxa" w:w="1638"/>
            <w:tcMar>
              <w:top w:type="dxa" w:w="80"/>
              <w:left w:type="dxa" w:w="100"/>
              <w:bottom w:type="dxa" w:w="80"/>
              <w:right w:type="dxa" w:w="100"/>
            </w:tcMar>
          </w:tcPr>
          <w:p>
            <w:r>
              <w:rPr>
                <w:b w:val="false"/>
                <w:bCs w:val="false"/>
                <w:sz w:val="19"/>
                <w:szCs w:val="19"/>
              </w:rPr>
              <w:t xml:space="preserve">N</w:t>
            </w:r>
          </w:p>
        </w:tc>
        <w:tc>
          <w:tcPr>
            <w:tcW w:type="dxa" w:w="5325"/>
            <w:tcMar>
              <w:top w:type="dxa" w:w="80"/>
              <w:left w:type="dxa" w:w="100"/>
              <w:bottom w:type="dxa" w:w="80"/>
              <w:right w:type="dxa" w:w="100"/>
            </w:tcMar>
          </w:tcPr>
          <w:p>
            <w:pPr>
              <w:jc w:val="center"/>
            </w:pPr>
            <w:r>
              <w:rPr>
                <w:b w:val="false"/>
                <w:bCs w:val="false"/>
                <w:sz w:val="19"/>
                <w:szCs w:val="19"/>
              </w:rPr>
              <w:t xml:space="preserve">Batch size</w:t>
            </w:r>
          </w:p>
        </w:tc>
        <w:tc>
          <w:tcPr>
            <w:tcW w:type="dxa" w:w="3277"/>
            <w:tcMar>
              <w:top w:type="dxa" w:w="80"/>
              <w:left w:type="dxa" w:w="100"/>
              <w:bottom w:type="dxa" w:w="80"/>
              <w:right w:type="dxa" w:w="100"/>
            </w:tcMar>
          </w:tcPr>
          <w:p>
            <w:pPr>
              <w:jc w:val="center"/>
            </w:pPr>
            <w:r>
              <w:rPr>
                <w:b w:val="false"/>
                <w:bCs w:val="false"/>
                <w:sz w:val="19"/>
                <w:szCs w:val="19"/>
              </w:rPr>
              <w:t xml:space="preserve">torch.mean(...)</w:t>
            </w:r>
          </w:p>
        </w:tc>
      </w:tr>
    </w:tbl>
    <w:p>
      <w:pPr>
        <w:spacing w:after="160"/>
        <w:jc w:val="both"/>
      </w:pPr>
      <w:r>
        <w:t xml:space="preserve">Note the key structural difference from Huber/MSE: the absolute error is divided by the target's own magnitude, |y|+ε. This single division is what makes MRE fundamentally a relative, scale-aware loss rather than an absolute one. Note also: MRE is a fraction (e.g. 0.18), not a percentage — MRE × 100 = MAPE.</w:t>
      </w:r>
    </w:p>
    <w:p>
      <w:pPr>
        <w:pStyle w:val="Heading2"/>
        <w:spacing w:after="140" w:before="280"/>
      </w:pPr>
      <w:r>
        <w:t xml:space="preserve">B.3 Why the Epsilon Guard Exists (the most important design decision in this loss)</w:t>
      </w:r>
    </w:p>
    <w:p>
      <w:pPr>
        <w:spacing w:after="160"/>
        <w:jc w:val="both"/>
      </w:pPr>
      <w:r>
        <w:t xml:space="preserve">If any sample's true SWH is exactly, or very near, zero (your Calm-bin, 0.0–0.1 m), the formula's denominator |y| would be ~0, and division by ~0 produces infinity or NaN — which crashes training the moment it happens (all weights become NaN). Adding ε=0.001 in the denominator guarantees it can never be exactly zero: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Case D — pred=0.05, target=0.0 (a completely calm-water sample):</w:t>
            </w:r>
          </w:p>
          <w:p>
            <w:pPr>
              <w:spacing w:after="60"/>
            </w:pPr>
            <w:r>
              <w:rPr>
                <w:rFonts w:ascii="Consolas" w:cs="Consolas" w:eastAsia="Consolas" w:hAnsi="Consolas"/>
                <w:sz w:val="19"/>
                <w:szCs w:val="19"/>
              </w:rPr>
              <w:t xml:space="preserve">  WITHOUT ε guard:  0.05 / 0.0            -&gt;  division by zero, training crashes</w:t>
            </w:r>
          </w:p>
          <w:p>
            <w:pPr>
              <w:spacing w:after="60"/>
            </w:pPr>
            <w:r>
              <w:rPr>
                <w:rFonts w:ascii="Consolas" w:cs="Consolas" w:eastAsia="Consolas" w:hAnsi="Consolas"/>
                <w:sz w:val="19"/>
                <w:szCs w:val="19"/>
              </w:rPr>
              <w:t xml:space="preserve">  WITH ε guard:     0.05 / (0.0+0.001)    =  50.0   (a large but FINITE, valid number)</w:t>
            </w:r>
          </w:p>
        </w:tc>
      </w:tr>
    </w:tbl>
    <w:p>
      <w:pPr>
        <w:spacing w:after="160"/>
      </w:pPr>
    </w:p>
    <w:p>
      <w:pPr>
        <w:spacing w:after="160"/>
        <w:jc w:val="both"/>
      </w:pPr>
      <w:r>
        <w:t xml:space="preserve">Deliberate consistency: ε=0.001 is the exact same value used in src/metrics.py's MAPE_EPS — so the quantity being optimized during training and the quantity reported at evaluation time agree on how near-zero targets are handled.</w:t>
      </w:r>
    </w:p>
    <w:p>
      <w:pPr>
        <w:pStyle w:val="Heading2"/>
        <w:spacing w:after="140" w:before="280"/>
      </w:pPr>
      <w:r>
        <w:t xml:space="preserve">B.4 Fully Worked Numerical Example (independently verified by running the real PyTorch code)</w:t>
      </w:r>
    </w:p>
    <w:p>
      <w:pPr>
        <w:spacing w:after="160"/>
        <w:jc w:val="both"/>
      </w:pPr>
      <w:r>
        <w:t xml:space="preserve">Same toy network, same ŷ = 0.246 as in Part A.</w:t>
      </w:r>
    </w:p>
    <w:p>
      <w:pPr>
        <w:pStyle w:val="Heading3"/>
        <w:spacing w:after="110" w:before="220"/>
      </w:pPr>
      <w:r>
        <w:t xml:space="preserve">Case A — small target, y = 0.30 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 = |0.246 − 0.300| = 0.054</w:t>
            </w:r>
          </w:p>
          <w:p>
            <w:pPr>
              <w:spacing w:after="60"/>
            </w:pPr>
            <w:r>
              <w:rPr>
                <w:rFonts w:ascii="Consolas" w:cs="Consolas" w:eastAsia="Consolas" w:hAnsi="Consolas"/>
                <w:sz w:val="19"/>
                <w:szCs w:val="19"/>
              </w:rPr>
              <w:t xml:space="preserve">MRE_A = 0.054 / (0.30+0.001) = 0.054/0.301 = 0.1794   (= 17.94%)</w:t>
            </w:r>
          </w:p>
        </w:tc>
      </w:tr>
    </w:tbl>
    <w:p>
      <w:pPr>
        <w:spacing w:after="160"/>
      </w:pPr>
    </w:p>
    <w:p>
      <w:pPr>
        <w:pStyle w:val="Heading3"/>
        <w:spacing w:after="110" w:before="220"/>
      </w:pPr>
      <w:r>
        <w:t xml:space="preserve">Case C — large target, y = 1.80 m, a NEARLY IDENTICAL absolute error (0.05 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predicted ŷ=1.75, target y=1.80  -&gt;  r = 0.05</w:t>
            </w:r>
          </w:p>
          <w:p>
            <w:pPr>
              <w:spacing w:after="60"/>
            </w:pPr>
            <w:r>
              <w:rPr>
                <w:rFonts w:ascii="Consolas" w:cs="Consolas" w:eastAsia="Consolas" w:hAnsi="Consolas"/>
                <w:sz w:val="19"/>
                <w:szCs w:val="19"/>
              </w:rPr>
              <w:t xml:space="preserve">MRE_C = 0.05 / (1.80+0.001) = 0.05/1.801 = 0.0278   (= 2.78%)</w:t>
            </w:r>
          </w:p>
        </w:tc>
      </w:tr>
    </w:tbl>
    <w:p>
      <w:pPr>
        <w:spacing w:after="160"/>
      </w:pPr>
    </w:p>
    <w:p>
      <w:pPr>
        <w:spacing w:after="160"/>
        <w:jc w:val="both"/>
      </w:pPr>
      <w:r>
        <w:t xml:space="preserve">The core lesson: almost identical absolute error (0.054 m vs 0.05 m) produces a 6.5x different loss (17.94% vs 2.78%) purely because of the target's magnitude. This is the defining behavior of relative-error losses.</w:t>
      </w:r>
    </w:p>
    <w:p>
      <w:pPr>
        <w:pStyle w:val="Heading3"/>
        <w:spacing w:after="110" w:before="220"/>
      </w:pPr>
      <w:r>
        <w:t xml:space="preserve">Direct comparison — MSE vs Huber vs MRE, same two cases (all numbers verified by running actual code)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1638"/>
        <w:gridCol w:w="1843"/>
        <w:gridCol w:w="2458"/>
        <w:gridCol w:w="2048"/>
      </w:tblGrid>
      <w:tr>
        <w:trPr>
          <w:tblHeader/>
        </w:trPr>
        <w:tc>
          <w:tcPr>
            <w:tcW w:type="dxa" w:w="2253"/>
            <w:shd w:fill="1F4E79" w:val="clear"/>
            <w:tcMar>
              <w:top w:type="dxa" w:w="80"/>
              <w:left w:type="dxa" w:w="100"/>
              <w:bottom w:type="dxa" w:w="80"/>
              <w:right w:type="dxa" w:w="100"/>
            </w:tcMar>
          </w:tcPr>
          <w:p>
            <w:pPr>
              <w:jc w:val="center"/>
            </w:pPr>
            <w:r>
              <w:rPr>
                <w:b/>
                <w:bCs/>
                <w:color w:val="FFFFFF"/>
                <w:sz w:val="19"/>
                <w:szCs w:val="19"/>
              </w:rPr>
              <w:t xml:space="preserve">Case</w:t>
            </w:r>
          </w:p>
        </w:tc>
        <w:tc>
          <w:tcPr>
            <w:tcW w:type="dxa" w:w="1638"/>
            <w:shd w:fill="1F4E79" w:val="clear"/>
            <w:tcMar>
              <w:top w:type="dxa" w:w="80"/>
              <w:left w:type="dxa" w:w="100"/>
              <w:bottom w:type="dxa" w:w="80"/>
              <w:right w:type="dxa" w:w="100"/>
            </w:tcMar>
          </w:tcPr>
          <w:p>
            <w:pPr>
              <w:jc w:val="center"/>
            </w:pPr>
            <w:r>
              <w:rPr>
                <w:b/>
                <w:bCs/>
                <w:color w:val="FFFFFF"/>
                <w:sz w:val="19"/>
                <w:szCs w:val="19"/>
              </w:rPr>
              <w:t xml:space="preserve">Residual</w:t>
            </w:r>
          </w:p>
        </w:tc>
        <w:tc>
          <w:tcPr>
            <w:tcW w:type="dxa" w:w="1843"/>
            <w:shd w:fill="1F4E79" w:val="clear"/>
            <w:tcMar>
              <w:top w:type="dxa" w:w="80"/>
              <w:left w:type="dxa" w:w="100"/>
              <w:bottom w:type="dxa" w:w="80"/>
              <w:right w:type="dxa" w:w="100"/>
            </w:tcMar>
          </w:tcPr>
          <w:p>
            <w:pPr>
              <w:jc w:val="center"/>
            </w:pPr>
            <w:r>
              <w:rPr>
                <w:b/>
                <w:bCs/>
                <w:color w:val="FFFFFF"/>
                <w:sz w:val="19"/>
                <w:szCs w:val="19"/>
              </w:rPr>
              <w:t xml:space="preserve">MSE</w:t>
            </w:r>
          </w:p>
        </w:tc>
        <w:tc>
          <w:tcPr>
            <w:tcW w:type="dxa" w:w="2458"/>
            <w:shd w:fill="1F4E79" w:val="clear"/>
            <w:tcMar>
              <w:top w:type="dxa" w:w="80"/>
              <w:left w:type="dxa" w:w="100"/>
              <w:bottom w:type="dxa" w:w="80"/>
              <w:right w:type="dxa" w:w="100"/>
            </w:tcMar>
          </w:tcPr>
          <w:p>
            <w:pPr>
              <w:jc w:val="center"/>
            </w:pPr>
            <w:r>
              <w:rPr>
                <w:b/>
                <w:bCs/>
                <w:color w:val="FFFFFF"/>
                <w:sz w:val="19"/>
                <w:szCs w:val="19"/>
              </w:rPr>
              <w:t xml:space="preserve">Huber (δ=0.15)</w:t>
            </w:r>
          </w:p>
        </w:tc>
        <w:tc>
          <w:tcPr>
            <w:tcW w:type="dxa" w:w="2048"/>
            <w:shd w:fill="1F4E79" w:val="clear"/>
            <w:tcMar>
              <w:top w:type="dxa" w:w="80"/>
              <w:left w:type="dxa" w:w="100"/>
              <w:bottom w:type="dxa" w:w="80"/>
              <w:right w:type="dxa" w:w="100"/>
            </w:tcMar>
          </w:tcPr>
          <w:p>
            <w:pPr>
              <w:jc w:val="center"/>
            </w:pPr>
            <w:r>
              <w:rPr>
                <w:b/>
                <w:bCs/>
                <w:color w:val="FFFFFF"/>
                <w:sz w:val="19"/>
                <w:szCs w:val="19"/>
              </w:rPr>
              <w:t xml:space="preserve">MRE</w:t>
            </w:r>
          </w:p>
        </w:tc>
      </w:tr>
      <w:tr>
        <w:tc>
          <w:tcPr>
            <w:tcW w:type="dxa" w:w="2253"/>
            <w:tcMar>
              <w:top w:type="dxa" w:w="80"/>
              <w:left w:type="dxa" w:w="100"/>
              <w:bottom w:type="dxa" w:w="80"/>
              <w:right w:type="dxa" w:w="100"/>
            </w:tcMar>
          </w:tcPr>
          <w:p>
            <w:r>
              <w:rPr>
                <w:b w:val="false"/>
                <w:bCs w:val="false"/>
                <w:sz w:val="19"/>
                <w:szCs w:val="19"/>
              </w:rPr>
              <w:t xml:space="preserve">A (target 0.30 m)</w:t>
            </w:r>
          </w:p>
        </w:tc>
        <w:tc>
          <w:tcPr>
            <w:tcW w:type="dxa" w:w="1638"/>
            <w:tcMar>
              <w:top w:type="dxa" w:w="80"/>
              <w:left w:type="dxa" w:w="100"/>
              <w:bottom w:type="dxa" w:w="80"/>
              <w:right w:type="dxa" w:w="100"/>
            </w:tcMar>
          </w:tcPr>
          <w:p>
            <w:pPr>
              <w:jc w:val="center"/>
            </w:pPr>
            <w:r>
              <w:rPr>
                <w:b w:val="false"/>
                <w:bCs w:val="false"/>
                <w:sz w:val="19"/>
                <w:szCs w:val="19"/>
              </w:rPr>
              <w:t xml:space="preserve">0.0540</w:t>
            </w:r>
          </w:p>
        </w:tc>
        <w:tc>
          <w:tcPr>
            <w:tcW w:type="dxa" w:w="1843"/>
            <w:tcMar>
              <w:top w:type="dxa" w:w="80"/>
              <w:left w:type="dxa" w:w="100"/>
              <w:bottom w:type="dxa" w:w="80"/>
              <w:right w:type="dxa" w:w="100"/>
            </w:tcMar>
          </w:tcPr>
          <w:p>
            <w:pPr>
              <w:jc w:val="center"/>
            </w:pPr>
            <w:r>
              <w:rPr>
                <w:b w:val="false"/>
                <w:bCs w:val="false"/>
                <w:sz w:val="19"/>
                <w:szCs w:val="19"/>
              </w:rPr>
              <w:t xml:space="preserve">0.002916</w:t>
            </w:r>
          </w:p>
        </w:tc>
        <w:tc>
          <w:tcPr>
            <w:tcW w:type="dxa" w:w="2458"/>
            <w:tcMar>
              <w:top w:type="dxa" w:w="80"/>
              <w:left w:type="dxa" w:w="100"/>
              <w:bottom w:type="dxa" w:w="80"/>
              <w:right w:type="dxa" w:w="100"/>
            </w:tcMar>
          </w:tcPr>
          <w:p>
            <w:pPr>
              <w:jc w:val="center"/>
            </w:pPr>
            <w:r>
              <w:rPr>
                <w:b w:val="false"/>
                <w:bCs w:val="false"/>
                <w:sz w:val="19"/>
                <w:szCs w:val="19"/>
              </w:rPr>
              <w:t xml:space="preserve">0.009720</w:t>
            </w:r>
          </w:p>
        </w:tc>
        <w:tc>
          <w:tcPr>
            <w:tcW w:type="dxa" w:w="2048"/>
            <w:tcMar>
              <w:top w:type="dxa" w:w="80"/>
              <w:left w:type="dxa" w:w="100"/>
              <w:bottom w:type="dxa" w:w="80"/>
              <w:right w:type="dxa" w:w="100"/>
            </w:tcMar>
          </w:tcPr>
          <w:p>
            <w:pPr>
              <w:jc w:val="center"/>
            </w:pPr>
            <w:r>
              <w:rPr>
                <w:b w:val="false"/>
                <w:bCs w:val="false"/>
                <w:sz w:val="19"/>
                <w:szCs w:val="19"/>
              </w:rPr>
              <w:t xml:space="preserve">0.1794 (17.94%)</w:t>
            </w:r>
          </w:p>
        </w:tc>
      </w:tr>
      <w:tr>
        <w:tc>
          <w:tcPr>
            <w:tcW w:type="dxa" w:w="2253"/>
            <w:tcMar>
              <w:top w:type="dxa" w:w="80"/>
              <w:left w:type="dxa" w:w="100"/>
              <w:bottom w:type="dxa" w:w="80"/>
              <w:right w:type="dxa" w:w="100"/>
            </w:tcMar>
          </w:tcPr>
          <w:p>
            <w:r>
              <w:rPr>
                <w:b w:val="false"/>
                <w:bCs w:val="false"/>
                <w:sz w:val="19"/>
                <w:szCs w:val="19"/>
              </w:rPr>
              <w:t xml:space="preserve">C (target 1.80 m)</w:t>
            </w:r>
          </w:p>
        </w:tc>
        <w:tc>
          <w:tcPr>
            <w:tcW w:type="dxa" w:w="1638"/>
            <w:tcMar>
              <w:top w:type="dxa" w:w="80"/>
              <w:left w:type="dxa" w:w="100"/>
              <w:bottom w:type="dxa" w:w="80"/>
              <w:right w:type="dxa" w:w="100"/>
            </w:tcMar>
          </w:tcPr>
          <w:p>
            <w:pPr>
              <w:jc w:val="center"/>
            </w:pPr>
            <w:r>
              <w:rPr>
                <w:b w:val="false"/>
                <w:bCs w:val="false"/>
                <w:sz w:val="19"/>
                <w:szCs w:val="19"/>
              </w:rPr>
              <w:t xml:space="preserve">0.0500</w:t>
            </w:r>
          </w:p>
        </w:tc>
        <w:tc>
          <w:tcPr>
            <w:tcW w:type="dxa" w:w="1843"/>
            <w:tcMar>
              <w:top w:type="dxa" w:w="80"/>
              <w:left w:type="dxa" w:w="100"/>
              <w:bottom w:type="dxa" w:w="80"/>
              <w:right w:type="dxa" w:w="100"/>
            </w:tcMar>
          </w:tcPr>
          <w:p>
            <w:pPr>
              <w:jc w:val="center"/>
            </w:pPr>
            <w:r>
              <w:rPr>
                <w:b w:val="false"/>
                <w:bCs w:val="false"/>
                <w:sz w:val="19"/>
                <w:szCs w:val="19"/>
              </w:rPr>
              <w:t xml:space="preserve">0.002500</w:t>
            </w:r>
          </w:p>
        </w:tc>
        <w:tc>
          <w:tcPr>
            <w:tcW w:type="dxa" w:w="2458"/>
            <w:tcMar>
              <w:top w:type="dxa" w:w="80"/>
              <w:left w:type="dxa" w:w="100"/>
              <w:bottom w:type="dxa" w:w="80"/>
              <w:right w:type="dxa" w:w="100"/>
            </w:tcMar>
          </w:tcPr>
          <w:p>
            <w:pPr>
              <w:jc w:val="center"/>
            </w:pPr>
            <w:r>
              <w:rPr>
                <w:b w:val="false"/>
                <w:bCs w:val="false"/>
                <w:sz w:val="19"/>
                <w:szCs w:val="19"/>
              </w:rPr>
              <w:t xml:space="preserve">0.008333</w:t>
            </w:r>
          </w:p>
        </w:tc>
        <w:tc>
          <w:tcPr>
            <w:tcW w:type="dxa" w:w="2048"/>
            <w:tcMar>
              <w:top w:type="dxa" w:w="80"/>
              <w:left w:type="dxa" w:w="100"/>
              <w:bottom w:type="dxa" w:w="80"/>
              <w:right w:type="dxa" w:w="100"/>
            </w:tcMar>
          </w:tcPr>
          <w:p>
            <w:pPr>
              <w:jc w:val="center"/>
            </w:pPr>
            <w:r>
              <w:rPr>
                <w:b w:val="false"/>
                <w:bCs w:val="false"/>
                <w:sz w:val="19"/>
                <w:szCs w:val="19"/>
              </w:rPr>
              <w:t xml:space="preserve">0.0278 (2.78%)</w:t>
            </w:r>
          </w:p>
        </w:tc>
      </w:tr>
      <w:tr>
        <w:tc>
          <w:tcPr>
            <w:tcW w:type="dxa" w:w="2253"/>
            <w:tcMar>
              <w:top w:type="dxa" w:w="80"/>
              <w:left w:type="dxa" w:w="100"/>
              <w:bottom w:type="dxa" w:w="80"/>
              <w:right w:type="dxa" w:w="100"/>
            </w:tcMar>
          </w:tcPr>
          <w:p>
            <w:r>
              <w:rPr>
                <w:b w:val="false"/>
                <w:bCs w:val="false"/>
                <w:sz w:val="19"/>
                <w:szCs w:val="19"/>
              </w:rPr>
              <w:t xml:space="preserve">Ratio A/C</w:t>
            </w:r>
          </w:p>
        </w:tc>
        <w:tc>
          <w:tcPr>
            <w:tcW w:type="dxa" w:w="1638"/>
            <w:tcMar>
              <w:top w:type="dxa" w:w="80"/>
              <w:left w:type="dxa" w:w="100"/>
              <w:bottom w:type="dxa" w:w="80"/>
              <w:right w:type="dxa" w:w="100"/>
            </w:tcMar>
          </w:tcPr>
          <w:p>
            <w:pPr>
              <w:jc w:val="center"/>
            </w:pPr>
            <w:r>
              <w:rPr>
                <w:b w:val="false"/>
                <w:bCs w:val="false"/>
                <w:sz w:val="19"/>
                <w:szCs w:val="19"/>
              </w:rPr>
              <w:t xml:space="preserve">~equal</w:t>
            </w:r>
          </w:p>
        </w:tc>
        <w:tc>
          <w:tcPr>
            <w:tcW w:type="dxa" w:w="1843"/>
            <w:tcMar>
              <w:top w:type="dxa" w:w="80"/>
              <w:left w:type="dxa" w:w="100"/>
              <w:bottom w:type="dxa" w:w="80"/>
              <w:right w:type="dxa" w:w="100"/>
            </w:tcMar>
          </w:tcPr>
          <w:p>
            <w:pPr>
              <w:jc w:val="center"/>
            </w:pPr>
            <w:r>
              <w:rPr>
                <w:b w:val="false"/>
                <w:bCs w:val="false"/>
                <w:sz w:val="19"/>
                <w:szCs w:val="19"/>
              </w:rPr>
              <w:t xml:space="preserve">1.17×</w:t>
            </w:r>
          </w:p>
        </w:tc>
        <w:tc>
          <w:tcPr>
            <w:tcW w:type="dxa" w:w="2458"/>
            <w:tcMar>
              <w:top w:type="dxa" w:w="80"/>
              <w:left w:type="dxa" w:w="100"/>
              <w:bottom w:type="dxa" w:w="80"/>
              <w:right w:type="dxa" w:w="100"/>
            </w:tcMar>
          </w:tcPr>
          <w:p>
            <w:pPr>
              <w:jc w:val="center"/>
            </w:pPr>
            <w:r>
              <w:rPr>
                <w:b w:val="false"/>
                <w:bCs w:val="false"/>
                <w:sz w:val="19"/>
                <w:szCs w:val="19"/>
              </w:rPr>
              <w:t xml:space="preserve">1.17×</w:t>
            </w:r>
          </w:p>
        </w:tc>
        <w:tc>
          <w:tcPr>
            <w:tcW w:type="dxa" w:w="2048"/>
            <w:tcMar>
              <w:top w:type="dxa" w:w="80"/>
              <w:left w:type="dxa" w:w="100"/>
              <w:bottom w:type="dxa" w:w="80"/>
              <w:right w:type="dxa" w:w="100"/>
            </w:tcMar>
          </w:tcPr>
          <w:p>
            <w:pPr>
              <w:jc w:val="center"/>
            </w:pPr>
            <w:r>
              <w:rPr>
                <w:b w:val="false"/>
                <w:bCs w:val="false"/>
                <w:sz w:val="19"/>
                <w:szCs w:val="19"/>
              </w:rPr>
              <w:t xml:space="preserve">6.46×</w:t>
            </w:r>
          </w:p>
        </w:tc>
      </w:tr>
    </w:tbl>
    <w:p>
      <w:pPr>
        <w:spacing w:after="160"/>
        <w:jc w:val="both"/>
      </w:pPr>
      <w:r>
        <w:t xml:space="preserve">MSE and Huber barely notice the difference between these two cases (1.17×) — they only see the absolute residual. MRE reacts 6.46× more strongly — it only cares about relative accuracy.</w:t>
      </w:r>
    </w:p>
    <w:p>
      <w:pPr>
        <w:pStyle w:val="Heading3"/>
        <w:spacing w:after="110" w:before="220"/>
      </w:pPr>
      <w:r>
        <w:t xml:space="preserve">Backward pass and gradient — a clean, single formula explains everything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 = |ŷ−y| / (|y|+ε).  y is fixed during training (not a function of ŷ), so let D = |y|+ε (constant).</w:t>
            </w:r>
          </w:p>
          <w:p>
            <w:pPr>
              <w:spacing w:after="60"/>
            </w:pPr>
            <w:r>
              <w:rPr>
                <w:rFonts w:ascii="Consolas" w:cs="Consolas" w:eastAsia="Consolas" w:hAnsi="Consolas"/>
                <w:sz w:val="19"/>
                <w:szCs w:val="19"/>
              </w:rPr>
              <w:t xml:space="preserve">∂L/∂ŷ = sign(ŷ−y) / D</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Case A: sign(0.246-0.300) = -1, D = 0.301  -&gt;  ∂L/∂ŷ = -1/0.301 = -3.3223</w:t>
            </w:r>
          </w:p>
          <w:p>
            <w:pPr>
              <w:spacing w:after="60"/>
            </w:pPr>
            <w:r>
              <w:rPr>
                <w:rFonts w:ascii="Consolas" w:cs="Consolas" w:eastAsia="Consolas" w:hAnsi="Consolas"/>
                <w:sz w:val="19"/>
                <w:szCs w:val="19"/>
              </w:rPr>
              <w:t xml:space="preserve">  [VERIFIED: PyTorch autograd gives -3.3222591876983643 -- matches to full float precision]</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Key insight: the gradient MAGNITUDE is 1/(|y|+ε) -- i.e. it is INVERSELY proportional to the</w:t>
            </w:r>
          </w:p>
          <w:p>
            <w:pPr>
              <w:spacing w:after="60"/>
            </w:pPr>
            <w:r>
              <w:rPr>
                <w:rFonts w:ascii="Consolas" w:cs="Consolas" w:eastAsia="Consolas" w:hAnsi="Consolas"/>
                <w:sz w:val="19"/>
                <w:szCs w:val="19"/>
              </w:rPr>
              <w:t xml:space="preserve">target's size. Small targets get amplified gradients (up to 1/ε = 1000x at y≈0); large targets</w:t>
            </w:r>
          </w:p>
          <w:p>
            <w:pPr>
              <w:spacing w:after="60"/>
            </w:pPr>
            <w:r>
              <w:rPr>
                <w:rFonts w:ascii="Consolas" w:cs="Consolas" w:eastAsia="Consolas" w:hAnsi="Consolas"/>
                <w:sz w:val="19"/>
                <w:szCs w:val="19"/>
              </w:rPr>
              <w:t xml:space="preserve">get suppressed gradients. Compare: Huber's gradient for this same case was only -0.36 -- MRE's</w:t>
            </w:r>
          </w:p>
          <w:p>
            <w:pPr>
              <w:spacing w:after="60"/>
            </w:pPr>
            <w:r>
              <w:rPr>
                <w:rFonts w:ascii="Consolas" w:cs="Consolas" w:eastAsia="Consolas" w:hAnsi="Consolas"/>
                <w:sz w:val="19"/>
                <w:szCs w:val="19"/>
              </w:rPr>
              <w:t xml:space="preserve">gradient here is about 9x larger, purely because the target (0.30m) is small.</w:t>
            </w:r>
          </w:p>
        </w:tc>
      </w:tr>
    </w:tbl>
    <w:p>
      <w:pPr>
        <w:spacing w:after="160"/>
      </w:pPr>
    </w:p>
    <w:p>
      <w:pPr>
        <w:pStyle w:val="Heading3"/>
        <w:spacing w:after="110" w:before="220"/>
      </w:pPr>
      <w:r>
        <w:t xml:space="preserve">Full weight update (plain SGD, lr = 0.001 — smaller than Huber's demo, since MRE's gradient here is ~9x bigger) and verification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∂L/∂W2 = -3.3223×[0.115,0.045] = [-0.3821, -0.1495]     ∂L/∂b2 = -3.3223</w:t>
            </w:r>
          </w:p>
          <w:p>
            <w:pPr>
              <w:spacing w:after="60"/>
            </w:pPr>
            <w:r>
              <w:rPr>
                <w:rFonts w:ascii="Consolas" w:cs="Consolas" w:eastAsia="Consolas" w:hAnsi="Consolas"/>
                <w:sz w:val="19"/>
                <w:szCs w:val="19"/>
              </w:rPr>
              <w:t xml:space="preserve">∂L/∂W1 = [[-1.5947,-0.5316,-2.3920],[-2.3920,-0.7973,-3.5880]]   ∂L/∂b1 = [-2.6578,-3.9867]</w:t>
            </w:r>
          </w:p>
          <w:p>
            <w:pPr>
              <w:spacing w:after="60"/>
            </w:pPr>
            <w:r>
              <w:rPr>
                <w:rFonts w:ascii="Consolas" w:cs="Consolas" w:eastAsia="Consolas" w:hAnsi="Consolas"/>
                <w:sz w:val="19"/>
                <w:szCs w:val="19"/>
              </w:rPr>
              <w:t xml:space="preserve">  [all four gradient arrays VERIFIED against PyTorch autograd -- exact match]</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After one SGD step (lr=0.001):</w:t>
            </w:r>
          </w:p>
          <w:p>
            <w:pPr>
              <w:spacing w:after="60"/>
            </w:pPr>
            <w:r>
              <w:rPr>
                <w:rFonts w:ascii="Consolas" w:cs="Consolas" w:eastAsia="Consolas" w:hAnsi="Consolas"/>
                <w:sz w:val="19"/>
                <w:szCs w:val="19"/>
              </w:rPr>
              <w:t xml:space="preserve">  ŷ_new = 0.2646   (was 0.246)</w:t>
            </w:r>
          </w:p>
          <w:p>
            <w:pPr>
              <w:spacing w:after="60"/>
            </w:pPr>
            <w:r>
              <w:rPr>
                <w:rFonts w:ascii="Consolas" w:cs="Consolas" w:eastAsia="Consolas" w:hAnsi="Consolas"/>
                <w:sz w:val="19"/>
                <w:szCs w:val="19"/>
              </w:rPr>
              <w:t xml:space="preserve">  new residual = |0.2646-0.300| = 0.0354   (was 0.054  -&gt; decreased)</w:t>
            </w:r>
          </w:p>
          <w:p>
            <w:pPr>
              <w:spacing w:after="60"/>
            </w:pPr>
            <w:r>
              <w:rPr>
                <w:rFonts w:ascii="Consolas" w:cs="Consolas" w:eastAsia="Consolas" w:hAnsi="Consolas"/>
                <w:sz w:val="19"/>
                <w:szCs w:val="19"/>
              </w:rPr>
              <w:t xml:space="preserve">  L_new = 0.0354/0.301 = 0.1174 = 11.74%   (was 17.94%  -&gt; loss dropped ~35% in ONE step)</w:t>
            </w:r>
          </w:p>
          <w:p>
            <w:pPr>
              <w:spacing w:after="60"/>
            </w:pPr>
            <w:r>
              <w:rPr>
                <w:rFonts w:ascii="Consolas" w:cs="Consolas" w:eastAsia="Consolas" w:hAnsi="Consolas"/>
                <w:sz w:val="19"/>
                <w:szCs w:val="19"/>
              </w:rPr>
              <w:t xml:space="preserve">  [VERIFIED end-to-end by re-running the forward pass with updated weights in real PyTorch code]</w:t>
            </w:r>
          </w:p>
        </w:tc>
      </w:tr>
    </w:tbl>
    <w:p>
      <w:pPr>
        <w:spacing w:after="160"/>
      </w:pPr>
    </w:p>
    <w:p>
      <w:pPr>
        <w:pStyle w:val="Heading3"/>
        <w:spacing w:after="110" w:before="220"/>
      </w:pPr>
      <w:r>
        <w:t xml:space="preserve">Bonus check — the project's own built-in self-test, reproduced exactly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 from src/losses.py's own __main__ block:</w:t>
            </w:r>
          </w:p>
          <w:p>
            <w:pPr>
              <w:spacing w:after="60"/>
            </w:pPr>
            <w:r>
              <w:rPr>
                <w:rFonts w:ascii="Consolas" w:cs="Consolas" w:eastAsia="Consolas" w:hAnsi="Consolas"/>
                <w:sz w:val="19"/>
                <w:szCs w:val="19"/>
              </w:rPr>
              <w:t xml:space="preserve">pred=[0.30, 0.60, 1.20, 0.02],  target=[0.28, 0.55, 1.25, 0.01]  (last pair: near-zero target)</w:t>
            </w:r>
          </w:p>
          <w:p>
            <w:pPr>
              <w:spacing w:after="60"/>
            </w:pPr>
            <w:r>
              <w:rPr>
                <w:rFonts w:ascii="Consolas" w:cs="Consolas" w:eastAsia="Consolas" w:hAnsi="Consolas"/>
                <w:sz w:val="19"/>
                <w:szCs w:val="19"/>
              </w:rPr>
              <w:t xml:space="preserve">MRE loss = 0.2777443528175354          [confirmed by actually running the file]</w:t>
            </w:r>
          </w:p>
        </w:tc>
      </w:tr>
    </w:tbl>
    <w:p>
      <w:pPr>
        <w:spacing w:after="160"/>
      </w:pPr>
    </w:p>
    <w:p>
      <w:pPr>
        <w:pStyle w:val="Heading2"/>
        <w:spacing w:after="140" w:before="280"/>
      </w:pPr>
      <w:r>
        <w:t xml:space="preserve">B.5 Line-by-Line Code Connection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 src/losses.py</w:t>
            </w:r>
          </w:p>
          <w:p>
            <w:pPr>
              <w:spacing w:after="60"/>
            </w:pPr>
            <w:r>
              <w:rPr>
                <w:rFonts w:ascii="Consolas" w:cs="Consolas" w:eastAsia="Consolas" w:hAnsi="Consolas"/>
                <w:sz w:val="19"/>
                <w:szCs w:val="19"/>
              </w:rPr>
              <w:t xml:space="preserve">class MRELoss(nn.Module):</w:t>
            </w:r>
          </w:p>
          <w:p>
            <w:pPr>
              <w:spacing w:after="60"/>
            </w:pPr>
            <w:r>
              <w:rPr>
                <w:rFonts w:ascii="Consolas" w:cs="Consolas" w:eastAsia="Consolas" w:hAnsi="Consolas"/>
                <w:sz w:val="19"/>
                <w:szCs w:val="19"/>
              </w:rPr>
              <w:t xml:space="preserve">    def forward(self, pred, target):</w:t>
            </w:r>
          </w:p>
          <w:p>
            <w:pPr>
              <w:spacing w:after="60"/>
            </w:pPr>
            <w:r>
              <w:rPr>
                <w:rFonts w:ascii="Consolas" w:cs="Consolas" w:eastAsia="Consolas" w:hAnsi="Consolas"/>
                <w:sz w:val="19"/>
                <w:szCs w:val="19"/>
              </w:rPr>
              <w:t xml:space="preserve">        return torch.mean(torch.abs(pred - target) / (torch.abs(target) + self.eps))  # -&gt; §B.2</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main.py</w:t>
            </w:r>
          </w:p>
          <w:p>
            <w:pPr>
              <w:spacing w:after="60"/>
            </w:pPr>
            <w:r>
              <w:rPr>
                <w:rFonts w:ascii="Consolas" w:cs="Consolas" w:eastAsia="Consolas" w:hAnsi="Consolas"/>
                <w:sz w:val="19"/>
                <w:szCs w:val="19"/>
              </w:rPr>
              <w:t xml:space="preserve">def build_criterion():  return MRELoss()      # eps NOT overridden from config -&gt; module default 0.001</w:t>
            </w:r>
          </w:p>
          <w:p>
            <w:pPr>
              <w:spacing w:after="60"/>
            </w:pPr>
            <w:r>
              <w:rPr>
                <w:rFonts w:ascii="Consolas" w:cs="Consolas" w:eastAsia="Consolas" w:hAnsi="Consolas"/>
                <w:sz w:val="19"/>
                <w:szCs w:val="19"/>
              </w:rPr>
              <w:t xml:space="preserve"># early_stopping.monitor: val_mre             # matches project convention: mre loss -&gt; monitor mre</w:t>
            </w:r>
          </w:p>
        </w:tc>
      </w:tr>
    </w:tbl>
    <w:p>
      <w:pPr>
        <w:spacing w:after="160"/>
      </w:pPr>
    </w:p>
    <w:p>
      <w:pPr>
        <w:pStyle w:val="Heading2"/>
        <w:spacing w:after="140" w:before="280"/>
      </w:pPr>
      <w:r>
        <w:t xml:space="preserve">B.6 Real-World Applications</w:t>
      </w:r>
    </w:p>
    <w:p>
      <w:pPr>
        <w:pStyle w:val="ListParagraph"/>
        <w:numPr>
          <w:ilvl w:val="0"/>
          <w:numId w:val="3"/>
        </w:numPr>
        <w:spacing w:after="90"/>
      </w:pPr>
      <w:r>
        <w:t xml:space="preserve">Demand / retail / financial forecasting — MAPE (=MRE×100) is one of the most common business KPIs for forecast accuracy, because stakeholders think in "percent off", not absolute units.</w:t>
      </w:r>
    </w:p>
    <w:p>
      <w:pPr>
        <w:pStyle w:val="ListParagraph"/>
        <w:numPr>
          <w:ilvl w:val="0"/>
          <w:numId w:val="3"/>
        </w:numPr>
        <w:spacing w:after="90"/>
      </w:pPr>
      <w:r>
        <w:t xml:space="preserve">Wave-height and other geophysical/oceanographic verification literature — percentage-error reporting is a long-standing convention (this is exactly why your project reports MAPE alongside RMSE).</w:t>
      </w:r>
    </w:p>
    <w:p>
      <w:pPr>
        <w:pStyle w:val="ListParagraph"/>
        <w:numPr>
          <w:ilvl w:val="0"/>
          <w:numId w:val="3"/>
        </w:numPr>
        <w:spacing w:after="90"/>
      </w:pPr>
      <w:r>
        <w:t xml:space="preserve">Any regression problem where the target spans multiple orders of magnitude — e.g. predicting quantities that range from 1 to 100,000 — an absolute-error loss would be dominated entirely by the largest-magnitude samples; a relative loss keeps all scales meaningfully represented.</w:t>
      </w:r>
    </w:p>
    <w:p>
      <w:pPr>
        <w:pStyle w:val="ListParagraph"/>
        <w:numPr>
          <w:ilvl w:val="0"/>
          <w:numId w:val="3"/>
        </w:numPr>
        <w:spacing w:after="90"/>
      </w:pPr>
      <w:r>
        <w:t xml:space="preserve">Energy load / price forecasting, epidemiological case-count forecasting, and e-commerce demand forecasting all commonly train directly against a MAPE-style objective for the same reason.</w:t>
      </w:r>
    </w:p>
    <w:p>
      <w:pPr>
        <w:pStyle w:val="Heading2"/>
        <w:spacing w:after="140" w:before="280"/>
      </w:pPr>
      <w:r>
        <w:t xml:space="preserve">B.7 References</w:t>
      </w:r>
    </w:p>
    <w:p>
      <w:pPr>
        <w:pStyle w:val="ListParagraph"/>
        <w:numPr>
          <w:ilvl w:val="0"/>
          <w:numId w:val="3"/>
        </w:numPr>
        <w:spacing w:after="90"/>
      </w:pPr>
      <w:r>
        <w:t xml:space="preserve">de Myttenaere, A., Golden, B., Le Grand, B., &amp; Rossi, F. (2016). "Mean Absolute Percentage Error for regression models." Neurocomputing, 192, 38–48. — surveys MAPE/MRE-style losses, including their known pathologies near zero (exactly what your ε guard addresses).</w:t>
      </w:r>
    </w:p>
    <w:p>
      <w:pPr>
        <w:pStyle w:val="ListParagraph"/>
        <w:numPr>
          <w:ilvl w:val="0"/>
          <w:numId w:val="3"/>
        </w:numPr>
        <w:spacing w:after="90"/>
      </w:pPr>
      <w:r>
        <w:t xml:space="preserve">Kim, S. &amp; Kim, H. (2016). "A new metric of absolute percentage error for intermittent demand forecasts." International Journal of Forecasting, 32(3), 669–679. — introduces MAAPE, motivated by exactly this same near-zero-target instability in MAPE/MRE; directly relevant since your project's own evaluation protocol (SERA/MAAPE, discussed separately) builds on this line of work.</w:t>
      </w:r>
    </w:p>
    <w:p>
      <w:pPr>
        <w:pStyle w:val="ListParagraph"/>
        <w:numPr>
          <w:ilvl w:val="0"/>
          <w:numId w:val="3"/>
        </w:numPr>
        <w:spacing w:after="90"/>
      </w:pPr>
      <w:r>
        <w:t xml:space="preserve">Hyndman, R. J. &amp; Koehler, A. B. (2006). "Another look at measures of forecast accuracy." International Journal of Forecasting, 22(4), 679–688. — the standard reference comparing MAPE/relative-error metrics against alternatives, widely cited in forecasting.</w:t>
      </w:r>
    </w:p>
    <w:p>
      <w:pPr>
        <w:pStyle w:val="Heading2"/>
        <w:spacing w:after="140" w:before="280"/>
      </w:pPr>
      <w:r>
        <w:t xml:space="preserve">B.8 Career Relevance — Where This Shows Up on the Job</w:t>
      </w:r>
    </w:p>
    <w:p>
      <w:pPr>
        <w:pStyle w:val="ListParagraph"/>
        <w:numPr>
          <w:ilvl w:val="0"/>
          <w:numId w:val="3"/>
        </w:numPr>
        <w:spacing w:after="90"/>
      </w:pPr>
      <w:r>
        <w:t xml:space="preserve">Forecasting / time-series roles (retail, finance, energy, supply chain) — MAPE-family objectives are close to an industry default; understanding their failure mode near zero (and how to guard it) is a genuinely practical skill, not just textbook knowledge.</w:t>
      </w:r>
    </w:p>
    <w:p>
      <w:pPr>
        <w:pStyle w:val="ListParagraph"/>
        <w:numPr>
          <w:ilvl w:val="0"/>
          <w:numId w:val="3"/>
        </w:numPr>
        <w:spacing w:after="90"/>
      </w:pPr>
      <w:r>
        <w:t xml:space="preserve">Any regression task with heterogeneous target scales — knowing when to reach for a relative-error loss instead of MSE/Huber is a real design decision interviewers probe for.</w:t>
      </w:r>
    </w:p>
    <w:p>
      <w:pPr>
        <w:pStyle w:val="ListParagraph"/>
        <w:numPr>
          <w:ilvl w:val="0"/>
          <w:numId w:val="3"/>
        </w:numPr>
        <w:spacing w:after="90"/>
      </w:pPr>
      <w:r>
        <w:t xml:space="preserve">Data science roles where stakeholders communicate in percentages — being able to explain that "our model optimizes MAPE directly" (rather than optimizing RMSE and reporting MAPE afterward) is a meaningful, defensible modeling choice you can articulate.</w:t>
      </w:r>
    </w:p>
    <w:p>
      <w:pPr>
        <w:pStyle w:val="Heading2"/>
        <w:spacing w:after="140" w:before="280"/>
      </w:pPr>
      <w:r>
        <w:t xml:space="preserve">B.9 Likely Interview / Viva Questions on MRE / MAPE-style Losses</w:t>
      </w:r>
    </w:p>
    <w:p>
      <w:pPr>
        <w:pStyle w:val="ListParagraph"/>
        <w:numPr>
          <w:ilvl w:val="0"/>
          <w:numId w:val="3"/>
        </w:numPr>
        <w:spacing w:after="90"/>
      </w:pPr>
      <w:r>
        <w:t xml:space="preserve">Why does MAPE/MRE blow up near zero, and how do you fix it in practice?</w:t>
      </w:r>
    </w:p>
    <w:p>
      <w:pPr>
        <w:pStyle w:val="ListParagraph"/>
        <w:numPr>
          <w:ilvl w:val="0"/>
          <w:numId w:val="3"/>
        </w:numPr>
        <w:spacing w:after="90"/>
      </w:pPr>
      <w:r>
        <w:t xml:space="preserve">If your absolute error is similar across two samples, why might MRE score them very differently? (Tie this to the D=|y|+ε gradient-scaling insight — a strong answer.)</w:t>
      </w:r>
    </w:p>
    <w:p>
      <w:pPr>
        <w:pStyle w:val="ListParagraph"/>
        <w:numPr>
          <w:ilvl w:val="0"/>
          <w:numId w:val="3"/>
        </w:numPr>
        <w:spacing w:after="90"/>
      </w:pPr>
      <w:r>
        <w:t xml:space="preserve">What's the difference between optimizing MSE and reporting MAPE afterward, versus optimizing MRE/MAPE directly during training?</w:t>
      </w:r>
    </w:p>
    <w:p>
      <w:pPr>
        <w:pStyle w:val="ListParagraph"/>
        <w:numPr>
          <w:ilvl w:val="0"/>
          <w:numId w:val="3"/>
        </w:numPr>
        <w:spacing w:after="90"/>
      </w:pPr>
      <w:r>
        <w:t xml:space="preserve">Does a relative-error loss automatically fix a class-imbalanced regression problem? (No — be ready to explain the subtlety in §B.10 below; this is a genuinely good/hard interview question.)</w:t>
      </w:r>
    </w:p>
    <w:p>
      <w:pPr>
        <w:pStyle w:val="ListParagraph"/>
        <w:numPr>
          <w:ilvl w:val="0"/>
          <w:numId w:val="3"/>
        </w:numPr>
        <w:spacing w:after="90"/>
      </w:pPr>
      <w:r>
        <w:t xml:space="preserve">How would you decide between MSE, Huber, and MRE for a brand-new regression problem you've never seen before?</w:t>
      </w:r>
    </w:p>
    <w:p>
      <w:pPr>
        <w:pStyle w:val="Heading2"/>
        <w:spacing w:after="140" w:before="280"/>
      </w:pPr>
      <w:r>
        <w:t xml:space="preserve">B.10 The Subtle Insight Worth Remembering</w:t>
      </w:r>
    </w:p>
    <w:p>
      <w:pPr>
        <w:spacing w:after="160"/>
        <w:jc w:val="both"/>
      </w:pPr>
      <w:r>
        <w:t xml:space="preserve">A natural assumption is: "MRE optimizes relative error, so it must automatically help the rare, high-value (minority) samples in an imbalanced dataset." The derivation in §B.4 shows the opposite: MRE's gradient magnitude is 1/(|y|+ε), which is LARGEST for small targets and SMALLEST for large targets. Since your dataset's majority class (Calm+Smooth, ~78% of samples) is exactly the small-SWH region, MRE actually reinforces accuracy on the already-easy majority, not the rare high-SWH tail. This is very likely why, in your project's own 31-experiment results, MRE+LDS wins on overall MAPE (19.43%, the best in the whole study) while ConR-based Huber configs win on the rarity-weighted SERA / Relevance-Weighted MAAPE metrics instead — the mathematics of the loss itself, not just the imbalance-mitigation mechanism, explains part of that split. This is exactly the kind of derivation-backed insight that turns a results table into a real scientific narrative for your manuscript's Discussion section.</w:t>
      </w:r>
    </w:p>
    <w:p>
      <w:r>
        <w:br w:type="page"/>
      </w:r>
    </w:p>
    <w:p>
      <w:pPr>
        <w:pStyle w:val="Heading1"/>
        <w:spacing w:after="200" w:before="200"/>
      </w:pPr>
      <w:r>
        <w:t xml:space="preserve">PART C — MSE Loss (Mean Squared Error)</w:t>
      </w:r>
    </w:p>
    <w:p>
      <w:pPr>
        <w:pStyle w:val="Heading2"/>
        <w:spacing w:after="140" w:before="280"/>
      </w:pPr>
      <w:r>
        <w:t xml:space="preserve">C.1 Concept — Why MSE Is Usually Where You Start</w:t>
      </w:r>
    </w:p>
    <w:p>
      <w:pPr>
        <w:spacing w:after="160"/>
        <w:jc w:val="both"/>
      </w:pPr>
      <w:r>
        <w:t xml:space="preserve">MSE is the oldest, most widely used regression loss, for a real mathematical reason: minimizing MSE is exactly equivalent to Maximum Likelihood Estimation under the assumption that measurement noise is Gaussian (normally distributed). That equivalence is why MSE is the default in almost every regression library and course — it isn't an arbitrary choice, it's the classical least-squares method (Gauss &amp; Legendre, early 1800s) rediscovered in a deep-learning context.</w:t>
      </w:r>
    </w:p>
    <w:p>
      <w:pPr>
        <w:pStyle w:val="Heading2"/>
        <w:spacing w:after="140" w:before="280"/>
      </w:pPr>
      <w:r>
        <w:t xml:space="preserve">C.2 Mathematical Formula and Notation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r>
              <w:rPr>
                <w:rFonts w:ascii="Consolas" w:cs="Consolas" w:eastAsia="Consolas" w:hAnsi="Consolas"/>
                <w:sz w:val="20"/>
                <w:szCs w:val="20"/>
              </w:rPr>
              <w:t xml:space="preserve">MSE = (1/N) Σᵢ (ŷᵢ − yᵢ)²</w:t>
            </w:r>
          </w:p>
        </w:tc>
      </w:tr>
    </w:tbl>
    <w:p>
      <w:pPr>
        <w:spacing w:after="1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8192"/>
      </w:tblGrid>
      <w:tr>
        <w:trPr>
          <w:tblHeader/>
        </w:trPr>
        <w:tc>
          <w:tcPr>
            <w:tcW w:type="dxa" w:w="2048"/>
            <w:shd w:fill="1F4E79" w:val="clear"/>
            <w:tcMar>
              <w:top w:type="dxa" w:w="80"/>
              <w:left w:type="dxa" w:w="100"/>
              <w:bottom w:type="dxa" w:w="80"/>
              <w:right w:type="dxa" w:w="100"/>
            </w:tcMar>
          </w:tcPr>
          <w:p>
            <w:pPr>
              <w:jc w:val="center"/>
            </w:pPr>
            <w:r>
              <w:rPr>
                <w:b/>
                <w:bCs/>
                <w:color w:val="FFFFFF"/>
                <w:sz w:val="19"/>
                <w:szCs w:val="19"/>
              </w:rPr>
              <w:t xml:space="preserve">Symbol</w:t>
            </w:r>
          </w:p>
        </w:tc>
        <w:tc>
          <w:tcPr>
            <w:tcW w:type="dxa" w:w="8192"/>
            <w:shd w:fill="1F4E79" w:val="clear"/>
            <w:tcMar>
              <w:top w:type="dxa" w:w="80"/>
              <w:left w:type="dxa" w:w="100"/>
              <w:bottom w:type="dxa" w:w="80"/>
              <w:right w:type="dxa" w:w="100"/>
            </w:tcMar>
          </w:tcPr>
          <w:p>
            <w:pPr>
              <w:jc w:val="center"/>
            </w:pPr>
            <w:r>
              <w:rPr>
                <w:b/>
                <w:bCs/>
                <w:color w:val="FFFFFF"/>
                <w:sz w:val="19"/>
                <w:szCs w:val="19"/>
              </w:rPr>
              <w:t xml:space="preserve">Meaning</w:t>
            </w:r>
          </w:p>
        </w:tc>
      </w:tr>
      <w:tr>
        <w:tc>
          <w:tcPr>
            <w:tcW w:type="dxa" w:w="2048"/>
            <w:tcMar>
              <w:top w:type="dxa" w:w="80"/>
              <w:left w:type="dxa" w:w="100"/>
              <w:bottom w:type="dxa" w:w="80"/>
              <w:right w:type="dxa" w:w="100"/>
            </w:tcMar>
          </w:tcPr>
          <w:p>
            <w:r>
              <w:rPr>
                <w:b w:val="false"/>
                <w:bCs w:val="false"/>
                <w:sz w:val="19"/>
                <w:szCs w:val="19"/>
              </w:rPr>
              <w:t xml:space="preserve">y</w:t>
            </w:r>
          </w:p>
        </w:tc>
        <w:tc>
          <w:tcPr>
            <w:tcW w:type="dxa" w:w="8192"/>
            <w:tcMar>
              <w:top w:type="dxa" w:w="80"/>
              <w:left w:type="dxa" w:w="100"/>
              <w:bottom w:type="dxa" w:w="80"/>
              <w:right w:type="dxa" w:w="100"/>
            </w:tcMar>
          </w:tcPr>
          <w:p>
            <w:pPr>
              <w:jc w:val="center"/>
            </w:pPr>
            <w:r>
              <w:rPr>
                <w:b w:val="false"/>
                <w:bCs w:val="false"/>
                <w:sz w:val="19"/>
                <w:szCs w:val="19"/>
              </w:rPr>
              <w:t xml:space="preserve">True SWH</w:t>
            </w:r>
          </w:p>
        </w:tc>
      </w:tr>
      <w:tr>
        <w:tc>
          <w:tcPr>
            <w:tcW w:type="dxa" w:w="2048"/>
            <w:tcMar>
              <w:top w:type="dxa" w:w="80"/>
              <w:left w:type="dxa" w:w="100"/>
              <w:bottom w:type="dxa" w:w="80"/>
              <w:right w:type="dxa" w:w="100"/>
            </w:tcMar>
          </w:tcPr>
          <w:p>
            <w:r>
              <w:rPr>
                <w:b w:val="false"/>
                <w:bCs w:val="false"/>
                <w:sz w:val="19"/>
                <w:szCs w:val="19"/>
              </w:rPr>
              <w:t xml:space="preserve">ŷ</w:t>
            </w:r>
          </w:p>
        </w:tc>
        <w:tc>
          <w:tcPr>
            <w:tcW w:type="dxa" w:w="8192"/>
            <w:tcMar>
              <w:top w:type="dxa" w:w="80"/>
              <w:left w:type="dxa" w:w="100"/>
              <w:bottom w:type="dxa" w:w="80"/>
              <w:right w:type="dxa" w:w="100"/>
            </w:tcMar>
          </w:tcPr>
          <w:p>
            <w:pPr>
              <w:jc w:val="center"/>
            </w:pPr>
            <w:r>
              <w:rPr>
                <w:b w:val="false"/>
                <w:bCs w:val="false"/>
                <w:sz w:val="19"/>
                <w:szCs w:val="19"/>
              </w:rPr>
              <w:t xml:space="preserve">Predicted SWH</w:t>
            </w:r>
          </w:p>
        </w:tc>
      </w:tr>
      <w:tr>
        <w:tc>
          <w:tcPr>
            <w:tcW w:type="dxa" w:w="2048"/>
            <w:tcMar>
              <w:top w:type="dxa" w:w="80"/>
              <w:left w:type="dxa" w:w="100"/>
              <w:bottom w:type="dxa" w:w="80"/>
              <w:right w:type="dxa" w:w="100"/>
            </w:tcMar>
          </w:tcPr>
          <w:p>
            <w:r>
              <w:rPr>
                <w:b w:val="false"/>
                <w:bCs w:val="false"/>
                <w:sz w:val="19"/>
                <w:szCs w:val="19"/>
              </w:rPr>
              <w:t xml:space="preserve">(ŷ−y)²</w:t>
            </w:r>
          </w:p>
        </w:tc>
        <w:tc>
          <w:tcPr>
            <w:tcW w:type="dxa" w:w="8192"/>
            <w:tcMar>
              <w:top w:type="dxa" w:w="80"/>
              <w:left w:type="dxa" w:w="100"/>
              <w:bottom w:type="dxa" w:w="80"/>
              <w:right w:type="dxa" w:w="100"/>
            </w:tcMar>
          </w:tcPr>
          <w:p>
            <w:pPr>
              <w:jc w:val="center"/>
            </w:pPr>
            <w:r>
              <w:rPr>
                <w:b w:val="false"/>
                <w:bCs w:val="false"/>
                <w:sz w:val="19"/>
                <w:szCs w:val="19"/>
              </w:rPr>
              <w:t xml:space="preserve">Squared error — no absolute value, no branching, no guard</w:t>
            </w:r>
          </w:p>
        </w:tc>
      </w:tr>
      <w:tr>
        <w:tc>
          <w:tcPr>
            <w:tcW w:type="dxa" w:w="2048"/>
            <w:tcMar>
              <w:top w:type="dxa" w:w="80"/>
              <w:left w:type="dxa" w:w="100"/>
              <w:bottom w:type="dxa" w:w="80"/>
              <w:right w:type="dxa" w:w="100"/>
            </w:tcMar>
          </w:tcPr>
          <w:p>
            <w:r>
              <w:rPr>
                <w:b w:val="false"/>
                <w:bCs w:val="false"/>
                <w:sz w:val="19"/>
                <w:szCs w:val="19"/>
              </w:rPr>
              <w:t xml:space="preserve">N</w:t>
            </w:r>
          </w:p>
        </w:tc>
        <w:tc>
          <w:tcPr>
            <w:tcW w:type="dxa" w:w="8192"/>
            <w:tcMar>
              <w:top w:type="dxa" w:w="80"/>
              <w:left w:type="dxa" w:w="100"/>
              <w:bottom w:type="dxa" w:w="80"/>
              <w:right w:type="dxa" w:w="100"/>
            </w:tcMar>
          </w:tcPr>
          <w:p>
            <w:pPr>
              <w:jc w:val="center"/>
            </w:pPr>
            <w:r>
              <w:rPr>
                <w:b w:val="false"/>
                <w:bCs w:val="false"/>
                <w:sz w:val="19"/>
                <w:szCs w:val="19"/>
              </w:rPr>
              <w:t xml:space="preserve">Batch size</w:t>
            </w:r>
          </w:p>
        </w:tc>
      </w:tr>
    </w:tbl>
    <w:p>
      <w:pPr>
        <w:spacing w:after="160"/>
        <w:jc w:val="both"/>
      </w:pPr>
      <w:r>
        <w:t xml:space="preserve">Unlike Huber (δ) and MRE (ε), MSE has no extra hyperparameter at all. That simplicity is also its biggest weakness, shown next.</w:t>
      </w:r>
    </w:p>
    <w:p>
      <w:pPr>
        <w:pStyle w:val="Heading2"/>
        <w:spacing w:after="140" w:before="280"/>
      </w:pPr>
      <w:r>
        <w:t xml:space="preserve">C.3 Fully Worked Numerical Example</w:t>
      </w:r>
    </w:p>
    <w:p>
      <w:pPr>
        <w:spacing w:after="160"/>
        <w:jc w:val="both"/>
      </w:pPr>
      <w:r>
        <w:t xml:space="preserve">Same toy network, ŷ = 0.246.</w:t>
      </w:r>
    </w:p>
    <w:p>
      <w:pPr>
        <w:pStyle w:val="Heading3"/>
        <w:spacing w:after="110" w:before="220"/>
      </w:pPr>
      <w:r>
        <w:t xml:space="preserve">Case A — target y = 0.30 m (small residual)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 = 0.246 − 0.300 = -0.054</w:t>
            </w:r>
          </w:p>
          <w:p>
            <w:pPr>
              <w:spacing w:after="60"/>
            </w:pPr>
            <w:r>
              <w:rPr>
                <w:rFonts w:ascii="Consolas" w:cs="Consolas" w:eastAsia="Consolas" w:hAnsi="Consolas"/>
                <w:sz w:val="19"/>
                <w:szCs w:val="19"/>
              </w:rPr>
              <w:t xml:space="preserve">MSE_A = (-0.054)² = 0.002916</w:t>
            </w:r>
          </w:p>
        </w:tc>
      </w:tr>
    </w:tbl>
    <w:p>
      <w:pPr>
        <w:spacing w:after="160"/>
      </w:pPr>
    </w:p>
    <w:p>
      <w:pPr>
        <w:pStyle w:val="Heading3"/>
        <w:spacing w:after="110" w:before="220"/>
      </w:pPr>
      <w:r>
        <w:t xml:space="preserve">Case B — target y = 1.80 m (large residual, the same rare high-SWH case used for Huber)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 = 0.246 − 1.800 = -1.554</w:t>
            </w:r>
          </w:p>
          <w:p>
            <w:pPr>
              <w:spacing w:after="60"/>
            </w:pPr>
            <w:r>
              <w:rPr>
                <w:rFonts w:ascii="Consolas" w:cs="Consolas" w:eastAsia="Consolas" w:hAnsi="Consolas"/>
                <w:sz w:val="19"/>
                <w:szCs w:val="19"/>
              </w:rPr>
              <w:t xml:space="preserve">MSE_B = (-1.554)² = 2.4149</w:t>
            </w:r>
          </w:p>
        </w:tc>
      </w:tr>
    </w:tbl>
    <w:p>
      <w:pPr>
        <w:spacing w:after="160"/>
      </w:pPr>
    </w:p>
    <w:p>
      <w:pPr>
        <w:spacing w:after="160"/>
        <w:jc w:val="both"/>
      </w:pPr>
      <w:r>
        <w:t xml:space="preserve">Direct comparison — this is the whole point of MSE's outlier sensitivity: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2662"/>
        <w:gridCol w:w="2662"/>
        <w:gridCol w:w="2662"/>
      </w:tblGrid>
      <w:tr>
        <w:trPr>
          <w:tblHeader/>
        </w:trPr>
        <w:tc>
          <w:tcPr>
            <w:tcW w:type="dxa" w:w="2253"/>
            <w:shd w:fill="1F4E79" w:val="clear"/>
            <w:tcMar>
              <w:top w:type="dxa" w:w="80"/>
              <w:left w:type="dxa" w:w="100"/>
              <w:bottom w:type="dxa" w:w="80"/>
              <w:right w:type="dxa" w:w="100"/>
            </w:tcMar>
          </w:tcPr>
          <w:p>
            <w:pPr>
              <w:jc w:val="center"/>
            </w:pPr>
            <w:r>
              <w:rPr>
                <w:b/>
                <w:bCs/>
                <w:color w:val="FFFFFF"/>
                <w:sz w:val="19"/>
                <w:szCs w:val="19"/>
              </w:rPr>
              <w:t xml:space="preserve"/>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Residual</w:t>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MSE</w:t>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Huber (δ=0.15)</w:t>
            </w:r>
          </w:p>
        </w:tc>
      </w:tr>
      <w:tr>
        <w:tc>
          <w:tcPr>
            <w:tcW w:type="dxa" w:w="2253"/>
            <w:tcMar>
              <w:top w:type="dxa" w:w="80"/>
              <w:left w:type="dxa" w:w="100"/>
              <w:bottom w:type="dxa" w:w="80"/>
              <w:right w:type="dxa" w:w="100"/>
            </w:tcMar>
          </w:tcPr>
          <w:p>
            <w:r>
              <w:rPr>
                <w:b w:val="false"/>
                <w:bCs w:val="false"/>
                <w:sz w:val="19"/>
                <w:szCs w:val="19"/>
              </w:rPr>
              <w:t xml:space="preserve">Case A</w:t>
            </w:r>
          </w:p>
        </w:tc>
        <w:tc>
          <w:tcPr>
            <w:tcW w:type="dxa" w:w="2662"/>
            <w:tcMar>
              <w:top w:type="dxa" w:w="80"/>
              <w:left w:type="dxa" w:w="100"/>
              <w:bottom w:type="dxa" w:w="80"/>
              <w:right w:type="dxa" w:w="100"/>
            </w:tcMar>
          </w:tcPr>
          <w:p>
            <w:pPr>
              <w:jc w:val="center"/>
            </w:pPr>
            <w:r>
              <w:rPr>
                <w:b w:val="false"/>
                <w:bCs w:val="false"/>
                <w:sz w:val="19"/>
                <w:szCs w:val="19"/>
              </w:rPr>
              <w:t xml:space="preserve">0.054</w:t>
            </w:r>
          </w:p>
        </w:tc>
        <w:tc>
          <w:tcPr>
            <w:tcW w:type="dxa" w:w="2662"/>
            <w:tcMar>
              <w:top w:type="dxa" w:w="80"/>
              <w:left w:type="dxa" w:w="100"/>
              <w:bottom w:type="dxa" w:w="80"/>
              <w:right w:type="dxa" w:w="100"/>
            </w:tcMar>
          </w:tcPr>
          <w:p>
            <w:pPr>
              <w:jc w:val="center"/>
            </w:pPr>
            <w:r>
              <w:rPr>
                <w:b w:val="false"/>
                <w:bCs w:val="false"/>
                <w:sz w:val="19"/>
                <w:szCs w:val="19"/>
              </w:rPr>
              <w:t xml:space="preserve">0.002916</w:t>
            </w:r>
          </w:p>
        </w:tc>
        <w:tc>
          <w:tcPr>
            <w:tcW w:type="dxa" w:w="2662"/>
            <w:tcMar>
              <w:top w:type="dxa" w:w="80"/>
              <w:left w:type="dxa" w:w="100"/>
              <w:bottom w:type="dxa" w:w="80"/>
              <w:right w:type="dxa" w:w="100"/>
            </w:tcMar>
          </w:tcPr>
          <w:p>
            <w:pPr>
              <w:jc w:val="center"/>
            </w:pPr>
            <w:r>
              <w:rPr>
                <w:b w:val="false"/>
                <w:bCs w:val="false"/>
                <w:sz w:val="19"/>
                <w:szCs w:val="19"/>
              </w:rPr>
              <w:t xml:space="preserve">0.00972</w:t>
            </w:r>
          </w:p>
        </w:tc>
      </w:tr>
      <w:tr>
        <w:tc>
          <w:tcPr>
            <w:tcW w:type="dxa" w:w="2253"/>
            <w:tcMar>
              <w:top w:type="dxa" w:w="80"/>
              <w:left w:type="dxa" w:w="100"/>
              <w:bottom w:type="dxa" w:w="80"/>
              <w:right w:type="dxa" w:w="100"/>
            </w:tcMar>
          </w:tcPr>
          <w:p>
            <w:r>
              <w:rPr>
                <w:b w:val="false"/>
                <w:bCs w:val="false"/>
                <w:sz w:val="19"/>
                <w:szCs w:val="19"/>
              </w:rPr>
              <w:t xml:space="preserve">Case B</w:t>
            </w:r>
          </w:p>
        </w:tc>
        <w:tc>
          <w:tcPr>
            <w:tcW w:type="dxa" w:w="2662"/>
            <w:tcMar>
              <w:top w:type="dxa" w:w="80"/>
              <w:left w:type="dxa" w:w="100"/>
              <w:bottom w:type="dxa" w:w="80"/>
              <w:right w:type="dxa" w:w="100"/>
            </w:tcMar>
          </w:tcPr>
          <w:p>
            <w:pPr>
              <w:jc w:val="center"/>
            </w:pPr>
            <w:r>
              <w:rPr>
                <w:b w:val="false"/>
                <w:bCs w:val="false"/>
                <w:sz w:val="19"/>
                <w:szCs w:val="19"/>
              </w:rPr>
              <w:t xml:space="preserve">1.554</w:t>
            </w:r>
          </w:p>
        </w:tc>
        <w:tc>
          <w:tcPr>
            <w:tcW w:type="dxa" w:w="2662"/>
            <w:tcMar>
              <w:top w:type="dxa" w:w="80"/>
              <w:left w:type="dxa" w:w="100"/>
              <w:bottom w:type="dxa" w:w="80"/>
              <w:right w:type="dxa" w:w="100"/>
            </w:tcMar>
          </w:tcPr>
          <w:p>
            <w:pPr>
              <w:jc w:val="center"/>
            </w:pPr>
            <w:r>
              <w:rPr>
                <w:b w:val="false"/>
                <w:bCs w:val="false"/>
                <w:sz w:val="19"/>
                <w:szCs w:val="19"/>
              </w:rPr>
              <w:t xml:space="preserve">2.4149</w:t>
            </w:r>
          </w:p>
        </w:tc>
        <w:tc>
          <w:tcPr>
            <w:tcW w:type="dxa" w:w="2662"/>
            <w:tcMar>
              <w:top w:type="dxa" w:w="80"/>
              <w:left w:type="dxa" w:w="100"/>
              <w:bottom w:type="dxa" w:w="80"/>
              <w:right w:type="dxa" w:w="100"/>
            </w:tcMar>
          </w:tcPr>
          <w:p>
            <w:pPr>
              <w:jc w:val="center"/>
            </w:pPr>
            <w:r>
              <w:rPr>
                <w:b w:val="false"/>
                <w:bCs w:val="false"/>
                <w:sz w:val="19"/>
                <w:szCs w:val="19"/>
              </w:rPr>
              <w:t xml:space="preserve">1.479</w:t>
            </w:r>
          </w:p>
        </w:tc>
      </w:tr>
      <w:tr>
        <w:tc>
          <w:tcPr>
            <w:tcW w:type="dxa" w:w="2253"/>
            <w:tcMar>
              <w:top w:type="dxa" w:w="80"/>
              <w:left w:type="dxa" w:w="100"/>
              <w:bottom w:type="dxa" w:w="80"/>
              <w:right w:type="dxa" w:w="100"/>
            </w:tcMar>
          </w:tcPr>
          <w:p>
            <w:r>
              <w:rPr>
                <w:b w:val="false"/>
                <w:bCs w:val="false"/>
                <w:sz w:val="19"/>
                <w:szCs w:val="19"/>
              </w:rPr>
              <w:t xml:space="preserve">Ratio (B/A)</w:t>
            </w:r>
          </w:p>
        </w:tc>
        <w:tc>
          <w:tcPr>
            <w:tcW w:type="dxa" w:w="2662"/>
            <w:tcMar>
              <w:top w:type="dxa" w:w="80"/>
              <w:left w:type="dxa" w:w="100"/>
              <w:bottom w:type="dxa" w:w="80"/>
              <w:right w:type="dxa" w:w="100"/>
            </w:tcMar>
          </w:tcPr>
          <w:p>
            <w:pPr>
              <w:jc w:val="center"/>
            </w:pPr>
            <w:r>
              <w:rPr>
                <w:b w:val="false"/>
                <w:bCs w:val="false"/>
                <w:sz w:val="19"/>
                <w:szCs w:val="19"/>
              </w:rPr>
              <w:t xml:space="preserve">28.8×</w:t>
            </w:r>
          </w:p>
        </w:tc>
        <w:tc>
          <w:tcPr>
            <w:tcW w:type="dxa" w:w="2662"/>
            <w:tcMar>
              <w:top w:type="dxa" w:w="80"/>
              <w:left w:type="dxa" w:w="100"/>
              <w:bottom w:type="dxa" w:w="80"/>
              <w:right w:type="dxa" w:w="100"/>
            </w:tcMar>
          </w:tcPr>
          <w:p>
            <w:pPr>
              <w:jc w:val="center"/>
            </w:pPr>
            <w:r>
              <w:rPr>
                <w:b w:val="false"/>
                <w:bCs w:val="false"/>
                <w:sz w:val="19"/>
                <w:szCs w:val="19"/>
              </w:rPr>
              <w:t xml:space="preserve">828×</w:t>
            </w:r>
          </w:p>
        </w:tc>
        <w:tc>
          <w:tcPr>
            <w:tcW w:type="dxa" w:w="2662"/>
            <w:tcMar>
              <w:top w:type="dxa" w:w="80"/>
              <w:left w:type="dxa" w:w="100"/>
              <w:bottom w:type="dxa" w:w="80"/>
              <w:right w:type="dxa" w:w="100"/>
            </w:tcMar>
          </w:tcPr>
          <w:p>
            <w:pPr>
              <w:jc w:val="center"/>
            </w:pPr>
            <w:r>
              <w:rPr>
                <w:b w:val="false"/>
                <w:bCs w:val="false"/>
                <w:sz w:val="19"/>
                <w:szCs w:val="19"/>
              </w:rPr>
              <w:t xml:space="preserve">152×</w:t>
            </w:r>
          </w:p>
        </w:tc>
      </w:tr>
    </w:tbl>
    <w:p>
      <w:pPr>
        <w:spacing w:after="160"/>
        <w:jc w:val="both"/>
      </w:pPr>
      <w:r>
        <w:t xml:space="preserve">The residual only grew 28.8×, but MSE's loss grew 828× (squaring amplifies the ratio itself: 28.8² ≈ 829). Huber grew far less (152×) because its linear branch caps large-residual growth. This is MSE's classic "outlier sensitivity" problem — one rare, possibly noisy sample can dominate an entire batch's gradient.</w:t>
      </w:r>
    </w:p>
    <w:p>
      <w:pPr>
        <w:pStyle w:val="Heading2"/>
        <w:spacing w:after="140" w:before="280"/>
      </w:pPr>
      <w:r>
        <w:t xml:space="preserve">C.4 Backward Pass — Gradient (hand-derived, verified against PyTorch autograd)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∂L/∂ŷ = 2(ŷ−y)</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Case A: ∂L/∂ŷ = 2×(0.246−0.300) = 2×(-0.054) = -0.108</w:t>
            </w:r>
          </w:p>
        </w:tc>
      </w:tr>
    </w:tbl>
    <w:p>
      <w:pPr>
        <w:spacing w:after="160"/>
      </w:pPr>
    </w:p>
    <w:p>
      <w:pPr>
        <w:spacing w:after="160"/>
        <w:jc w:val="both"/>
      </w:pPr>
      <w:r>
        <w:t xml:space="preserve">The gradient-magnitude formula is the key structural difference across all three losses — the single most important unifying takeaway of this whole document: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3482"/>
        <w:gridCol w:w="5120"/>
      </w:tblGrid>
      <w:tr>
        <w:trPr>
          <w:tblHeader/>
        </w:trPr>
        <w:tc>
          <w:tcPr>
            <w:tcW w:type="dxa" w:w="1638"/>
            <w:shd w:fill="1F4E79" w:val="clear"/>
            <w:tcMar>
              <w:top w:type="dxa" w:w="80"/>
              <w:left w:type="dxa" w:w="100"/>
              <w:bottom w:type="dxa" w:w="80"/>
              <w:right w:type="dxa" w:w="100"/>
            </w:tcMar>
          </w:tcPr>
          <w:p>
            <w:pPr>
              <w:jc w:val="center"/>
            </w:pPr>
            <w:r>
              <w:rPr>
                <w:b/>
                <w:bCs/>
                <w:color w:val="FFFFFF"/>
                <w:sz w:val="19"/>
                <w:szCs w:val="19"/>
              </w:rPr>
              <w:t xml:space="preserve">Loss</w:t>
            </w:r>
          </w:p>
        </w:tc>
        <w:tc>
          <w:tcPr>
            <w:tcW w:type="dxa" w:w="3482"/>
            <w:shd w:fill="1F4E79" w:val="clear"/>
            <w:tcMar>
              <w:top w:type="dxa" w:w="80"/>
              <w:left w:type="dxa" w:w="100"/>
              <w:bottom w:type="dxa" w:w="80"/>
              <w:right w:type="dxa" w:w="100"/>
            </w:tcMar>
          </w:tcPr>
          <w:p>
            <w:pPr>
              <w:jc w:val="center"/>
            </w:pPr>
            <w:r>
              <w:rPr>
                <w:b/>
                <w:bCs/>
                <w:color w:val="FFFFFF"/>
                <w:sz w:val="19"/>
                <w:szCs w:val="19"/>
              </w:rPr>
              <w:t xml:space="preserve">Gradient magnitude</w:t>
            </w:r>
          </w:p>
        </w:tc>
        <w:tc>
          <w:tcPr>
            <w:tcW w:type="dxa" w:w="5120"/>
            <w:shd w:fill="1F4E79" w:val="clear"/>
            <w:tcMar>
              <w:top w:type="dxa" w:w="80"/>
              <w:left w:type="dxa" w:w="100"/>
              <w:bottom w:type="dxa" w:w="80"/>
              <w:right w:type="dxa" w:w="100"/>
            </w:tcMar>
          </w:tcPr>
          <w:p>
            <w:pPr>
              <w:jc w:val="center"/>
            </w:pPr>
            <w:r>
              <w:rPr>
                <w:b/>
                <w:bCs/>
                <w:color w:val="FFFFFF"/>
                <w:sz w:val="19"/>
                <w:szCs w:val="19"/>
              </w:rPr>
              <w:t xml:space="preserve">Behavior as residual grows</w:t>
            </w:r>
          </w:p>
        </w:tc>
      </w:tr>
      <w:tr>
        <w:tc>
          <w:tcPr>
            <w:tcW w:type="dxa" w:w="1638"/>
            <w:tcMar>
              <w:top w:type="dxa" w:w="80"/>
              <w:left w:type="dxa" w:w="100"/>
              <w:bottom w:type="dxa" w:w="80"/>
              <w:right w:type="dxa" w:w="100"/>
            </w:tcMar>
          </w:tcPr>
          <w:p>
            <w:r>
              <w:rPr>
                <w:b w:val="false"/>
                <w:bCs w:val="false"/>
                <w:sz w:val="19"/>
                <w:szCs w:val="19"/>
              </w:rPr>
              <w:t xml:space="preserve">MSE</w:t>
            </w:r>
          </w:p>
        </w:tc>
        <w:tc>
          <w:tcPr>
            <w:tcW w:type="dxa" w:w="3482"/>
            <w:tcMar>
              <w:top w:type="dxa" w:w="80"/>
              <w:left w:type="dxa" w:w="100"/>
              <w:bottom w:type="dxa" w:w="80"/>
              <w:right w:type="dxa" w:w="100"/>
            </w:tcMar>
          </w:tcPr>
          <w:p>
            <w:pPr>
              <w:jc w:val="center"/>
            </w:pPr>
            <w:r>
              <w:rPr>
                <w:b w:val="false"/>
                <w:bCs w:val="false"/>
                <w:sz w:val="19"/>
                <w:szCs w:val="19"/>
              </w:rPr>
              <w:t xml:space="preserve">2 × residual</w:t>
            </w:r>
          </w:p>
        </w:tc>
        <w:tc>
          <w:tcPr>
            <w:tcW w:type="dxa" w:w="5120"/>
            <w:tcMar>
              <w:top w:type="dxa" w:w="80"/>
              <w:left w:type="dxa" w:w="100"/>
              <w:bottom w:type="dxa" w:w="80"/>
              <w:right w:type="dxa" w:w="100"/>
            </w:tcMar>
          </w:tcPr>
          <w:p>
            <w:pPr>
              <w:jc w:val="center"/>
            </w:pPr>
            <w:r>
              <w:rPr>
                <w:b w:val="false"/>
                <w:bCs w:val="false"/>
                <w:sz w:val="19"/>
                <w:szCs w:val="19"/>
              </w:rPr>
              <w:t xml:space="preserve">Unbounded — grows linearly with the residual, forever</w:t>
            </w:r>
          </w:p>
        </w:tc>
      </w:tr>
      <w:tr>
        <w:tc>
          <w:tcPr>
            <w:tcW w:type="dxa" w:w="1638"/>
            <w:tcMar>
              <w:top w:type="dxa" w:w="80"/>
              <w:left w:type="dxa" w:w="100"/>
              <w:bottom w:type="dxa" w:w="80"/>
              <w:right w:type="dxa" w:w="100"/>
            </w:tcMar>
          </w:tcPr>
          <w:p>
            <w:r>
              <w:rPr>
                <w:b w:val="false"/>
                <w:bCs w:val="false"/>
                <w:sz w:val="19"/>
                <w:szCs w:val="19"/>
              </w:rPr>
              <w:t xml:space="preserve">Huber</w:t>
            </w:r>
          </w:p>
        </w:tc>
        <w:tc>
          <w:tcPr>
            <w:tcW w:type="dxa" w:w="3482"/>
            <w:tcMar>
              <w:top w:type="dxa" w:w="80"/>
              <w:left w:type="dxa" w:w="100"/>
              <w:bottom w:type="dxa" w:w="80"/>
              <w:right w:type="dxa" w:w="100"/>
            </w:tcMar>
          </w:tcPr>
          <w:p>
            <w:pPr>
              <w:jc w:val="center"/>
            </w:pPr>
            <w:r>
              <w:rPr>
                <w:b w:val="false"/>
                <w:bCs w:val="false"/>
                <w:sz w:val="19"/>
                <w:szCs w:val="19"/>
              </w:rPr>
              <w:t xml:space="preserve">residual/δ (small) or fixed ±1 (large)</w:t>
            </w:r>
          </w:p>
        </w:tc>
        <w:tc>
          <w:tcPr>
            <w:tcW w:type="dxa" w:w="5120"/>
            <w:tcMar>
              <w:top w:type="dxa" w:w="80"/>
              <w:left w:type="dxa" w:w="100"/>
              <w:bottom w:type="dxa" w:w="80"/>
              <w:right w:type="dxa" w:w="100"/>
            </w:tcMar>
          </w:tcPr>
          <w:p>
            <w:pPr>
              <w:jc w:val="center"/>
            </w:pPr>
            <w:r>
              <w:rPr>
                <w:b w:val="false"/>
                <w:bCs w:val="false"/>
                <w:sz w:val="19"/>
                <w:szCs w:val="19"/>
              </w:rPr>
              <w:t xml:space="preserve">Bounded — caps out beyond δ</w:t>
            </w:r>
          </w:p>
        </w:tc>
      </w:tr>
      <w:tr>
        <w:tc>
          <w:tcPr>
            <w:tcW w:type="dxa" w:w="1638"/>
            <w:tcMar>
              <w:top w:type="dxa" w:w="80"/>
              <w:left w:type="dxa" w:w="100"/>
              <w:bottom w:type="dxa" w:w="80"/>
              <w:right w:type="dxa" w:w="100"/>
            </w:tcMar>
          </w:tcPr>
          <w:p>
            <w:r>
              <w:rPr>
                <w:b w:val="false"/>
                <w:bCs w:val="false"/>
                <w:sz w:val="19"/>
                <w:szCs w:val="19"/>
              </w:rPr>
              <w:t xml:space="preserve">MRE</w:t>
            </w:r>
          </w:p>
        </w:tc>
        <w:tc>
          <w:tcPr>
            <w:tcW w:type="dxa" w:w="3482"/>
            <w:tcMar>
              <w:top w:type="dxa" w:w="80"/>
              <w:left w:type="dxa" w:w="100"/>
              <w:bottom w:type="dxa" w:w="80"/>
              <w:right w:type="dxa" w:w="100"/>
            </w:tcMar>
          </w:tcPr>
          <w:p>
            <w:pPr>
              <w:jc w:val="center"/>
            </w:pPr>
            <w:r>
              <w:rPr>
                <w:b w:val="false"/>
                <w:bCs w:val="false"/>
                <w:sz w:val="19"/>
                <w:szCs w:val="19"/>
              </w:rPr>
              <w:t xml:space="preserve">1 / (|target|+ε)</w:t>
            </w:r>
          </w:p>
        </w:tc>
        <w:tc>
          <w:tcPr>
            <w:tcW w:type="dxa" w:w="5120"/>
            <w:tcMar>
              <w:top w:type="dxa" w:w="80"/>
              <w:left w:type="dxa" w:w="100"/>
              <w:bottom w:type="dxa" w:w="80"/>
              <w:right w:type="dxa" w:w="100"/>
            </w:tcMar>
          </w:tcPr>
          <w:p>
            <w:pPr>
              <w:jc w:val="center"/>
            </w:pPr>
            <w:r>
              <w:rPr>
                <w:b w:val="false"/>
                <w:bCs w:val="false"/>
                <w:sz w:val="19"/>
                <w:szCs w:val="19"/>
              </w:rPr>
              <w:t xml:space="preserve">Residual-independent — depends only on the target's size</w:t>
            </w:r>
          </w:p>
        </w:tc>
      </w:tr>
    </w:tbl>
    <w:p>
      <w:pPr>
        <w:pStyle w:val="Heading3"/>
        <w:spacing w:after="110" w:before="220"/>
      </w:pPr>
      <w:r>
        <w:t xml:space="preserve">Full backward pass, Case A, and weight update (lr = 0.05)</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∂L/∂W2 = -0.108×[0.115,0.045] = [-0.01242, -0.00486]     ∂L/∂b2 = -0.108</w:t>
            </w:r>
          </w:p>
          <w:p>
            <w:pPr>
              <w:spacing w:after="60"/>
            </w:pPr>
            <w:r>
              <w:rPr>
                <w:rFonts w:ascii="Consolas" w:cs="Consolas" w:eastAsia="Consolas" w:hAnsi="Consolas"/>
                <w:sz w:val="19"/>
                <w:szCs w:val="19"/>
              </w:rPr>
              <w:t xml:space="preserve">∂L/∂h  = -0.108×[0.8,1.2] = [-0.0864, -0.1296]</w:t>
            </w:r>
          </w:p>
          <w:p>
            <w:pPr>
              <w:spacing w:after="60"/>
            </w:pPr>
            <w:r>
              <w:rPr>
                <w:rFonts w:ascii="Consolas" w:cs="Consolas" w:eastAsia="Consolas" w:hAnsi="Consolas"/>
                <w:sz w:val="19"/>
                <w:szCs w:val="19"/>
              </w:rPr>
              <w:t xml:space="preserve">ReLU active both sides -&gt; unchanged</w:t>
            </w:r>
          </w:p>
          <w:p>
            <w:pPr>
              <w:spacing w:after="60"/>
            </w:pPr>
            <w:r>
              <w:rPr>
                <w:rFonts w:ascii="Consolas" w:cs="Consolas" w:eastAsia="Consolas" w:hAnsi="Consolas"/>
                <w:sz w:val="19"/>
                <w:szCs w:val="19"/>
              </w:rPr>
              <w:t xml:space="preserve">∂L/∂W1 = [[-0.05184,-0.01728,-0.07776],[-0.07776,-0.02592,-0.11664]]   ∂L/∂b1 = [-0.0864,-0.1296]</w:t>
            </w:r>
          </w:p>
          <w:p>
            <w:pPr>
              <w:spacing w:after="60"/>
            </w:pPr>
            <w:r>
              <w:rPr>
                <w:rFonts w:ascii="Consolas" w:cs="Consolas" w:eastAsia="Consolas" w:hAnsi="Consolas"/>
                <w:sz w:val="19"/>
                <w:szCs w:val="19"/>
              </w:rPr>
              <w:t xml:space="preserve">  [all gradients VERIFIED against PyTorch autograd -- exact match]</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After one SGD step (lr=0.05):</w:t>
            </w:r>
          </w:p>
          <w:p>
            <w:pPr>
              <w:spacing w:after="60"/>
            </w:pPr>
            <w:r>
              <w:rPr>
                <w:rFonts w:ascii="Consolas" w:cs="Consolas" w:eastAsia="Consolas" w:hAnsi="Consolas"/>
                <w:sz w:val="19"/>
                <w:szCs w:val="19"/>
              </w:rPr>
              <w:t xml:space="preserve">  ŷ_new = 0.2763   (was 0.246, target=0.300)</w:t>
            </w:r>
          </w:p>
          <w:p>
            <w:pPr>
              <w:spacing w:after="60"/>
            </w:pPr>
            <w:r>
              <w:rPr>
                <w:rFonts w:ascii="Consolas" w:cs="Consolas" w:eastAsia="Consolas" w:hAnsi="Consolas"/>
                <w:sz w:val="19"/>
                <w:szCs w:val="19"/>
              </w:rPr>
              <w:t xml:space="preserve">  L_new = (0.2763-0.300)² ≈ 0.000561   (was 0.002916  -&gt; loss dropped ~81% in ONE step)</w:t>
            </w:r>
          </w:p>
          <w:p>
            <w:pPr>
              <w:spacing w:after="60"/>
            </w:pPr>
            <w:r>
              <w:rPr>
                <w:rFonts w:ascii="Consolas" w:cs="Consolas" w:eastAsia="Consolas" w:hAnsi="Consolas"/>
                <w:sz w:val="19"/>
                <w:szCs w:val="19"/>
              </w:rPr>
              <w:t xml:space="preserve">  [VERIFIED end-to-end by re-running the forward pass with updated weights in real PyTorch code]</w:t>
            </w:r>
          </w:p>
        </w:tc>
      </w:tr>
    </w:tbl>
    <w:p>
      <w:pPr>
        <w:spacing w:after="160"/>
      </w:pPr>
    </w:p>
    <w:p>
      <w:pPr>
        <w:pStyle w:val="Heading2"/>
        <w:spacing w:after="140" w:before="280"/>
      </w:pPr>
      <w:r>
        <w:t xml:space="preserve">C.5 Code Connection — the One Loss With No Custom File</w:t>
      </w:r>
    </w:p>
    <w:p>
      <w:pPr>
        <w:spacing w:after="160"/>
        <w:jc w:val="both"/>
      </w:pPr>
      <w:r>
        <w:t xml:space="preserve">Huber and MRE both needed a custom src/*.py file (extra hyperparameters: δ, ε). MSE needs none of that — it's literally PyTorch's built-in loss: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 main.py, mse_only experiment folder</w:t>
            </w:r>
          </w:p>
          <w:p>
            <w:pPr>
              <w:spacing w:after="60"/>
            </w:pPr>
            <w:r>
              <w:rPr>
                <w:rFonts w:ascii="Consolas" w:cs="Consolas" w:eastAsia="Consolas" w:hAnsi="Consolas"/>
                <w:sz w:val="19"/>
                <w:szCs w:val="19"/>
              </w:rPr>
              <w:t xml:space="preserve">def build_criterion():</w:t>
            </w:r>
          </w:p>
          <w:p>
            <w:pPr>
              <w:spacing w:after="60"/>
            </w:pPr>
            <w:r>
              <w:rPr>
                <w:rFonts w:ascii="Consolas" w:cs="Consolas" w:eastAsia="Consolas" w:hAnsi="Consolas"/>
                <w:sz w:val="19"/>
                <w:szCs w:val="19"/>
              </w:rPr>
              <w:t xml:space="preserve">    return nn.MSELoss()   # PyTorch built-in -- no custom code needed</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Verified directly: nn.MSELoss()(pred=0.246, target=0.30) = 0.0029160...</w:t>
            </w:r>
          </w:p>
          <w:p>
            <w:pPr>
              <w:spacing w:after="60"/>
            </w:pPr>
            <w:r>
              <w:rPr>
                <w:rFonts w:ascii="Consolas" w:cs="Consolas" w:eastAsia="Consolas" w:hAnsi="Consolas"/>
                <w:sz w:val="19"/>
                <w:szCs w:val="19"/>
              </w:rPr>
              <w:t xml:space="preserve"># matches the C.3 hand calculation exactly.</w:t>
            </w:r>
          </w:p>
        </w:tc>
      </w:tr>
    </w:tbl>
    <w:p>
      <w:pPr>
        <w:spacing w:after="160"/>
      </w:pPr>
    </w:p>
    <w:p>
      <w:pPr>
        <w:pStyle w:val="Heading2"/>
        <w:spacing w:after="140" w:before="280"/>
      </w:pPr>
      <w:r>
        <w:t xml:space="preserve">C.6 Real-World Applications</w:t>
      </w:r>
    </w:p>
    <w:p>
      <w:pPr>
        <w:pStyle w:val="ListParagraph"/>
        <w:numPr>
          <w:ilvl w:val="0"/>
          <w:numId w:val="3"/>
        </w:numPr>
        <w:spacing w:after="90"/>
      </w:pPr>
      <w:r>
        <w:t xml:space="preserve">The default starting point for essentially any regression problem.</w:t>
      </w:r>
    </w:p>
    <w:p>
      <w:pPr>
        <w:pStyle w:val="ListParagraph"/>
        <w:numPr>
          <w:ilvl w:val="0"/>
          <w:numId w:val="3"/>
        </w:numPr>
        <w:spacing w:after="90"/>
      </w:pPr>
      <w:r>
        <w:t xml:space="preserve">Linear regression / Ordinary Least Squares (OLS) — the classical statistical foundation, in use since the early 1800s.</w:t>
      </w:r>
    </w:p>
    <w:p>
      <w:pPr>
        <w:pStyle w:val="ListParagraph"/>
        <w:numPr>
          <w:ilvl w:val="0"/>
          <w:numId w:val="3"/>
        </w:numPr>
        <w:spacing w:after="90"/>
      </w:pPr>
      <w:r>
        <w:t xml:space="preserve">Autoencoders and image reconstruction — the most common pixel-level reconstruction loss.</w:t>
      </w:r>
    </w:p>
    <w:p>
      <w:pPr>
        <w:pStyle w:val="ListParagraph"/>
        <w:numPr>
          <w:ilvl w:val="0"/>
          <w:numId w:val="3"/>
        </w:numPr>
        <w:spacing w:after="90"/>
      </w:pPr>
      <w:r>
        <w:t xml:space="preserve">Kalman filtering, control systems, sensor fusion — the theoretical basis of optimal (least-squares) estimation, directly relevant to robotics/autonomous-vehicle state estimation.</w:t>
      </w:r>
    </w:p>
    <w:p>
      <w:pPr>
        <w:pStyle w:val="ListParagraph"/>
        <w:numPr>
          <w:ilvl w:val="0"/>
          <w:numId w:val="3"/>
        </w:numPr>
        <w:spacing w:after="90"/>
      </w:pPr>
      <w:r>
        <w:t xml:space="preserve">Generative models — the reconstruction term in VAEs, and variants used in some GAN formulations.</w:t>
      </w:r>
    </w:p>
    <w:p>
      <w:pPr>
        <w:pStyle w:val="Heading2"/>
        <w:spacing w:after="140" w:before="280"/>
      </w:pPr>
      <w:r>
        <w:t xml:space="preserve">C.7 References</w:t>
      </w:r>
    </w:p>
    <w:p>
      <w:pPr>
        <w:pStyle w:val="ListParagraph"/>
        <w:numPr>
          <w:ilvl w:val="0"/>
          <w:numId w:val="3"/>
        </w:numPr>
        <w:spacing w:after="90"/>
      </w:pPr>
      <w:r>
        <w:t xml:space="preserve">Legendre, A. M. (1805) and Gauss, C. F. (1809) — the original least-squares method, MSE's historical foundation.</w:t>
      </w:r>
    </w:p>
    <w:p>
      <w:pPr>
        <w:pStyle w:val="ListParagraph"/>
        <w:numPr>
          <w:ilvl w:val="0"/>
          <w:numId w:val="3"/>
        </w:numPr>
        <w:spacing w:after="90"/>
      </w:pPr>
      <w:r>
        <w:t xml:space="preserve">Bishop, C. M. (2006). Pattern Recognition and Machine Learning. Springer — Chapter 3 formally derives the MSE ↔ Gaussian-noise Maximum Likelihood equivalence.</w:t>
      </w:r>
    </w:p>
    <w:p>
      <w:pPr>
        <w:pStyle w:val="ListParagraph"/>
        <w:numPr>
          <w:ilvl w:val="0"/>
          <w:numId w:val="3"/>
        </w:numPr>
        <w:spacing w:after="90"/>
      </w:pPr>
      <w:r>
        <w:t xml:space="preserve">Goodfellow, I., Bengio, Y., &amp; Courville, A. (2016). Deep Learning. MIT Press.</w:t>
      </w:r>
    </w:p>
    <w:p>
      <w:pPr>
        <w:pStyle w:val="Heading2"/>
        <w:spacing w:after="140" w:before="280"/>
      </w:pPr>
      <w:r>
        <w:t xml:space="preserve">C.8 Career Relevance and Likely Interview Questions</w:t>
      </w:r>
    </w:p>
    <w:p>
      <w:pPr>
        <w:pStyle w:val="ListParagraph"/>
        <w:numPr>
          <w:ilvl w:val="0"/>
          <w:numId w:val="3"/>
        </w:numPr>
        <w:spacing w:after="90"/>
      </w:pPr>
      <w:r>
        <w:t xml:space="preserve">Why is MSE sensitive to outliers? Show it mathematically.</w:t>
      </w:r>
    </w:p>
    <w:p>
      <w:pPr>
        <w:pStyle w:val="ListParagraph"/>
        <w:numPr>
          <w:ilvl w:val="0"/>
          <w:numId w:val="3"/>
        </w:numPr>
        <w:spacing w:after="90"/>
      </w:pPr>
      <w:r>
        <w:t xml:space="preserve">Under what statistical assumption is minimizing MSE provably optimal (Maximum Likelihood)?</w:t>
      </w:r>
    </w:p>
    <w:p>
      <w:pPr>
        <w:pStyle w:val="ListParagraph"/>
        <w:numPr>
          <w:ilvl w:val="0"/>
          <w:numId w:val="3"/>
        </w:numPr>
        <w:spacing w:after="90"/>
      </w:pPr>
      <w:r>
        <w:t xml:space="preserve">Compare the gradient behavior of MSE, Huber, and MAE as the residual grows.</w:t>
      </w:r>
    </w:p>
    <w:p>
      <w:pPr>
        <w:pStyle w:val="ListParagraph"/>
        <w:numPr>
          <w:ilvl w:val="0"/>
          <w:numId w:val="3"/>
        </w:numPr>
        <w:spacing w:after="90"/>
      </w:pPr>
      <w:r>
        <w:t xml:space="preserve">If your data is noisy or imbalanced, what would you use instead of MSE, and why? (This is exactly the arc of this entire document — MSE → Huber → MRE → imbalance mechanisms.)</w:t>
      </w:r>
    </w:p>
    <w:p>
      <w:r>
        <w:br w:type="page"/>
      </w:r>
    </w:p>
    <w:p>
      <w:pPr>
        <w:pStyle w:val="Heading1"/>
        <w:spacing w:after="180" w:before="400"/>
      </w:pPr>
      <w:r>
        <w:t xml:space="preserve">D. Cross-Comparison Summary (All Three Losses)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2662"/>
        <w:gridCol w:w="2662"/>
        <w:gridCol w:w="2662"/>
      </w:tblGrid>
      <w:tr>
        <w:trPr>
          <w:tblHeader/>
        </w:trPr>
        <w:tc>
          <w:tcPr>
            <w:tcW w:type="dxa" w:w="2253"/>
            <w:shd w:fill="1F4E79" w:val="clear"/>
            <w:tcMar>
              <w:top w:type="dxa" w:w="80"/>
              <w:left w:type="dxa" w:w="100"/>
              <w:bottom w:type="dxa" w:w="80"/>
              <w:right w:type="dxa" w:w="100"/>
            </w:tcMar>
          </w:tcPr>
          <w:p>
            <w:pPr>
              <w:jc w:val="center"/>
            </w:pPr>
            <w:r>
              <w:rPr>
                <w:b/>
                <w:bCs/>
                <w:color w:val="FFFFFF"/>
                <w:sz w:val="19"/>
                <w:szCs w:val="19"/>
              </w:rPr>
              <w:t xml:space="preserve"/>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MSE</w:t>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Huber (δ=0.15)</w:t>
            </w:r>
          </w:p>
        </w:tc>
        <w:tc>
          <w:tcPr>
            <w:tcW w:type="dxa" w:w="2662"/>
            <w:shd w:fill="1F4E79" w:val="clear"/>
            <w:tcMar>
              <w:top w:type="dxa" w:w="80"/>
              <w:left w:type="dxa" w:w="100"/>
              <w:bottom w:type="dxa" w:w="80"/>
              <w:right w:type="dxa" w:w="100"/>
            </w:tcMar>
          </w:tcPr>
          <w:p>
            <w:pPr>
              <w:jc w:val="center"/>
            </w:pPr>
            <w:r>
              <w:rPr>
                <w:b/>
                <w:bCs/>
                <w:color w:val="FFFFFF"/>
                <w:sz w:val="19"/>
                <w:szCs w:val="19"/>
              </w:rPr>
              <w:t xml:space="preserve">MRE (ε=0.001)</w:t>
            </w:r>
          </w:p>
        </w:tc>
      </w:tr>
      <w:tr>
        <w:tc>
          <w:tcPr>
            <w:tcW w:type="dxa" w:w="2253"/>
            <w:tcMar>
              <w:top w:type="dxa" w:w="80"/>
              <w:left w:type="dxa" w:w="100"/>
              <w:bottom w:type="dxa" w:w="80"/>
              <w:right w:type="dxa" w:w="100"/>
            </w:tcMar>
          </w:tcPr>
          <w:p>
            <w:r>
              <w:rPr>
                <w:b w:val="false"/>
                <w:bCs w:val="false"/>
                <w:sz w:val="19"/>
                <w:szCs w:val="19"/>
              </w:rPr>
              <w:t xml:space="preserve">What it measures</w:t>
            </w:r>
          </w:p>
        </w:tc>
        <w:tc>
          <w:tcPr>
            <w:tcW w:type="dxa" w:w="2662"/>
            <w:tcMar>
              <w:top w:type="dxa" w:w="80"/>
              <w:left w:type="dxa" w:w="100"/>
              <w:bottom w:type="dxa" w:w="80"/>
              <w:right w:type="dxa" w:w="100"/>
            </w:tcMar>
          </w:tcPr>
          <w:p>
            <w:pPr>
              <w:jc w:val="center"/>
            </w:pPr>
            <w:r>
              <w:rPr>
                <w:b w:val="false"/>
                <w:bCs w:val="false"/>
                <w:sz w:val="19"/>
                <w:szCs w:val="19"/>
              </w:rPr>
              <w:t xml:space="preserve">Squared error</w:t>
            </w:r>
          </w:p>
        </w:tc>
        <w:tc>
          <w:tcPr>
            <w:tcW w:type="dxa" w:w="2662"/>
            <w:tcMar>
              <w:top w:type="dxa" w:w="80"/>
              <w:left w:type="dxa" w:w="100"/>
              <w:bottom w:type="dxa" w:w="80"/>
              <w:right w:type="dxa" w:w="100"/>
            </w:tcMar>
          </w:tcPr>
          <w:p>
            <w:pPr>
              <w:jc w:val="center"/>
            </w:pPr>
            <w:r>
              <w:rPr>
                <w:b w:val="false"/>
                <w:bCs w:val="false"/>
                <w:sz w:val="19"/>
                <w:szCs w:val="19"/>
              </w:rPr>
              <w:t xml:space="preserve">Absolute error, bounded</w:t>
            </w:r>
          </w:p>
        </w:tc>
        <w:tc>
          <w:tcPr>
            <w:tcW w:type="dxa" w:w="2662"/>
            <w:tcMar>
              <w:top w:type="dxa" w:w="80"/>
              <w:left w:type="dxa" w:w="100"/>
              <w:bottom w:type="dxa" w:w="80"/>
              <w:right w:type="dxa" w:w="100"/>
            </w:tcMar>
          </w:tcPr>
          <w:p>
            <w:pPr>
              <w:jc w:val="center"/>
            </w:pPr>
            <w:r>
              <w:rPr>
                <w:b w:val="false"/>
                <w:bCs w:val="false"/>
                <w:sz w:val="19"/>
                <w:szCs w:val="19"/>
              </w:rPr>
              <w:t xml:space="preserve">Relative (%) error</w:t>
            </w:r>
          </w:p>
        </w:tc>
      </w:tr>
      <w:tr>
        <w:tc>
          <w:tcPr>
            <w:tcW w:type="dxa" w:w="2253"/>
            <w:tcMar>
              <w:top w:type="dxa" w:w="80"/>
              <w:left w:type="dxa" w:w="100"/>
              <w:bottom w:type="dxa" w:w="80"/>
              <w:right w:type="dxa" w:w="100"/>
            </w:tcMar>
          </w:tcPr>
          <w:p>
            <w:r>
              <w:rPr>
                <w:b w:val="false"/>
                <w:bCs w:val="false"/>
                <w:sz w:val="19"/>
                <w:szCs w:val="19"/>
              </w:rPr>
              <w:t xml:space="preserve">Extra hyperparameter</w:t>
            </w:r>
          </w:p>
        </w:tc>
        <w:tc>
          <w:tcPr>
            <w:tcW w:type="dxa" w:w="2662"/>
            <w:tcMar>
              <w:top w:type="dxa" w:w="80"/>
              <w:left w:type="dxa" w:w="100"/>
              <w:bottom w:type="dxa" w:w="80"/>
              <w:right w:type="dxa" w:w="100"/>
            </w:tcMar>
          </w:tcPr>
          <w:p>
            <w:pPr>
              <w:jc w:val="center"/>
            </w:pPr>
            <w:r>
              <w:rPr>
                <w:b w:val="false"/>
                <w:bCs w:val="false"/>
                <w:sz w:val="19"/>
                <w:szCs w:val="19"/>
              </w:rPr>
              <w:t xml:space="preserve">None</w:t>
            </w:r>
          </w:p>
        </w:tc>
        <w:tc>
          <w:tcPr>
            <w:tcW w:type="dxa" w:w="2662"/>
            <w:tcMar>
              <w:top w:type="dxa" w:w="80"/>
              <w:left w:type="dxa" w:w="100"/>
              <w:bottom w:type="dxa" w:w="80"/>
              <w:right w:type="dxa" w:w="100"/>
            </w:tcMar>
          </w:tcPr>
          <w:p>
            <w:pPr>
              <w:jc w:val="center"/>
            </w:pPr>
            <w:r>
              <w:rPr>
                <w:b w:val="false"/>
                <w:bCs w:val="false"/>
                <w:sz w:val="19"/>
                <w:szCs w:val="19"/>
              </w:rPr>
              <w:t xml:space="preserve">δ (threshold)</w:t>
            </w:r>
          </w:p>
        </w:tc>
        <w:tc>
          <w:tcPr>
            <w:tcW w:type="dxa" w:w="2662"/>
            <w:tcMar>
              <w:top w:type="dxa" w:w="80"/>
              <w:left w:type="dxa" w:w="100"/>
              <w:bottom w:type="dxa" w:w="80"/>
              <w:right w:type="dxa" w:w="100"/>
            </w:tcMar>
          </w:tcPr>
          <w:p>
            <w:pPr>
              <w:jc w:val="center"/>
            </w:pPr>
            <w:r>
              <w:rPr>
                <w:b w:val="false"/>
                <w:bCs w:val="false"/>
                <w:sz w:val="19"/>
                <w:szCs w:val="19"/>
              </w:rPr>
              <w:t xml:space="preserve">ε (guard)</w:t>
            </w:r>
          </w:p>
        </w:tc>
      </w:tr>
      <w:tr>
        <w:tc>
          <w:tcPr>
            <w:tcW w:type="dxa" w:w="2253"/>
            <w:tcMar>
              <w:top w:type="dxa" w:w="80"/>
              <w:left w:type="dxa" w:w="100"/>
              <w:bottom w:type="dxa" w:w="80"/>
              <w:right w:type="dxa" w:w="100"/>
            </w:tcMar>
          </w:tcPr>
          <w:p>
            <w:r>
              <w:rPr>
                <w:b w:val="false"/>
                <w:bCs w:val="false"/>
                <w:sz w:val="19"/>
                <w:szCs w:val="19"/>
              </w:rPr>
              <w:t xml:space="preserve">Gradient magnitude</w:t>
            </w:r>
          </w:p>
        </w:tc>
        <w:tc>
          <w:tcPr>
            <w:tcW w:type="dxa" w:w="2662"/>
            <w:tcMar>
              <w:top w:type="dxa" w:w="80"/>
              <w:left w:type="dxa" w:w="100"/>
              <w:bottom w:type="dxa" w:w="80"/>
              <w:right w:type="dxa" w:w="100"/>
            </w:tcMar>
          </w:tcPr>
          <w:p>
            <w:pPr>
              <w:jc w:val="center"/>
            </w:pPr>
            <w:r>
              <w:rPr>
                <w:b w:val="false"/>
                <w:bCs w:val="false"/>
                <w:sz w:val="19"/>
                <w:szCs w:val="19"/>
              </w:rPr>
              <w:t xml:space="preserve">2×residual (unbounded)</w:t>
            </w:r>
          </w:p>
        </w:tc>
        <w:tc>
          <w:tcPr>
            <w:tcW w:type="dxa" w:w="2662"/>
            <w:tcMar>
              <w:top w:type="dxa" w:w="80"/>
              <w:left w:type="dxa" w:w="100"/>
              <w:bottom w:type="dxa" w:w="80"/>
              <w:right w:type="dxa" w:w="100"/>
            </w:tcMar>
          </w:tcPr>
          <w:p>
            <w:pPr>
              <w:jc w:val="center"/>
            </w:pPr>
            <w:r>
              <w:rPr>
                <w:b w:val="false"/>
                <w:bCs w:val="false"/>
                <w:sz w:val="19"/>
                <w:szCs w:val="19"/>
              </w:rPr>
              <w:t xml:space="preserve">residual/δ, capped at ±1</w:t>
            </w:r>
          </w:p>
        </w:tc>
        <w:tc>
          <w:tcPr>
            <w:tcW w:type="dxa" w:w="2662"/>
            <w:tcMar>
              <w:top w:type="dxa" w:w="80"/>
              <w:left w:type="dxa" w:w="100"/>
              <w:bottom w:type="dxa" w:w="80"/>
              <w:right w:type="dxa" w:w="100"/>
            </w:tcMar>
          </w:tcPr>
          <w:p>
            <w:pPr>
              <w:jc w:val="center"/>
            </w:pPr>
            <w:r>
              <w:rPr>
                <w:b w:val="false"/>
                <w:bCs w:val="false"/>
                <w:sz w:val="19"/>
                <w:szCs w:val="19"/>
              </w:rPr>
              <w:t xml:space="preserve">1/(|target|+ε)</w:t>
            </w:r>
          </w:p>
        </w:tc>
      </w:tr>
      <w:tr>
        <w:tc>
          <w:tcPr>
            <w:tcW w:type="dxa" w:w="2253"/>
            <w:tcMar>
              <w:top w:type="dxa" w:w="80"/>
              <w:left w:type="dxa" w:w="100"/>
              <w:bottom w:type="dxa" w:w="80"/>
              <w:right w:type="dxa" w:w="100"/>
            </w:tcMar>
          </w:tcPr>
          <w:p>
            <w:r>
              <w:rPr>
                <w:b w:val="false"/>
                <w:bCs w:val="false"/>
                <w:sz w:val="19"/>
                <w:szCs w:val="19"/>
              </w:rPr>
              <w:t xml:space="preserve">Outlier sensitivity</w:t>
            </w:r>
          </w:p>
        </w:tc>
        <w:tc>
          <w:tcPr>
            <w:tcW w:type="dxa" w:w="2662"/>
            <w:tcMar>
              <w:top w:type="dxa" w:w="80"/>
              <w:left w:type="dxa" w:w="100"/>
              <w:bottom w:type="dxa" w:w="80"/>
              <w:right w:type="dxa" w:w="100"/>
            </w:tcMar>
          </w:tcPr>
          <w:p>
            <w:pPr>
              <w:jc w:val="center"/>
            </w:pPr>
            <w:r>
              <w:rPr>
                <w:b w:val="false"/>
                <w:bCs w:val="false"/>
                <w:sz w:val="19"/>
                <w:szCs w:val="19"/>
              </w:rPr>
              <w:t xml:space="preserve">High (quadratic)</w:t>
            </w:r>
          </w:p>
        </w:tc>
        <w:tc>
          <w:tcPr>
            <w:tcW w:type="dxa" w:w="2662"/>
            <w:tcMar>
              <w:top w:type="dxa" w:w="80"/>
              <w:left w:type="dxa" w:w="100"/>
              <w:bottom w:type="dxa" w:w="80"/>
              <w:right w:type="dxa" w:w="100"/>
            </w:tcMar>
          </w:tcPr>
          <w:p>
            <w:pPr>
              <w:jc w:val="center"/>
            </w:pPr>
            <w:r>
              <w:rPr>
                <w:b w:val="false"/>
                <w:bCs w:val="false"/>
                <w:sz w:val="19"/>
                <w:szCs w:val="19"/>
              </w:rPr>
              <w:t xml:space="preserve">Bounded (linear beyond δ)</w:t>
            </w:r>
          </w:p>
        </w:tc>
        <w:tc>
          <w:tcPr>
            <w:tcW w:type="dxa" w:w="2662"/>
            <w:tcMar>
              <w:top w:type="dxa" w:w="80"/>
              <w:left w:type="dxa" w:w="100"/>
              <w:bottom w:type="dxa" w:w="80"/>
              <w:right w:type="dxa" w:w="100"/>
            </w:tcMar>
          </w:tcPr>
          <w:p>
            <w:pPr>
              <w:jc w:val="center"/>
            </w:pPr>
            <w:r>
              <w:rPr>
                <w:b w:val="false"/>
                <w:bCs w:val="false"/>
                <w:sz w:val="19"/>
                <w:szCs w:val="19"/>
              </w:rPr>
              <w:t xml:space="preserve">Bounded, but scaled by 1/target</w:t>
            </w:r>
          </w:p>
        </w:tc>
      </w:tr>
      <w:tr>
        <w:tc>
          <w:tcPr>
            <w:tcW w:type="dxa" w:w="2253"/>
            <w:tcMar>
              <w:top w:type="dxa" w:w="80"/>
              <w:left w:type="dxa" w:w="100"/>
              <w:bottom w:type="dxa" w:w="80"/>
              <w:right w:type="dxa" w:w="100"/>
            </w:tcMar>
          </w:tcPr>
          <w:p>
            <w:r>
              <w:rPr>
                <w:b w:val="false"/>
                <w:bCs w:val="false"/>
                <w:sz w:val="19"/>
                <w:szCs w:val="19"/>
              </w:rPr>
              <w:t xml:space="preserve">Behavior near zero target</w:t>
            </w:r>
          </w:p>
        </w:tc>
        <w:tc>
          <w:tcPr>
            <w:tcW w:type="dxa" w:w="2662"/>
            <w:tcMar>
              <w:top w:type="dxa" w:w="80"/>
              <w:left w:type="dxa" w:w="100"/>
              <w:bottom w:type="dxa" w:w="80"/>
              <w:right w:type="dxa" w:w="100"/>
            </w:tcMar>
          </w:tcPr>
          <w:p>
            <w:pPr>
              <w:jc w:val="center"/>
            </w:pPr>
            <w:r>
              <w:rPr>
                <w:b w:val="false"/>
                <w:bCs w:val="false"/>
                <w:sz w:val="19"/>
                <w:szCs w:val="19"/>
              </w:rPr>
              <w:t xml:space="preserve">No issue</w:t>
            </w:r>
          </w:p>
        </w:tc>
        <w:tc>
          <w:tcPr>
            <w:tcW w:type="dxa" w:w="2662"/>
            <w:tcMar>
              <w:top w:type="dxa" w:w="80"/>
              <w:left w:type="dxa" w:w="100"/>
              <w:bottom w:type="dxa" w:w="80"/>
              <w:right w:type="dxa" w:w="100"/>
            </w:tcMar>
          </w:tcPr>
          <w:p>
            <w:pPr>
              <w:jc w:val="center"/>
            </w:pPr>
            <w:r>
              <w:rPr>
                <w:b w:val="false"/>
                <w:bCs w:val="false"/>
                <w:sz w:val="19"/>
                <w:szCs w:val="19"/>
              </w:rPr>
              <w:t xml:space="preserve">No issue</w:t>
            </w:r>
          </w:p>
        </w:tc>
        <w:tc>
          <w:tcPr>
            <w:tcW w:type="dxa" w:w="2662"/>
            <w:tcMar>
              <w:top w:type="dxa" w:w="80"/>
              <w:left w:type="dxa" w:w="100"/>
              <w:bottom w:type="dxa" w:w="80"/>
              <w:right w:type="dxa" w:w="100"/>
            </w:tcMar>
          </w:tcPr>
          <w:p>
            <w:pPr>
              <w:jc w:val="center"/>
            </w:pPr>
            <w:r>
              <w:rPr>
                <w:b w:val="false"/>
                <w:bCs w:val="false"/>
                <w:sz w:val="19"/>
                <w:szCs w:val="19"/>
              </w:rPr>
              <w:t xml:space="preserve">Needs ε guard (÷0 risk)</w:t>
            </w:r>
          </w:p>
        </w:tc>
      </w:tr>
      <w:tr>
        <w:tc>
          <w:tcPr>
            <w:tcW w:type="dxa" w:w="2253"/>
            <w:tcMar>
              <w:top w:type="dxa" w:w="80"/>
              <w:left w:type="dxa" w:w="100"/>
              <w:bottom w:type="dxa" w:w="80"/>
              <w:right w:type="dxa" w:w="100"/>
            </w:tcMar>
          </w:tcPr>
          <w:p>
            <w:r>
              <w:rPr>
                <w:b w:val="false"/>
                <w:bCs w:val="false"/>
                <w:sz w:val="19"/>
                <w:szCs w:val="19"/>
              </w:rPr>
              <w:t xml:space="preserve">Emphasizes</w:t>
            </w:r>
          </w:p>
        </w:tc>
        <w:tc>
          <w:tcPr>
            <w:tcW w:type="dxa" w:w="2662"/>
            <w:tcMar>
              <w:top w:type="dxa" w:w="80"/>
              <w:left w:type="dxa" w:w="100"/>
              <w:bottom w:type="dxa" w:w="80"/>
              <w:right w:type="dxa" w:w="100"/>
            </w:tcMar>
          </w:tcPr>
          <w:p>
            <w:pPr>
              <w:jc w:val="center"/>
            </w:pPr>
            <w:r>
              <w:rPr>
                <w:b w:val="false"/>
                <w:bCs w:val="false"/>
                <w:sz w:val="19"/>
                <w:szCs w:val="19"/>
              </w:rPr>
              <w:t xml:space="preserve">Large-magnitude errors equally everywhere</w:t>
            </w:r>
          </w:p>
        </w:tc>
        <w:tc>
          <w:tcPr>
            <w:tcW w:type="dxa" w:w="2662"/>
            <w:tcMar>
              <w:top w:type="dxa" w:w="80"/>
              <w:left w:type="dxa" w:w="100"/>
              <w:bottom w:type="dxa" w:w="80"/>
              <w:right w:type="dxa" w:w="100"/>
            </w:tcMar>
          </w:tcPr>
          <w:p>
            <w:pPr>
              <w:jc w:val="center"/>
            </w:pPr>
            <w:r>
              <w:rPr>
                <w:b w:val="false"/>
                <w:bCs w:val="false"/>
                <w:sz w:val="19"/>
                <w:szCs w:val="19"/>
              </w:rPr>
              <w:t xml:space="preserve">Same, but caps outlier influence</w:t>
            </w:r>
          </w:p>
        </w:tc>
        <w:tc>
          <w:tcPr>
            <w:tcW w:type="dxa" w:w="2662"/>
            <w:tcMar>
              <w:top w:type="dxa" w:w="80"/>
              <w:left w:type="dxa" w:w="100"/>
              <w:bottom w:type="dxa" w:w="80"/>
              <w:right w:type="dxa" w:w="100"/>
            </w:tcMar>
          </w:tcPr>
          <w:p>
            <w:pPr>
              <w:jc w:val="center"/>
            </w:pPr>
            <w:r>
              <w:rPr>
                <w:b w:val="false"/>
                <w:bCs w:val="false"/>
                <w:sz w:val="19"/>
                <w:szCs w:val="19"/>
              </w:rPr>
              <w:t xml:space="preserve">Small-target (majority-class) accuracy</w:t>
            </w:r>
          </w:p>
        </w:tc>
      </w:tr>
      <w:tr>
        <w:tc>
          <w:tcPr>
            <w:tcW w:type="dxa" w:w="2253"/>
            <w:tcMar>
              <w:top w:type="dxa" w:w="80"/>
              <w:left w:type="dxa" w:w="100"/>
              <w:bottom w:type="dxa" w:w="80"/>
              <w:right w:type="dxa" w:w="100"/>
            </w:tcMar>
          </w:tcPr>
          <w:p>
            <w:r>
              <w:rPr>
                <w:b w:val="false"/>
                <w:bCs w:val="false"/>
                <w:sz w:val="19"/>
                <w:szCs w:val="19"/>
              </w:rPr>
              <w:t xml:space="preserve">This project's monitor metric</w:t>
            </w:r>
          </w:p>
        </w:tc>
        <w:tc>
          <w:tcPr>
            <w:tcW w:type="dxa" w:w="2662"/>
            <w:tcMar>
              <w:top w:type="dxa" w:w="80"/>
              <w:left w:type="dxa" w:w="100"/>
              <w:bottom w:type="dxa" w:w="80"/>
              <w:right w:type="dxa" w:w="100"/>
            </w:tcMar>
          </w:tcPr>
          <w:p>
            <w:pPr>
              <w:jc w:val="center"/>
            </w:pPr>
            <w:r>
              <w:rPr>
                <w:b w:val="false"/>
                <w:bCs w:val="false"/>
                <w:sz w:val="19"/>
                <w:szCs w:val="19"/>
              </w:rPr>
              <w:t xml:space="preserve">val_rmse</w:t>
            </w:r>
          </w:p>
        </w:tc>
        <w:tc>
          <w:tcPr>
            <w:tcW w:type="dxa" w:w="2662"/>
            <w:tcMar>
              <w:top w:type="dxa" w:w="80"/>
              <w:left w:type="dxa" w:w="100"/>
              <w:bottom w:type="dxa" w:w="80"/>
              <w:right w:type="dxa" w:w="100"/>
            </w:tcMar>
          </w:tcPr>
          <w:p>
            <w:pPr>
              <w:jc w:val="center"/>
            </w:pPr>
            <w:r>
              <w:rPr>
                <w:b w:val="false"/>
                <w:bCs w:val="false"/>
                <w:sz w:val="19"/>
                <w:szCs w:val="19"/>
              </w:rPr>
              <w:t xml:space="preserve">val_huber</w:t>
            </w:r>
          </w:p>
        </w:tc>
        <w:tc>
          <w:tcPr>
            <w:tcW w:type="dxa" w:w="2662"/>
            <w:tcMar>
              <w:top w:type="dxa" w:w="80"/>
              <w:left w:type="dxa" w:w="100"/>
              <w:bottom w:type="dxa" w:w="80"/>
              <w:right w:type="dxa" w:w="100"/>
            </w:tcMar>
          </w:tcPr>
          <w:p>
            <w:pPr>
              <w:jc w:val="center"/>
            </w:pPr>
            <w:r>
              <w:rPr>
                <w:b w:val="false"/>
                <w:bCs w:val="false"/>
                <w:sz w:val="19"/>
                <w:szCs w:val="19"/>
              </w:rPr>
              <w:t xml:space="preserve">val_mre</w:t>
            </w:r>
          </w:p>
        </w:tc>
      </w:tr>
      <w:tr>
        <w:tc>
          <w:tcPr>
            <w:tcW w:type="dxa" w:w="2253"/>
            <w:tcMar>
              <w:top w:type="dxa" w:w="80"/>
              <w:left w:type="dxa" w:w="100"/>
              <w:bottom w:type="dxa" w:w="80"/>
              <w:right w:type="dxa" w:w="100"/>
            </w:tcMar>
          </w:tcPr>
          <w:p>
            <w:r>
              <w:rPr>
                <w:b w:val="false"/>
                <w:bCs w:val="false"/>
                <w:sz w:val="19"/>
                <w:szCs w:val="19"/>
              </w:rPr>
              <w:t xml:space="preserve">Winning niche (this project)</w:t>
            </w:r>
          </w:p>
        </w:tc>
        <w:tc>
          <w:tcPr>
            <w:tcW w:type="dxa" w:w="2662"/>
            <w:tcMar>
              <w:top w:type="dxa" w:w="80"/>
              <w:left w:type="dxa" w:w="100"/>
              <w:bottom w:type="dxa" w:w="80"/>
              <w:right w:type="dxa" w:w="100"/>
            </w:tcMar>
          </w:tcPr>
          <w:p>
            <w:pPr>
              <w:jc w:val="center"/>
            </w:pPr>
            <w:r>
              <w:rPr>
                <w:b w:val="false"/>
                <w:bCs w:val="false"/>
                <w:sz w:val="19"/>
                <w:szCs w:val="19"/>
              </w:rPr>
              <w:t xml:space="preserve">Baseline reference</w:t>
            </w:r>
          </w:p>
        </w:tc>
        <w:tc>
          <w:tcPr>
            <w:tcW w:type="dxa" w:w="2662"/>
            <w:tcMar>
              <w:top w:type="dxa" w:w="80"/>
              <w:left w:type="dxa" w:w="100"/>
              <w:bottom w:type="dxa" w:w="80"/>
              <w:right w:type="dxa" w:w="100"/>
            </w:tcMar>
          </w:tcPr>
          <w:p>
            <w:pPr>
              <w:jc w:val="center"/>
            </w:pPr>
            <w:r>
              <w:rPr>
                <w:b w:val="false"/>
                <w:bCs w:val="false"/>
                <w:sz w:val="19"/>
                <w:szCs w:val="19"/>
              </w:rPr>
              <w:t xml:space="preserve">SERA / RelWeighted-MAAPE / rare-tail metrics (w/ ConR)</w:t>
            </w:r>
          </w:p>
        </w:tc>
        <w:tc>
          <w:tcPr>
            <w:tcW w:type="dxa" w:w="2662"/>
            <w:tcMar>
              <w:top w:type="dxa" w:w="80"/>
              <w:left w:type="dxa" w:w="100"/>
              <w:bottom w:type="dxa" w:w="80"/>
              <w:right w:type="dxa" w:w="100"/>
            </w:tcMar>
          </w:tcPr>
          <w:p>
            <w:pPr>
              <w:jc w:val="center"/>
            </w:pPr>
            <w:r>
              <w:rPr>
                <w:b w:val="false"/>
                <w:bCs w:val="false"/>
                <w:sz w:val="19"/>
                <w:szCs w:val="19"/>
              </w:rPr>
              <w:t xml:space="preserve">Overall MAPE (w/ LDS)</w:t>
            </w:r>
          </w:p>
        </w:tc>
      </w:tr>
    </w:tbl>
    <w:p>
      <w:r>
        <w:br w:type="page"/>
      </w:r>
    </w:p>
    <w:p>
      <w:pPr>
        <w:pStyle w:val="Heading1"/>
        <w:spacing w:after="180" w:before="400"/>
      </w:pPr>
      <w:r>
        <w:t xml:space="preserve">E. What's Next in This Learning Hub</w:t>
      </w:r>
    </w:p>
    <w:p>
      <w:pPr>
        <w:spacing w:after="160"/>
        <w:jc w:val="both"/>
      </w:pPr>
      <w:r>
        <w:t xml:space="preserve">This document now covers MSE, Huber, and MRE in full depth — the three loss functions used in the underlying research. Natural next additions, in the same format (concept → formula → worked example → code → real-world → references → career/interview):</w:t>
      </w:r>
    </w:p>
    <w:p>
      <w:pPr>
        <w:pStyle w:val="ListParagraph"/>
        <w:numPr>
          <w:ilvl w:val="0"/>
          <w:numId w:val="2"/>
        </w:numPr>
        <w:spacing w:after="120"/>
      </w:pPr>
      <w:r>
        <w:t xml:space="preserve">A companion document on the four imbalance-mitigation mechanisms actually used in your study: StratSample (stratified sampling), LDS (Label Distribution Smoothing), RankSim, and ConR — including the novel ConR+LDS combination, each with the same rigor: why it's needed, the algorithm, a tiny numeric demo using your project's real hyperparameters, code walkthrough, and industry/interview relevance.</w:t>
      </w:r>
    </w:p>
    <w:p>
      <w:pPr>
        <w:pStyle w:val="ListParagraph"/>
        <w:numPr>
          <w:ilvl w:val="0"/>
          <w:numId w:val="2"/>
        </w:numPr>
        <w:spacing w:after="120"/>
      </w:pPr>
      <w:r>
        <w:t xml:space="preserve">A short primer on AdamW itself (the optimizer actually used, vs. the plain SGD used for teaching clarity in the worked examples above) — the first-step-simplifies-to-sign(gradient) insight mentioned in your Huber walkthrough is worth a full worked-out section.</w:t>
      </w:r>
    </w:p>
    <w:p>
      <w:pPr>
        <w:spacing w:after="160"/>
        <w:jc w:val="both"/>
      </w:pPr>
      <w:r>
        <w:t xml:space="preserve">Ask for any of these next, in the same chat, whenever you're ready to continue building this reference.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2026-08-25T03:20:04.511Z</dcterms:created>
  <dcterms:modified xsi:type="dcterms:W3CDTF">2026-08-25T03:20:04.511Z</dcterms:modified>
</cp:coreProperties>
</file>

<file path=docProps/custom.xml><?xml version="1.0" encoding="utf-8"?>
<Properties xmlns="http://schemas.openxmlformats.org/officeDocument/2006/custom-properties" xmlns:vt="http://schemas.openxmlformats.org/officeDocument/2006/docPropsVTypes"/>
</file>