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27B7" w:rsidRPr="00ED582C" w:rsidRDefault="00C4465F" w:rsidP="00AF0209">
      <w:pPr>
        <w:pStyle w:val="NoSpacing"/>
        <w:jc w:val="both"/>
        <w:rPr>
          <w:rFonts w:ascii="Times New Roman" w:hAnsi="Times New Roman" w:cs="Times New Roman"/>
          <w:b/>
          <w:sz w:val="28"/>
          <w:szCs w:val="28"/>
        </w:rPr>
      </w:pPr>
      <w:r w:rsidRPr="00ED582C">
        <w:rPr>
          <w:rFonts w:ascii="Times New Roman" w:hAnsi="Times New Roman" w:cs="Times New Roman"/>
          <w:b/>
          <w:sz w:val="28"/>
          <w:szCs w:val="28"/>
        </w:rPr>
        <w:t xml:space="preserve">Resistance against cultural aggression and resurgence of Bengali culture </w:t>
      </w:r>
    </w:p>
    <w:p w:rsidR="00ED582C" w:rsidRDefault="00ED582C" w:rsidP="00AF0209">
      <w:pPr>
        <w:pStyle w:val="NormalWeb"/>
        <w:jc w:val="both"/>
        <w:rPr>
          <w:rFonts w:eastAsiaTheme="minorEastAsia"/>
          <w:b/>
          <w:sz w:val="26"/>
          <w:szCs w:val="26"/>
        </w:rPr>
      </w:pPr>
    </w:p>
    <w:p w:rsidR="00ED582C" w:rsidRPr="00ED582C" w:rsidRDefault="00ED582C" w:rsidP="00AF0209">
      <w:pPr>
        <w:pStyle w:val="NormalWeb"/>
        <w:jc w:val="both"/>
        <w:rPr>
          <w:sz w:val="28"/>
          <w:szCs w:val="28"/>
        </w:rPr>
      </w:pPr>
      <w:r w:rsidRPr="00ED582C">
        <w:rPr>
          <w:sz w:val="28"/>
          <w:szCs w:val="28"/>
        </w:rPr>
        <w:t>Pakistanis, especially those from West Pakistan, have historically held a negative opinion of Bengali culture, the Bengali language, and the people of East Pakistan (now Bangladesh). There was a pervasive disregard for everything Bengali. However, Bengali culture, language, and heritage were undeniably rich and vibrant, surpassing many aspects of West Pakistani culture. Political scientist Ronak Jahan noted, "The Bengali are intensely attached to and proud of their language, of</w:t>
      </w:r>
      <w:bookmarkStart w:id="0" w:name="_GoBack"/>
      <w:bookmarkEnd w:id="0"/>
      <w:r w:rsidRPr="00ED582C">
        <w:rPr>
          <w:sz w:val="28"/>
          <w:szCs w:val="28"/>
        </w:rPr>
        <w:t>ten revealing a strong sense of linguistic nationalism." Despite facing these aggressive attitudes, Bengalis protested and resisted, ultimately leading to the revitalization and resurgence of their cultural identity.</w:t>
      </w:r>
    </w:p>
    <w:p w:rsidR="00ED582C" w:rsidRPr="00ED582C" w:rsidRDefault="00ED582C" w:rsidP="00AF0209">
      <w:pPr>
        <w:pStyle w:val="NormalWeb"/>
        <w:jc w:val="both"/>
        <w:rPr>
          <w:sz w:val="28"/>
          <w:szCs w:val="28"/>
        </w:rPr>
      </w:pPr>
      <w:r w:rsidRPr="00ED582C">
        <w:rPr>
          <w:sz w:val="28"/>
          <w:szCs w:val="28"/>
        </w:rPr>
        <w:t>Here's a closer look at the flourishing Bengali culture and the resistance against various forms of aggression:</w:t>
      </w:r>
    </w:p>
    <w:p w:rsidR="00ED582C" w:rsidRPr="00ED582C" w:rsidRDefault="00ED582C" w:rsidP="00AF0209">
      <w:pPr>
        <w:pStyle w:val="NormalWeb"/>
        <w:jc w:val="both"/>
        <w:rPr>
          <w:sz w:val="28"/>
          <w:szCs w:val="28"/>
        </w:rPr>
      </w:pPr>
      <w:r w:rsidRPr="00ED582C">
        <w:rPr>
          <w:rStyle w:val="Strong"/>
          <w:sz w:val="28"/>
          <w:szCs w:val="28"/>
        </w:rPr>
        <w:t>1. Impact on the Bengali Language:</w:t>
      </w:r>
      <w:r w:rsidRPr="00ED582C">
        <w:rPr>
          <w:sz w:val="28"/>
          <w:szCs w:val="28"/>
        </w:rPr>
        <w:t xml:space="preserve"> The initial impact on the newly independent state of Pakistan was on the Bengali language. During the formation of the state, there was no common language (lingua franca) for communication between East and West Pakistan. While 55% of Bengalis spoke Bengali, Urdu, the language of the West Pakistani elite, was not widely spoken in East Pakistan. The language debate began even before the partition in 1947. Muslim leaders stated that if Hindi gained prominence in India, Urdu would become the language of Pakistan. The controversy escalated on November 27, 1947, during the Education Conference in Karachi, where a recommendation was made to designate Urdu as the state language. Despite protests, Urdu was declared the national language of Pakistan in 1948 by Jinnah, and later reaffirmed by Prime Minister Khawaja Nazimuddin.</w:t>
      </w:r>
    </w:p>
    <w:p w:rsidR="00ED582C" w:rsidRPr="00ED582C" w:rsidRDefault="00ED582C" w:rsidP="00AF0209">
      <w:pPr>
        <w:pStyle w:val="NormalWeb"/>
        <w:jc w:val="both"/>
        <w:rPr>
          <w:sz w:val="28"/>
          <w:szCs w:val="28"/>
        </w:rPr>
      </w:pPr>
      <w:r w:rsidRPr="00ED582C">
        <w:rPr>
          <w:rStyle w:val="Strong"/>
          <w:sz w:val="28"/>
          <w:szCs w:val="28"/>
        </w:rPr>
        <w:t>Language Movement and Protest:</w:t>
      </w:r>
      <w:r w:rsidRPr="00ED582C">
        <w:rPr>
          <w:sz w:val="28"/>
          <w:szCs w:val="28"/>
        </w:rPr>
        <w:t xml:space="preserve"> Bengalis vehemently protested these language policies. Various social, cultural, and language-based organizations were formed, such as Tamuddun Majlish, Gana Azadi League, Rashtra Bhasha Sangam Parishad, All-Party Rashtra Bhasha Sangam Parishad, and the Cultural Sangsad (established in 1951 at Dhaka University). The culmination of these protests was on February 21, 1952, known as the Language Movement Day. Several individuals, including Salam, Barkat, Rafiq, and Jabbar, lost their lives in the struggle for Bengali to be recognized as the state language. Ultimately, Bengali was granted official status in the 1956 constitution.</w:t>
      </w:r>
    </w:p>
    <w:p w:rsidR="00ED582C" w:rsidRDefault="00ED582C" w:rsidP="00AF0209">
      <w:pPr>
        <w:pStyle w:val="NormalWeb"/>
        <w:jc w:val="both"/>
        <w:rPr>
          <w:rStyle w:val="Strong"/>
          <w:sz w:val="28"/>
          <w:szCs w:val="28"/>
        </w:rPr>
      </w:pPr>
    </w:p>
    <w:p w:rsidR="00ED582C" w:rsidRPr="00ED582C" w:rsidRDefault="00ED582C" w:rsidP="00AF0209">
      <w:pPr>
        <w:pStyle w:val="NormalWeb"/>
        <w:jc w:val="both"/>
        <w:rPr>
          <w:sz w:val="28"/>
          <w:szCs w:val="28"/>
        </w:rPr>
      </w:pPr>
      <w:r w:rsidRPr="00ED582C">
        <w:rPr>
          <w:rStyle w:val="Strong"/>
          <w:sz w:val="28"/>
          <w:szCs w:val="28"/>
        </w:rPr>
        <w:lastRenderedPageBreak/>
        <w:t>2. Writing Bengali in Arabic Script:</w:t>
      </w:r>
      <w:r w:rsidRPr="00ED582C">
        <w:rPr>
          <w:sz w:val="28"/>
          <w:szCs w:val="28"/>
        </w:rPr>
        <w:t xml:space="preserve"> In 1947, during the initial phase of the language movement, efforts were made to write Bengali using the Arabic script. The goal was to facilitate unity and understanding among people who already had some familiarity with Arabic. This initiative met with resistance from various cultural and political organizations, including student groups like Chhatra League and Chhatra Sangam Parishad.</w:t>
      </w:r>
    </w:p>
    <w:p w:rsidR="00ED582C" w:rsidRPr="00ED582C" w:rsidRDefault="00ED582C" w:rsidP="00AF0209">
      <w:pPr>
        <w:pStyle w:val="NormalWeb"/>
        <w:jc w:val="both"/>
        <w:rPr>
          <w:sz w:val="28"/>
          <w:szCs w:val="28"/>
        </w:rPr>
      </w:pPr>
      <w:r w:rsidRPr="00ED582C">
        <w:rPr>
          <w:rStyle w:val="Strong"/>
          <w:sz w:val="28"/>
          <w:szCs w:val="28"/>
        </w:rPr>
        <w:t>3. Linguistic Reforms and Resistance:</w:t>
      </w:r>
      <w:r w:rsidRPr="00ED582C">
        <w:rPr>
          <w:sz w:val="28"/>
          <w:szCs w:val="28"/>
        </w:rPr>
        <w:t xml:space="preserve"> In 1949, a committee was formed by the provincial government of East Pakistan to "de-Sanskritize" Bengali, aiming to modernize the language. However, these reforms were met with opposition, and some of the proposed changes were rejected after protests by scholars like Dr. Muhammad Shahidullah and the teachers and students of the Bengali Department at Dhaka University.</w:t>
      </w:r>
    </w:p>
    <w:p w:rsidR="00ED582C" w:rsidRPr="00ED582C" w:rsidRDefault="00ED582C" w:rsidP="00AF0209">
      <w:pPr>
        <w:pStyle w:val="NormalWeb"/>
        <w:jc w:val="both"/>
        <w:rPr>
          <w:sz w:val="28"/>
          <w:szCs w:val="28"/>
        </w:rPr>
      </w:pPr>
      <w:r w:rsidRPr="00ED582C">
        <w:rPr>
          <w:rStyle w:val="Strong"/>
          <w:sz w:val="28"/>
          <w:szCs w:val="28"/>
        </w:rPr>
        <w:t>4. Introduction of Roman Alphabet:</w:t>
      </w:r>
      <w:r w:rsidRPr="00ED582C">
        <w:rPr>
          <w:sz w:val="28"/>
          <w:szCs w:val="28"/>
        </w:rPr>
        <w:t xml:space="preserve"> During the 1960s, an initiative was undertaken to use the Roman alphabet for writing Bengali and Urdu, as part of an attempt to create a unified language for Pakistan. This proposal was met with strong opposition in student meetings and academic forums.</w:t>
      </w:r>
    </w:p>
    <w:p w:rsidR="00ED582C" w:rsidRPr="00ED582C" w:rsidRDefault="00ED582C" w:rsidP="00AF0209">
      <w:pPr>
        <w:pStyle w:val="NormalWeb"/>
        <w:jc w:val="both"/>
        <w:rPr>
          <w:sz w:val="28"/>
          <w:szCs w:val="28"/>
        </w:rPr>
      </w:pPr>
      <w:r w:rsidRPr="00ED582C">
        <w:rPr>
          <w:rStyle w:val="Strong"/>
          <w:sz w:val="28"/>
          <w:szCs w:val="28"/>
        </w:rPr>
        <w:t>5. Education Constriction and Student Protests:</w:t>
      </w:r>
      <w:r w:rsidRPr="00ED582C">
        <w:rPr>
          <w:sz w:val="28"/>
          <w:szCs w:val="28"/>
        </w:rPr>
        <w:t xml:space="preserve"> In 1958, Ayub Khan established an "Education Commission" that recommended education contraction measures in 1962 due to perceived student involvement in politics. These measures were met with widespread student protests, leading to the closure of institutions and arrests. Student organizations, such as the "Chatra Sangmar Parishad," played a significant role in opposing these measures and advocating for educational autonomy.</w:t>
      </w:r>
    </w:p>
    <w:p w:rsidR="00ED582C" w:rsidRPr="00ED582C" w:rsidRDefault="00ED582C" w:rsidP="00AF0209">
      <w:pPr>
        <w:pStyle w:val="NormalWeb"/>
        <w:jc w:val="both"/>
        <w:rPr>
          <w:sz w:val="28"/>
          <w:szCs w:val="28"/>
        </w:rPr>
      </w:pPr>
      <w:r w:rsidRPr="00ED582C">
        <w:rPr>
          <w:rStyle w:val="Strong"/>
          <w:sz w:val="28"/>
          <w:szCs w:val="28"/>
        </w:rPr>
        <w:t>6. Publication Bans and Cultural Restrictions:</w:t>
      </w:r>
      <w:r w:rsidRPr="00ED582C">
        <w:rPr>
          <w:sz w:val="28"/>
          <w:szCs w:val="28"/>
        </w:rPr>
        <w:t xml:space="preserve"> During various periods, the government imposed bans on books and publications, including progressive newspapers like Ittefaq and the New Nation. Import of books and films from India was also prohibited. These actions led to widespread protests from intellectuals, journalists, and cultural figures.</w:t>
      </w:r>
    </w:p>
    <w:p w:rsidR="00ED582C" w:rsidRDefault="00ED582C" w:rsidP="00AF0209">
      <w:pPr>
        <w:pStyle w:val="NormalWeb"/>
        <w:jc w:val="both"/>
        <w:rPr>
          <w:sz w:val="28"/>
          <w:szCs w:val="28"/>
        </w:rPr>
      </w:pPr>
      <w:r w:rsidRPr="00ED582C">
        <w:rPr>
          <w:rStyle w:val="Strong"/>
          <w:sz w:val="28"/>
          <w:szCs w:val="28"/>
        </w:rPr>
        <w:t>7. Change of East Bengal's Name:</w:t>
      </w:r>
      <w:r w:rsidRPr="00ED582C">
        <w:rPr>
          <w:sz w:val="28"/>
          <w:szCs w:val="28"/>
        </w:rPr>
        <w:t xml:space="preserve"> The renaming of East Bengal to East Pakistan reflected the dominance of West Pakistani influences. However, resistance persisted, culminating in the renaming of East Pakistan to Bangladesh on December 5, 1969, by Bangabandhu Sheikh Mujib.</w:t>
      </w:r>
    </w:p>
    <w:p w:rsidR="00ED582C" w:rsidRPr="00ED582C" w:rsidRDefault="00ED582C" w:rsidP="00AF0209">
      <w:pPr>
        <w:pStyle w:val="NormalWeb"/>
        <w:jc w:val="both"/>
        <w:rPr>
          <w:sz w:val="28"/>
          <w:szCs w:val="28"/>
        </w:rPr>
      </w:pPr>
      <w:r w:rsidRPr="00ED582C">
        <w:rPr>
          <w:rStyle w:val="Strong"/>
          <w:sz w:val="28"/>
          <w:szCs w:val="28"/>
        </w:rPr>
        <w:t>8. Birth Centenary of the World Poet:</w:t>
      </w:r>
      <w:r w:rsidRPr="00ED582C">
        <w:rPr>
          <w:sz w:val="28"/>
          <w:szCs w:val="28"/>
        </w:rPr>
        <w:t xml:space="preserve"> During the rule of Ayub Khan and his followers, Rabindranath Tagore was often seen as a representative of the Hindu community. Consequently, they attempted to obstruct the celebration of </w:t>
      </w:r>
      <w:r w:rsidRPr="00ED582C">
        <w:rPr>
          <w:sz w:val="28"/>
          <w:szCs w:val="28"/>
        </w:rPr>
        <w:lastRenderedPageBreak/>
        <w:t>Rabindranath's birth centenary in 1961. This led to the arrest of individuals like KG Mustafa and Alauddin Al Azad.</w:t>
      </w:r>
    </w:p>
    <w:p w:rsidR="00ED582C" w:rsidRPr="00ED582C" w:rsidRDefault="00ED582C" w:rsidP="00AF0209">
      <w:pPr>
        <w:pStyle w:val="NormalWeb"/>
        <w:jc w:val="both"/>
        <w:rPr>
          <w:sz w:val="28"/>
          <w:szCs w:val="28"/>
        </w:rPr>
      </w:pPr>
      <w:r w:rsidRPr="00ED582C">
        <w:rPr>
          <w:rStyle w:val="Strong"/>
          <w:sz w:val="28"/>
          <w:szCs w:val="28"/>
        </w:rPr>
        <w:t>Resistance:</w:t>
      </w:r>
      <w:r w:rsidRPr="00ED582C">
        <w:rPr>
          <w:sz w:val="28"/>
          <w:szCs w:val="28"/>
        </w:rPr>
        <w:t xml:space="preserve"> Despite these efforts, the birth centenary of Rabindranath Tagore was celebrated across East Pakistan in 1961, including in Dhaka's Curzon Hall. The "Rabindra Birth Centenary Committee," headed by Justice Mahbub Morshed and Prof. Khan Sarwar Morshed, organized a 6-day event at Curzon Hall. Notable figures like Poet Begum Sufia Kamal were part of the celebration, and cultural organizations like "Chayanat" were established during this time to further promote Rabindranath's works.</w:t>
      </w:r>
    </w:p>
    <w:p w:rsidR="00ED582C" w:rsidRPr="00ED582C" w:rsidRDefault="00ED582C" w:rsidP="00AF0209">
      <w:pPr>
        <w:pStyle w:val="NormalWeb"/>
        <w:jc w:val="both"/>
        <w:rPr>
          <w:sz w:val="28"/>
          <w:szCs w:val="28"/>
        </w:rPr>
      </w:pPr>
      <w:r w:rsidRPr="00ED582C">
        <w:rPr>
          <w:rStyle w:val="Strong"/>
          <w:sz w:val="28"/>
          <w:szCs w:val="28"/>
        </w:rPr>
        <w:t>9. Anti-Rabindra Activities:</w:t>
      </w:r>
      <w:r w:rsidRPr="00ED582C">
        <w:rPr>
          <w:sz w:val="28"/>
          <w:szCs w:val="28"/>
        </w:rPr>
        <w:t xml:space="preserve"> In contradiction to Rabindranath Tagore's immense contribution to Bengali literature, the Pakistani government engaged in anti-Rabindra activities, deeming it detrimental to East Bengali culture. During the 1965 Indo-Pak War, Rabindra Sangeet (Tagore's songs) was prohibited from radio and television broadcasts. Although some limited broadcast resumed after the war, the controversy resurfaced in 1967 with Abdus Sabur Khan's statement in Parliament branding Rabindra Sangeet as against Pakistan's principles. This prompted resistance from Bengali intellectuals, leading to a vigorous debate.</w:t>
      </w:r>
    </w:p>
    <w:p w:rsidR="00ED582C" w:rsidRPr="00ED582C" w:rsidRDefault="00ED582C" w:rsidP="00AF0209">
      <w:pPr>
        <w:pStyle w:val="NormalWeb"/>
        <w:jc w:val="both"/>
        <w:rPr>
          <w:sz w:val="28"/>
          <w:szCs w:val="28"/>
        </w:rPr>
      </w:pPr>
      <w:r w:rsidRPr="00ED582C">
        <w:rPr>
          <w:rStyle w:val="Strong"/>
          <w:sz w:val="28"/>
          <w:szCs w:val="28"/>
        </w:rPr>
        <w:t>Resistance:</w:t>
      </w:r>
      <w:r w:rsidRPr="00ED582C">
        <w:rPr>
          <w:sz w:val="28"/>
          <w:szCs w:val="28"/>
        </w:rPr>
        <w:t xml:space="preserve"> Various progressive organizations, including "Chayanat," "Bulbul Lalitkala Academy," and "Oikyatan," worked to preserve Bengali culture through promoting Rabindra Sangeet. Despite the government's attempt to suppress it, the resistance continued. Badruddin Omar's books, "Sanskrit Crisis" and "Cultural Communalism," played a role in energizing these resistance movements.</w:t>
      </w:r>
    </w:p>
    <w:p w:rsidR="00ED582C" w:rsidRPr="00ED582C" w:rsidRDefault="00ED582C" w:rsidP="00AF0209">
      <w:pPr>
        <w:pStyle w:val="NormalWeb"/>
        <w:jc w:val="both"/>
        <w:rPr>
          <w:sz w:val="28"/>
          <w:szCs w:val="28"/>
        </w:rPr>
      </w:pPr>
      <w:r w:rsidRPr="00ED582C">
        <w:rPr>
          <w:rStyle w:val="Strong"/>
          <w:sz w:val="28"/>
          <w:szCs w:val="28"/>
        </w:rPr>
        <w:t>10. Banning of Bengali Festival:</w:t>
      </w:r>
      <w:r w:rsidRPr="00ED582C">
        <w:rPr>
          <w:sz w:val="28"/>
          <w:szCs w:val="28"/>
        </w:rPr>
        <w:t xml:space="preserve"> In a blow to the Bengali culture, the Ayub government banned the celebration of the Bengali New Year, known as "Pohela Boishakh," in 1967. This festival had a deep-rooted cultural significance and was associated with the Bengali calendar introduced by Emperor Akbar. The ban received strong condemnation from intellectual circles.</w:t>
      </w:r>
    </w:p>
    <w:p w:rsidR="00ED582C" w:rsidRPr="00ED582C" w:rsidRDefault="00ED582C" w:rsidP="00AF0209">
      <w:pPr>
        <w:pStyle w:val="NormalWeb"/>
        <w:jc w:val="both"/>
        <w:rPr>
          <w:sz w:val="28"/>
          <w:szCs w:val="28"/>
        </w:rPr>
      </w:pPr>
      <w:r w:rsidRPr="00ED582C">
        <w:rPr>
          <w:rStyle w:val="Strong"/>
          <w:sz w:val="28"/>
          <w:szCs w:val="28"/>
        </w:rPr>
        <w:t>11. Curriculum Change:</w:t>
      </w:r>
      <w:r w:rsidRPr="00ED582C">
        <w:rPr>
          <w:sz w:val="28"/>
          <w:szCs w:val="28"/>
        </w:rPr>
        <w:t xml:space="preserve"> To strengthen Pakistani nationalism among children, an advisory committee was formed under Chittagong University VC Dr. Azizur Rahman Mallick. Textbooks were authored to promote Pakistani nationalism, often overshadowing Bengali culture. This led to student protests, eventually resulting in partial changes to these textbooks.</w:t>
      </w:r>
    </w:p>
    <w:p w:rsidR="00ED582C" w:rsidRPr="00ED582C" w:rsidRDefault="00ED582C" w:rsidP="00AF0209">
      <w:pPr>
        <w:pStyle w:val="NormalWeb"/>
        <w:jc w:val="both"/>
        <w:rPr>
          <w:sz w:val="28"/>
          <w:szCs w:val="28"/>
        </w:rPr>
      </w:pPr>
      <w:r w:rsidRPr="00ED582C">
        <w:rPr>
          <w:rStyle w:val="Strong"/>
          <w:sz w:val="28"/>
          <w:szCs w:val="28"/>
        </w:rPr>
        <w:t>12. Attempts to Islamize Bengali Language:</w:t>
      </w:r>
      <w:r w:rsidRPr="00ED582C">
        <w:rPr>
          <w:sz w:val="28"/>
          <w:szCs w:val="28"/>
        </w:rPr>
        <w:t xml:space="preserve"> Efforts to dominate Bengali culture also included attempts to Islamize the Bengali language. In response, a new literary society in East Bengal resisted, countering these efforts through their literary work.</w:t>
      </w:r>
    </w:p>
    <w:p w:rsidR="00ED582C" w:rsidRPr="00ED582C" w:rsidRDefault="00ED582C" w:rsidP="00AF0209">
      <w:pPr>
        <w:pStyle w:val="NormalWeb"/>
        <w:jc w:val="both"/>
        <w:rPr>
          <w:sz w:val="28"/>
          <w:szCs w:val="28"/>
        </w:rPr>
      </w:pPr>
      <w:r w:rsidRPr="00ED582C">
        <w:rPr>
          <w:rStyle w:val="Strong"/>
          <w:sz w:val="28"/>
          <w:szCs w:val="28"/>
        </w:rPr>
        <w:lastRenderedPageBreak/>
        <w:t>13. National Language:</w:t>
      </w:r>
      <w:r w:rsidRPr="00ED582C">
        <w:rPr>
          <w:sz w:val="28"/>
          <w:szCs w:val="28"/>
        </w:rPr>
        <w:t xml:space="preserve"> The Ayub-Monem administration aimed to reshape the Bengali language to promote a so-called 'national language.' However, this attempt met with resistance, particularly at Dhaka University, where the decision faced opposition from scholars like Dr. Muhammad Enamul Haque and Professor Muhammad Abdul Hai.</w:t>
      </w:r>
    </w:p>
    <w:p w:rsidR="00ED582C" w:rsidRPr="00ED582C" w:rsidRDefault="00ED582C" w:rsidP="00AF0209">
      <w:pPr>
        <w:pStyle w:val="NormalWeb"/>
        <w:jc w:val="both"/>
        <w:rPr>
          <w:sz w:val="28"/>
          <w:szCs w:val="28"/>
        </w:rPr>
      </w:pPr>
      <w:r w:rsidRPr="00ED582C">
        <w:rPr>
          <w:rStyle w:val="Strong"/>
          <w:sz w:val="28"/>
          <w:szCs w:val="28"/>
        </w:rPr>
        <w:t>14. Various Aggressive Attempts and India Abroad:</w:t>
      </w:r>
      <w:r w:rsidRPr="00ED582C">
        <w:rPr>
          <w:sz w:val="28"/>
          <w:szCs w:val="28"/>
        </w:rPr>
        <w:t xml:space="preserve"> During this period of cultural aggression, various actions were undertaken, ranging from imposing certain activities to suppressing others. Examples include composing the national anthem in Farsi, holding the East Pakistan Literary Conference to discourage Bengali identity, proposing the idea of a Pakistani language, countering the spread of communism, and generating anti-India sentiment.</w:t>
      </w:r>
    </w:p>
    <w:p w:rsidR="00ED582C" w:rsidRPr="00ED582C" w:rsidRDefault="00ED582C" w:rsidP="00AF0209">
      <w:pPr>
        <w:pStyle w:val="NormalWeb"/>
        <w:jc w:val="both"/>
        <w:rPr>
          <w:sz w:val="28"/>
          <w:szCs w:val="28"/>
        </w:rPr>
      </w:pPr>
      <w:r w:rsidRPr="00ED582C">
        <w:rPr>
          <w:rStyle w:val="Strong"/>
          <w:sz w:val="28"/>
          <w:szCs w:val="28"/>
        </w:rPr>
        <w:t>Protest:</w:t>
      </w:r>
      <w:r w:rsidRPr="00ED582C">
        <w:rPr>
          <w:sz w:val="28"/>
          <w:szCs w:val="28"/>
        </w:rPr>
        <w:t xml:space="preserve"> Despite these efforts, the Bengali people did not allow these actions to go uncontested. Several organizations, such as the Language Committee, Kaddun Majlish, Culture Council (DU), and Literature and Culture Conference, were established to protest against cultural aggression.</w:t>
      </w:r>
    </w:p>
    <w:p w:rsidR="00ED582C" w:rsidRPr="00ED582C" w:rsidRDefault="00ED582C" w:rsidP="00AF0209">
      <w:pPr>
        <w:pStyle w:val="NormalWeb"/>
        <w:jc w:val="both"/>
        <w:rPr>
          <w:sz w:val="28"/>
          <w:szCs w:val="28"/>
        </w:rPr>
      </w:pPr>
      <w:r w:rsidRPr="00ED582C">
        <w:rPr>
          <w:rStyle w:val="Strong"/>
          <w:sz w:val="28"/>
          <w:szCs w:val="28"/>
        </w:rPr>
        <w:t>15. Political Use of Religion:</w:t>
      </w:r>
      <w:r w:rsidRPr="00ED582C">
        <w:rPr>
          <w:sz w:val="28"/>
          <w:szCs w:val="28"/>
        </w:rPr>
        <w:t xml:space="preserve"> The political movement that led to the creation of Pakistan was influenced by the two-nation theory even before Pakistan's inception. Pakistani leaders and military ruler Ayub utilized religion for political purposes to maintain their hold on power and sought to employ Islamic sentiments in governance. Ayub, the military junta leader, often invoked the example of the second Caliph Hazrat Umar (RA) to rationalize his concept of basic democracy, stating, "Umar (RA) was a successful ruler, yet he had no party, only an advisory council." Mi Khan highlighted that it is challenging to genuinely serve the public's welfare while being entrenched in a partisan position. Ayub attempted to illustrate the Islamic election system by referring to the caliphate, asserting that their election was guided by the needs of the people rather than party affiliations. He proclaimed the basic democracy model as Islamic, asserting in a public gathering in Lahore on June 15, 1960, "This represents the true Islamic method of election." However, Ayub's interpretation of Islam, the historical context of the second Caliph, and his policies were met with criticism. The distinctions between the time of Omar (RA) and the circumstances of Pakistan were evident, and the concept of basic democracy itself wasn't inherently Islamic. This garnered opposition from various organizations, political parties, and intellectual circles.</w:t>
      </w:r>
    </w:p>
    <w:p w:rsidR="00ED582C" w:rsidRPr="00ED582C" w:rsidRDefault="00ED582C" w:rsidP="00AF0209">
      <w:pPr>
        <w:pStyle w:val="NormalWeb"/>
        <w:jc w:val="both"/>
        <w:rPr>
          <w:sz w:val="28"/>
          <w:szCs w:val="28"/>
        </w:rPr>
      </w:pPr>
      <w:r w:rsidRPr="00ED582C">
        <w:rPr>
          <w:rStyle w:val="Strong"/>
          <w:sz w:val="28"/>
          <w:szCs w:val="28"/>
        </w:rPr>
        <w:t>Bengali Culture and Nationalism:</w:t>
      </w:r>
      <w:r w:rsidRPr="00ED582C">
        <w:rPr>
          <w:sz w:val="28"/>
          <w:szCs w:val="28"/>
        </w:rPr>
        <w:t xml:space="preserve"> The emergence and development of Bengali culture and nationalism were driven by progressive and protest movements. The foundation of Bangladesh's struggle for independence can be traced back to the </w:t>
      </w:r>
      <w:r w:rsidRPr="00ED582C">
        <w:rPr>
          <w:sz w:val="28"/>
          <w:szCs w:val="28"/>
        </w:rPr>
        <w:lastRenderedPageBreak/>
        <w:t>language movement. The government's suppressive policies spurred the nationalist movement into action. Fueled by this nationalistic fervor, the people of East Pakistan became increasingly aware and organized, giving rise to various movements. These included the formulation of the 21-point demand, the 6-point movement, the 11-point movement, anti-military protests, popular uprisings, and non-cooperation efforts. The evolution of the Bengali movement spanned from demands for autonomy to the pursuit of full independence and freedom. Rallying cries for Bengal's independence echoed nationwide: "Jai Bangla"; "Bengalis, take up arms and secure Bangladesh's freedom"; "Padma-Meghna-Yamuna, you are our identity"; "Why is Golden Bengal in ashes, fight for the one-party governance and the independence of Bengal"; "Your land, my land, Bangladesh, Bangladesh," and more.</w:t>
      </w:r>
    </w:p>
    <w:p w:rsidR="00EF25DC" w:rsidRPr="00EF25DC" w:rsidRDefault="00EF25DC" w:rsidP="00AF0209">
      <w:pPr>
        <w:spacing w:before="100" w:beforeAutospacing="1" w:after="100" w:afterAutospacing="1" w:line="240" w:lineRule="auto"/>
        <w:jc w:val="both"/>
        <w:rPr>
          <w:rFonts w:ascii="Times New Roman" w:eastAsia="Times New Roman" w:hAnsi="Times New Roman" w:cs="Times New Roman"/>
          <w:sz w:val="28"/>
          <w:szCs w:val="28"/>
        </w:rPr>
      </w:pPr>
      <w:r w:rsidRPr="00EF25DC">
        <w:rPr>
          <w:rFonts w:ascii="Times New Roman" w:eastAsia="Times New Roman" w:hAnsi="Times New Roman" w:cs="Times New Roman"/>
          <w:b/>
          <w:bCs/>
          <w:sz w:val="28"/>
          <w:szCs w:val="28"/>
        </w:rPr>
        <w:t>Bangabandhu Sheikh Mujibur Rahman (1920-1975)</w:t>
      </w:r>
    </w:p>
    <w:p w:rsidR="00EF25DC" w:rsidRPr="00EF25DC" w:rsidRDefault="00EF25DC" w:rsidP="00AF0209">
      <w:pPr>
        <w:spacing w:before="100" w:beforeAutospacing="1" w:after="100" w:afterAutospacing="1" w:line="240" w:lineRule="auto"/>
        <w:jc w:val="both"/>
        <w:rPr>
          <w:rFonts w:ascii="Times New Roman" w:eastAsia="Times New Roman" w:hAnsi="Times New Roman" w:cs="Times New Roman"/>
          <w:sz w:val="28"/>
          <w:szCs w:val="28"/>
        </w:rPr>
      </w:pPr>
      <w:r w:rsidRPr="00EF25DC">
        <w:rPr>
          <w:rFonts w:ascii="Times New Roman" w:eastAsia="Times New Roman" w:hAnsi="Times New Roman" w:cs="Times New Roman"/>
          <w:sz w:val="28"/>
          <w:szCs w:val="28"/>
        </w:rPr>
        <w:t>Sheikh Mujibur Rahman (1920-1975) was born to Sheikh Lutfar Rahman and Mosammat Saira Batun. He was the third of four sisters and two brothers. Born on March 17, 1920, at 8 pm in Tungipara village of Gopalganj district, he completed his matriculation in 1942 from Gopalganj Mission High School. He furthered his education by passing IA in 1944 and obtaining a BA in 1947 from Islamia College, Kolkata. Sheikh Mujib was actively engaged in politics from his student days. In 1946, he was elected General Secretary (GS) of the Islamia College Students' Union. He enrolled in Dhaka University's law department in 1948 but was expelled in 1949 for supporting a strike by Class IV employees. The ban on his entry was lifted in 2010.</w:t>
      </w:r>
    </w:p>
    <w:p w:rsidR="00EF25DC" w:rsidRPr="00EF25DC" w:rsidRDefault="00EF25DC" w:rsidP="00AF0209">
      <w:pPr>
        <w:spacing w:before="100" w:beforeAutospacing="1" w:after="100" w:afterAutospacing="1" w:line="240" w:lineRule="auto"/>
        <w:jc w:val="both"/>
        <w:rPr>
          <w:rFonts w:ascii="Times New Roman" w:eastAsia="Times New Roman" w:hAnsi="Times New Roman" w:cs="Times New Roman"/>
          <w:sz w:val="28"/>
          <w:szCs w:val="28"/>
        </w:rPr>
      </w:pPr>
      <w:r w:rsidRPr="00EF25DC">
        <w:rPr>
          <w:rFonts w:ascii="Times New Roman" w:eastAsia="Times New Roman" w:hAnsi="Times New Roman" w:cs="Times New Roman"/>
          <w:sz w:val="28"/>
          <w:szCs w:val="28"/>
        </w:rPr>
        <w:t>On January 4, 1948, he founded the Muslim Chhatra League, and on March 11, he was arrested during a strike advocating for Bengali as the national language. Despite being incarcerated, he was appointed joint general secretary of the Awami Muslim League on June 23 and became its secretary in 1953. In 1954, he won a seat in the East Bengal Provincial Council as part of the United Front. Following the United Front's inclusion in the Cabinet, he assumed the Ministry of Agriculture, Cooperatives, and Rural Development. From 1956 to 1958, he served as the Minister of Commerce and Industry, succeeding Ataur Rahman Khan. Sheikh Mujib played a key role in nominating Miss Fatima Jinnah for the 1965 presidential election. Notably, he formalized the historic 6-point demand in Lahore on March 6, 1966, while also assuming the presidency of the Awami League.</w:t>
      </w:r>
    </w:p>
    <w:p w:rsidR="00EF25DC" w:rsidRPr="00EF25DC" w:rsidRDefault="00EF25DC" w:rsidP="00AF0209">
      <w:pPr>
        <w:spacing w:before="100" w:beforeAutospacing="1" w:after="100" w:afterAutospacing="1" w:line="240" w:lineRule="auto"/>
        <w:jc w:val="both"/>
        <w:rPr>
          <w:rFonts w:ascii="Times New Roman" w:eastAsia="Times New Roman" w:hAnsi="Times New Roman" w:cs="Times New Roman"/>
          <w:sz w:val="28"/>
          <w:szCs w:val="28"/>
        </w:rPr>
      </w:pPr>
      <w:r w:rsidRPr="00EF25DC">
        <w:rPr>
          <w:rFonts w:ascii="Times New Roman" w:eastAsia="Times New Roman" w:hAnsi="Times New Roman" w:cs="Times New Roman"/>
          <w:sz w:val="28"/>
          <w:szCs w:val="28"/>
        </w:rPr>
        <w:t xml:space="preserve">In 1968, he was arrested as a defendant in the Agartala conspiracy case. He was released on February 23, 1969, amid a mass uprising, and was bestowed with the </w:t>
      </w:r>
      <w:r w:rsidRPr="00EF25DC">
        <w:rPr>
          <w:rFonts w:ascii="Times New Roman" w:eastAsia="Times New Roman" w:hAnsi="Times New Roman" w:cs="Times New Roman"/>
          <w:sz w:val="28"/>
          <w:szCs w:val="28"/>
        </w:rPr>
        <w:lastRenderedPageBreak/>
        <w:t>title "Bangabandhu" during a civic reception. Participating in the 1970 National Assembly elections, the Awami League secured an absolute majority, although it was unable to form the government. This led to the initiation of the non-cooperation movement. On March 3, 1971, Sheikh Mujib declared himself as the "Father of the Nation," and on March 25, he declared Bangladesh's independence, marking the onset of genocide and his subsequent arrest. After his release from Pakistani custody on January 10, 1972, he returned home. Serving as the Prime Minister of Bangladesh from December 12, 1972, to January 25, 1975, he later held the position of President from January 25, 1975, until his tragic assassination by miscreants on August 15, 1975.</w:t>
      </w:r>
    </w:p>
    <w:p w:rsidR="00EF25DC" w:rsidRPr="00EF25DC" w:rsidRDefault="00EF25DC" w:rsidP="00AF0209">
      <w:pPr>
        <w:spacing w:before="100" w:beforeAutospacing="1" w:after="100" w:afterAutospacing="1" w:line="240" w:lineRule="auto"/>
        <w:jc w:val="both"/>
        <w:rPr>
          <w:rFonts w:ascii="Times New Roman" w:eastAsia="Times New Roman" w:hAnsi="Times New Roman" w:cs="Times New Roman"/>
          <w:sz w:val="28"/>
          <w:szCs w:val="28"/>
        </w:rPr>
      </w:pPr>
      <w:r w:rsidRPr="00EF25DC">
        <w:rPr>
          <w:rFonts w:ascii="Times New Roman" w:eastAsia="Times New Roman" w:hAnsi="Times New Roman" w:cs="Times New Roman"/>
          <w:b/>
          <w:bCs/>
          <w:sz w:val="28"/>
          <w:szCs w:val="28"/>
        </w:rPr>
        <w:t>Sheikh Mujibur Rahman's Six-Point Movement</w:t>
      </w:r>
    </w:p>
    <w:p w:rsidR="00EF25DC" w:rsidRPr="00EF25DC" w:rsidRDefault="00EF25DC" w:rsidP="00AF0209">
      <w:pPr>
        <w:spacing w:before="100" w:beforeAutospacing="1" w:after="100" w:afterAutospacing="1" w:line="240" w:lineRule="auto"/>
        <w:jc w:val="both"/>
        <w:rPr>
          <w:rFonts w:ascii="Times New Roman" w:eastAsia="Times New Roman" w:hAnsi="Times New Roman" w:cs="Times New Roman"/>
          <w:sz w:val="28"/>
          <w:szCs w:val="28"/>
        </w:rPr>
      </w:pPr>
      <w:r w:rsidRPr="00EF25DC">
        <w:rPr>
          <w:rFonts w:ascii="Times New Roman" w:eastAsia="Times New Roman" w:hAnsi="Times New Roman" w:cs="Times New Roman"/>
          <w:sz w:val="28"/>
          <w:szCs w:val="28"/>
        </w:rPr>
        <w:t>The historic 6-point program announced by the then Awami League General Secretary, Sheikh Mujibur Rahman, in 1966 holds significant importance in Bangladesh's struggle for freedom. After gaining independence from British colonial rule in 1947, Pakistan was formed. However, in the following 18 years, the people of the country did not achieve the desired progress due to the machinations of the ruling class. The 6-point demand presented by the leading opposition party, the Awami League, became a pivotal step in this context. Sheikh Mujibur Rahman referred to the 6-point program as "our demand for survival," indicating its crucial significance. Often dubbed the "historical Magna Carta," the six-point program aimed to strengthen Pakistan while advocating for East Pakistan's autonomy. It also represented the utmost demands for establishing independence within the Pakistani framework. As stated by historian Dilip Kumar Saha, "Sheikh Mujibur Rahman's announcement of the 6-point program in 1966 to break free from Pakistani colonial rule and exploitation was a culmination of East Bengal's 18-year struggle for autonomy. It encapsulated the highest aspiration for Bengali independence under the Pakistani state structure" (Saha, 2000: 324).</w:t>
      </w:r>
    </w:p>
    <w:p w:rsidR="00EF25DC" w:rsidRPr="00EF25DC" w:rsidRDefault="00EF25DC" w:rsidP="00AF0209">
      <w:pPr>
        <w:spacing w:before="100" w:beforeAutospacing="1" w:after="100" w:afterAutospacing="1" w:line="240" w:lineRule="auto"/>
        <w:jc w:val="both"/>
        <w:rPr>
          <w:rFonts w:ascii="Times New Roman" w:eastAsia="Times New Roman" w:hAnsi="Times New Roman" w:cs="Times New Roman"/>
          <w:sz w:val="28"/>
          <w:szCs w:val="28"/>
        </w:rPr>
      </w:pPr>
      <w:r w:rsidRPr="00EF25DC">
        <w:rPr>
          <w:rFonts w:ascii="Times New Roman" w:eastAsia="Times New Roman" w:hAnsi="Times New Roman" w:cs="Times New Roman"/>
          <w:sz w:val="28"/>
          <w:szCs w:val="28"/>
        </w:rPr>
        <w:t>According to Sheikh Mujibur Rahman himself, the proponent of the six points, "The Six Points are our demand to live." This sentiment underscores the fact that the six-point demand was an essential requisition for the survival and wellbeing of the Bengali people.</w:t>
      </w:r>
    </w:p>
    <w:p w:rsidR="00EF25DC" w:rsidRPr="00EF25DC" w:rsidRDefault="00EF25DC" w:rsidP="00AF0209">
      <w:pPr>
        <w:spacing w:before="100" w:beforeAutospacing="1" w:after="100" w:afterAutospacing="1" w:line="240" w:lineRule="auto"/>
        <w:jc w:val="both"/>
        <w:rPr>
          <w:rFonts w:ascii="Times New Roman" w:eastAsia="Times New Roman" w:hAnsi="Times New Roman" w:cs="Times New Roman"/>
          <w:sz w:val="28"/>
          <w:szCs w:val="28"/>
        </w:rPr>
      </w:pPr>
      <w:r w:rsidRPr="00EF25DC">
        <w:rPr>
          <w:rFonts w:ascii="Times New Roman" w:eastAsia="Times New Roman" w:hAnsi="Times New Roman" w:cs="Times New Roman"/>
          <w:b/>
          <w:bCs/>
          <w:sz w:val="28"/>
          <w:szCs w:val="28"/>
        </w:rPr>
        <w:t>Historical Background of the Six-Point Movement</w:t>
      </w:r>
    </w:p>
    <w:p w:rsidR="00EF25DC" w:rsidRPr="00EF25DC" w:rsidRDefault="00EF25DC" w:rsidP="00AF0209">
      <w:pPr>
        <w:spacing w:before="100" w:beforeAutospacing="1" w:after="100" w:afterAutospacing="1" w:line="240" w:lineRule="auto"/>
        <w:jc w:val="both"/>
        <w:rPr>
          <w:rFonts w:ascii="Times New Roman" w:eastAsia="Times New Roman" w:hAnsi="Times New Roman" w:cs="Times New Roman"/>
          <w:sz w:val="28"/>
          <w:szCs w:val="28"/>
        </w:rPr>
      </w:pPr>
      <w:r w:rsidRPr="00EF25DC">
        <w:rPr>
          <w:rFonts w:ascii="Times New Roman" w:eastAsia="Times New Roman" w:hAnsi="Times New Roman" w:cs="Times New Roman"/>
          <w:sz w:val="28"/>
          <w:szCs w:val="28"/>
        </w:rPr>
        <w:t xml:space="preserve">Efforts for the welfare of East Bengal and Bangladesh have historically faced challenges. In this context, the 6-point program, which aimed for the independence, security, and strengthening of Greater Pakistan, gained immense </w:t>
      </w:r>
      <w:r w:rsidRPr="00EF25DC">
        <w:rPr>
          <w:rFonts w:ascii="Times New Roman" w:eastAsia="Times New Roman" w:hAnsi="Times New Roman" w:cs="Times New Roman"/>
          <w:sz w:val="28"/>
          <w:szCs w:val="28"/>
        </w:rPr>
        <w:lastRenderedPageBreak/>
        <w:t>popularity. Following Pakistan's independence in 1947, the people of East Pakistan province did not attain true autonomy. The ruling class in the West began to treat Bengalis with condescension, leading to exploitation through various means. The 6-point program aptly addressed these issues, encompassing colonial governance, social inequality, military negligence, political marginalization, and economic disparities. The program's historical backdrop is rich and intricate.</w:t>
      </w:r>
    </w:p>
    <w:p w:rsidR="00EF25DC" w:rsidRPr="00EF25DC" w:rsidRDefault="00EF25DC" w:rsidP="00AF0209">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r w:rsidRPr="00EF25DC">
        <w:rPr>
          <w:rFonts w:ascii="Times New Roman" w:eastAsia="Times New Roman" w:hAnsi="Times New Roman" w:cs="Times New Roman"/>
          <w:b/>
          <w:bCs/>
          <w:sz w:val="28"/>
          <w:szCs w:val="28"/>
        </w:rPr>
        <w:t>Political Background:</w:t>
      </w:r>
      <w:r w:rsidRPr="00EF25DC">
        <w:rPr>
          <w:rFonts w:ascii="Times New Roman" w:eastAsia="Times New Roman" w:hAnsi="Times New Roman" w:cs="Times New Roman"/>
          <w:sz w:val="28"/>
          <w:szCs w:val="28"/>
        </w:rPr>
        <w:t xml:space="preserve"> The historic Lahore Resolution of 1940 laid the foundation for Pakistan's creation, envisioning multiple autonomous regions within the newly formed state. However, no autonomous provinces were established, and a decade passed before the first government was formed and a constitution written. The collapse of the 1954 representative government marked a setback, with martial law (Ayub Khan) imposed in 1958, eroding political rights. The introduction of the undemocratic "fundamental democracy" in 1959 curtailed mass voting rights, and superficial elections were held in 1960 and 1965. During this period, no stable and representative government, particularly in East Pakistan, had been established. In this context, Sheikh Rahman's 6-point declaration for autonomy gained significance.</w:t>
      </w:r>
    </w:p>
    <w:p w:rsidR="00EF25DC" w:rsidRPr="00EF25DC" w:rsidRDefault="00EF25DC" w:rsidP="00AF0209">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r w:rsidRPr="00EF25DC">
        <w:rPr>
          <w:rFonts w:ascii="Times New Roman" w:eastAsia="Times New Roman" w:hAnsi="Times New Roman" w:cs="Times New Roman"/>
          <w:b/>
          <w:bCs/>
          <w:sz w:val="28"/>
          <w:szCs w:val="28"/>
        </w:rPr>
        <w:t>Social Background:</w:t>
      </w:r>
      <w:r w:rsidRPr="00EF25DC">
        <w:rPr>
          <w:rFonts w:ascii="Times New Roman" w:eastAsia="Times New Roman" w:hAnsi="Times New Roman" w:cs="Times New Roman"/>
          <w:sz w:val="28"/>
          <w:szCs w:val="28"/>
        </w:rPr>
        <w:t xml:space="preserve"> Widespread social discrimination against East Pakistan is evident in education, employment, status, and prestige. West Pakistanis dominated non-governmental posts, with only 16% of positions held by East Pakistanis. Social inequality was pronounced during Ayub's rule. The 6-point program aimed to secure social respect and dignity for Bengalis.</w:t>
      </w:r>
    </w:p>
    <w:p w:rsidR="00EF25DC" w:rsidRPr="00EF25DC" w:rsidRDefault="00EF25DC" w:rsidP="00AF0209">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r w:rsidRPr="00EF25DC">
        <w:rPr>
          <w:rFonts w:ascii="Times New Roman" w:eastAsia="Times New Roman" w:hAnsi="Times New Roman" w:cs="Times New Roman"/>
          <w:b/>
          <w:bCs/>
          <w:sz w:val="28"/>
          <w:szCs w:val="28"/>
        </w:rPr>
        <w:t>Administrative Background:</w:t>
      </w:r>
      <w:r w:rsidRPr="00EF25DC">
        <w:rPr>
          <w:rFonts w:ascii="Times New Roman" w:eastAsia="Times New Roman" w:hAnsi="Times New Roman" w:cs="Times New Roman"/>
          <w:sz w:val="28"/>
          <w:szCs w:val="28"/>
        </w:rPr>
        <w:t xml:space="preserve"> East Pakistan was marginalized administratively, with West Pakistanis occupying positions at all levels. Deliberate efforts excluded Bengalis from the administration, and West Pakistan retained control. The power imbalance was evident in ministries, corporations, banks, and more. East Pakistan's grievances stemmed from a lack of participation in decision-making and the demand for greater regional autonomy.</w:t>
      </w:r>
    </w:p>
    <w:p w:rsidR="00EF25DC" w:rsidRPr="00EF25DC" w:rsidRDefault="00EF25DC" w:rsidP="00AF0209">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r w:rsidRPr="00EF25DC">
        <w:rPr>
          <w:rFonts w:ascii="Times New Roman" w:eastAsia="Times New Roman" w:hAnsi="Times New Roman" w:cs="Times New Roman"/>
          <w:b/>
          <w:bCs/>
          <w:sz w:val="28"/>
          <w:szCs w:val="28"/>
        </w:rPr>
        <w:t>Economic Background:</w:t>
      </w:r>
      <w:r w:rsidRPr="00EF25DC">
        <w:rPr>
          <w:rFonts w:ascii="Times New Roman" w:eastAsia="Times New Roman" w:hAnsi="Times New Roman" w:cs="Times New Roman"/>
          <w:sz w:val="28"/>
          <w:szCs w:val="28"/>
        </w:rPr>
        <w:t xml:space="preserve"> Economic disparities between East and West Pakistan were stark. West Pakistan enjoyed privileges in employment, industrialization, and investments. East Pakistan contributed significantly to income but received less in return. Discrimination persisted in budget allocations, foreign aid distribution, and trade, leading to the demand for autonomy and equitable economic treatment.</w:t>
      </w:r>
    </w:p>
    <w:p w:rsidR="00EF25DC" w:rsidRPr="00EF25DC" w:rsidRDefault="00EF25DC" w:rsidP="00AF0209">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r w:rsidRPr="00EF25DC">
        <w:rPr>
          <w:rFonts w:ascii="Times New Roman" w:eastAsia="Times New Roman" w:hAnsi="Times New Roman" w:cs="Times New Roman"/>
          <w:b/>
          <w:bCs/>
          <w:sz w:val="28"/>
          <w:szCs w:val="28"/>
        </w:rPr>
        <w:t>Military Background:</w:t>
      </w:r>
      <w:r w:rsidRPr="00EF25DC">
        <w:rPr>
          <w:rFonts w:ascii="Times New Roman" w:eastAsia="Times New Roman" w:hAnsi="Times New Roman" w:cs="Times New Roman"/>
          <w:sz w:val="28"/>
          <w:szCs w:val="28"/>
        </w:rPr>
        <w:t xml:space="preserve"> The defense context played a crucial role. Pakistan's military headquarters were located in the West, and during the 1965 Indo-Pak War, East Pakistan remained vulnerable and disconnected from the </w:t>
      </w:r>
      <w:r w:rsidRPr="00EF25DC">
        <w:rPr>
          <w:rFonts w:ascii="Times New Roman" w:eastAsia="Times New Roman" w:hAnsi="Times New Roman" w:cs="Times New Roman"/>
          <w:sz w:val="28"/>
          <w:szCs w:val="28"/>
        </w:rPr>
        <w:lastRenderedPageBreak/>
        <w:t>center. The demand for regional defense forces and improved military preparedness in East Pakistan was evident. The 6-point program sought self-sufficiency in defense and bolstered regional security.</w:t>
      </w:r>
    </w:p>
    <w:p w:rsidR="00EF25DC" w:rsidRPr="00EF25DC" w:rsidRDefault="00EF25DC" w:rsidP="00AF0209">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r w:rsidRPr="00EF25DC">
        <w:rPr>
          <w:rFonts w:ascii="Times New Roman" w:eastAsia="Times New Roman" w:hAnsi="Times New Roman" w:cs="Times New Roman"/>
          <w:b/>
          <w:bCs/>
          <w:sz w:val="28"/>
          <w:szCs w:val="28"/>
        </w:rPr>
        <w:t>Political Background:</w:t>
      </w:r>
      <w:r w:rsidRPr="00EF25DC">
        <w:rPr>
          <w:rFonts w:ascii="Times New Roman" w:eastAsia="Times New Roman" w:hAnsi="Times New Roman" w:cs="Times New Roman"/>
          <w:sz w:val="28"/>
          <w:szCs w:val="28"/>
        </w:rPr>
        <w:t xml:space="preserve"> The political scene was marked by a lack of representation for East Pakistanis in leadership positions, with political parties often led by West Pakistanis. Autonomy became a central issue, with Sheikh Rahman emphasizing its necessity. The 6-point program aimed to address political deprivation and secure autonomy for East Pakistan.</w:t>
      </w:r>
    </w:p>
    <w:p w:rsidR="00EF25DC" w:rsidRDefault="00EF25DC" w:rsidP="00AF0209">
      <w:pPr>
        <w:spacing w:before="100" w:beforeAutospacing="1" w:after="100" w:afterAutospacing="1" w:line="240" w:lineRule="auto"/>
        <w:jc w:val="both"/>
        <w:rPr>
          <w:rFonts w:ascii="Times New Roman" w:eastAsia="Times New Roman" w:hAnsi="Times New Roman" w:cs="Times New Roman"/>
          <w:sz w:val="28"/>
          <w:szCs w:val="28"/>
        </w:rPr>
      </w:pPr>
      <w:r w:rsidRPr="00EF25DC">
        <w:rPr>
          <w:rFonts w:ascii="Times New Roman" w:eastAsia="Times New Roman" w:hAnsi="Times New Roman" w:cs="Times New Roman"/>
          <w:sz w:val="28"/>
          <w:szCs w:val="28"/>
        </w:rPr>
        <w:t xml:space="preserve">In summary, the 6-point program emerged as a response to a range of concerns – social, administrative, economic, military, and political – faced by the provinces of Pakistan, particularly East Pakistan. Sheikh Mujibur Rahman's declaration of the 6-point program marked a critical juncture in the struggle for autonomy and ultimately led to the </w:t>
      </w:r>
      <w:r>
        <w:rPr>
          <w:rFonts w:ascii="Times New Roman" w:eastAsia="Times New Roman" w:hAnsi="Times New Roman" w:cs="Times New Roman"/>
          <w:sz w:val="28"/>
          <w:szCs w:val="28"/>
        </w:rPr>
        <w:t>demand for greater independence</w:t>
      </w:r>
      <w:r w:rsidR="00C3240F">
        <w:rPr>
          <w:rFonts w:ascii="Times New Roman" w:eastAsia="Times New Roman" w:hAnsi="Times New Roman" w:cs="Times New Roman"/>
          <w:sz w:val="28"/>
          <w:szCs w:val="28"/>
        </w:rPr>
        <w:t>.</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b/>
          <w:bCs/>
          <w:sz w:val="28"/>
          <w:szCs w:val="28"/>
        </w:rPr>
        <w:t>Awami League's Historical Six-Point Program</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Awami League's leader, Sheikh Mujibur Rahman, announced a historic 6-point program on February 6, 1966. In this program, he structured the demands of the people of Pakistan, especially East Pakistan, in terms of constitutional planning and administrative programs. He termed it the 'Demand for the survival of East Pakistan.' The historical 6-point program consisted of the following points:</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b/>
          <w:bCs/>
          <w:sz w:val="28"/>
          <w:szCs w:val="28"/>
        </w:rPr>
        <w:t>First Point:</w:t>
      </w:r>
      <w:r w:rsidRPr="00C3240F">
        <w:rPr>
          <w:rFonts w:ascii="Times New Roman" w:eastAsia="Times New Roman" w:hAnsi="Times New Roman" w:cs="Times New Roman"/>
          <w:sz w:val="28"/>
          <w:szCs w:val="28"/>
        </w:rPr>
        <w:t xml:space="preserve"> Pakistan should be reformed as a true United States, based on the constitutional structure and the nature of the state as outlined in the historic Lahore proposal. Full provincial autonomy should be granted to both East and West Pakistan, with comprehensive regional rule for the West Pakistan regions. The government of the United States will adopt a parliamentary system. Central and provincial legislatures, comprising representatives elected through universal adult suffrage, will possess sovereignty.</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b/>
          <w:bCs/>
          <w:sz w:val="28"/>
          <w:szCs w:val="28"/>
        </w:rPr>
        <w:t>Second Point:</w:t>
      </w:r>
      <w:r w:rsidRPr="00C3240F">
        <w:rPr>
          <w:rFonts w:ascii="Times New Roman" w:eastAsia="Times New Roman" w:hAnsi="Times New Roman" w:cs="Times New Roman"/>
          <w:sz w:val="28"/>
          <w:szCs w:val="28"/>
        </w:rPr>
        <w:t xml:space="preserve"> The Central Government's jurisdiction and power will be limited to only two matters: national defense and foreign affairs. All other matters will fall under the jurisdiction of the states.</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b/>
          <w:bCs/>
          <w:sz w:val="28"/>
          <w:szCs w:val="28"/>
        </w:rPr>
        <w:t>Third Point:</w:t>
      </w:r>
      <w:r w:rsidRPr="00C3240F">
        <w:rPr>
          <w:rFonts w:ascii="Times New Roman" w:eastAsia="Times New Roman" w:hAnsi="Times New Roman" w:cs="Times New Roman"/>
          <w:sz w:val="28"/>
          <w:szCs w:val="28"/>
        </w:rPr>
        <w:t xml:space="preserve"> Regarding Currency and Financial System: Either (a) two separate but freely exchangeable currencies will be maintained for the two provinces, each region having independent state banks managing currency transactions, or (b) a unified currency will exist, with currency management falling under central jurisdiction. Specific provisions will be implemented to prevent the smuggling of East Pakistan's currency into West Pakistan. The governance system will </w:t>
      </w:r>
      <w:r w:rsidRPr="00C3240F">
        <w:rPr>
          <w:rFonts w:ascii="Times New Roman" w:eastAsia="Times New Roman" w:hAnsi="Times New Roman" w:cs="Times New Roman"/>
          <w:sz w:val="28"/>
          <w:szCs w:val="28"/>
        </w:rPr>
        <w:lastRenderedPageBreak/>
        <w:t>incorporate these provisions, along with the establishment of a Federal Reserve Bank and two regional Reserve Banks.</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b/>
          <w:bCs/>
          <w:sz w:val="28"/>
          <w:szCs w:val="28"/>
        </w:rPr>
        <w:t>Fourth Point:</w:t>
      </w:r>
      <w:r w:rsidRPr="00C3240F">
        <w:rPr>
          <w:rFonts w:ascii="Times New Roman" w:eastAsia="Times New Roman" w:hAnsi="Times New Roman" w:cs="Times New Roman"/>
          <w:sz w:val="28"/>
          <w:szCs w:val="28"/>
        </w:rPr>
        <w:t xml:space="preserve"> The power to levy and collect all types of taxes, duties, and taxes will be vested in the regional governments. A portion of the revenue collected by the regional governments will be credited to the federal fund, with mandatory provisions on the Reserve Banks. The Federal Government will utilize the deposited funds for necessary expenditures.</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b/>
          <w:bCs/>
          <w:sz w:val="28"/>
          <w:szCs w:val="28"/>
        </w:rPr>
        <w:t>Fifth Point:</w:t>
      </w:r>
      <w:r w:rsidRPr="00C3240F">
        <w:rPr>
          <w:rFonts w:ascii="Times New Roman" w:eastAsia="Times New Roman" w:hAnsi="Times New Roman" w:cs="Times New Roman"/>
          <w:sz w:val="28"/>
          <w:szCs w:val="28"/>
        </w:rPr>
        <w:t xml:space="preserve"> Concerning Foreign Exchange, Provincial, and Foreign Trade: (1) Separate accounts of foreign exchange earnings will be maintained for the two states of Pakistan (East and West Pakistan). (2) The foreign exchange earned by each region will remain under its respective jurisdiction. (3) The states will provide the foreign exchange required by the Central or Federal Government at agreed-upon rates. (4) No restrictions will apply to the movement (import/export) of domestic goods between the two regions. (5) Administrative provisions, including the authority to enter into commercial agreements with foreign countries, establish trade missions abroad, and manage import and export, will be vested in the regional governments.</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b/>
          <w:bCs/>
          <w:sz w:val="28"/>
          <w:szCs w:val="28"/>
        </w:rPr>
        <w:t>Sixth Point:</w:t>
      </w:r>
      <w:r w:rsidRPr="00C3240F">
        <w:rPr>
          <w:rFonts w:ascii="Times New Roman" w:eastAsia="Times New Roman" w:hAnsi="Times New Roman" w:cs="Times New Roman"/>
          <w:sz w:val="28"/>
          <w:szCs w:val="28"/>
        </w:rPr>
        <w:t xml:space="preserve"> For defense, provinces should be empowered to establish and operate paramilitary forces or regional armies to protect regional integration, the constitution, and national security. The proposal also includes the establishment of an arms factory, a military academy, and a naval headquarters in East Pakistan.</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b/>
          <w:bCs/>
          <w:sz w:val="28"/>
          <w:szCs w:val="28"/>
        </w:rPr>
        <w:t>Features of the 6-Point Program:</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The historical 6-point program advocating Bengali rights and autonomy for East Pakistan includes the following features:</w:t>
      </w:r>
    </w:p>
    <w:p w:rsidR="00C3240F" w:rsidRPr="00C3240F" w:rsidRDefault="00C3240F" w:rsidP="00AF0209">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Demand for autonomy of the provinces of Pakistan, particularly East Pakistan.</w:t>
      </w:r>
    </w:p>
    <w:p w:rsidR="00C3240F" w:rsidRPr="00C3240F" w:rsidRDefault="00C3240F" w:rsidP="00AF0209">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Establishment of a parliamentary system of government, with direct elections through universal suffrage and legislative sovereignty based on the Lahore proposal.</w:t>
      </w:r>
    </w:p>
    <w:p w:rsidR="00C3240F" w:rsidRPr="00C3240F" w:rsidRDefault="00C3240F" w:rsidP="00AF0209">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Power-sharing mechanisms between the Central and Provincial Governments.</w:t>
      </w:r>
    </w:p>
    <w:p w:rsidR="00C3240F" w:rsidRPr="00C3240F" w:rsidRDefault="00C3240F" w:rsidP="00AF0209">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Introduction of a unified currency to prevent currency smuggling from East Pakistan.</w:t>
      </w:r>
    </w:p>
    <w:p w:rsidR="00C3240F" w:rsidRPr="00C3240F" w:rsidRDefault="00C3240F" w:rsidP="00AF0209">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Empowerment of regional governments to collect revenue, taxes, and fines.</w:t>
      </w:r>
    </w:p>
    <w:p w:rsidR="00C3240F" w:rsidRPr="00C3240F" w:rsidRDefault="00C3240F" w:rsidP="00AF0209">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lastRenderedPageBreak/>
        <w:t>Focus on maintaining separate foreign exchange earnings accounts, defining interprovincial trade policy, and enhancing provincial involvement in foreign trade.</w:t>
      </w:r>
    </w:p>
    <w:p w:rsidR="00C3240F" w:rsidRPr="00C3240F" w:rsidRDefault="00C3240F" w:rsidP="00AF0209">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Proposal to establish regional defense forces for self-sufficiency or to ensure regional integrity.</w:t>
      </w:r>
    </w:p>
    <w:p w:rsidR="00C3240F" w:rsidRPr="00C3240F" w:rsidRDefault="00C3240F" w:rsidP="00AF0209">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Retaining defense and foreign affairs under the federal government of Pakistan.</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b/>
          <w:bCs/>
          <w:sz w:val="28"/>
          <w:szCs w:val="28"/>
        </w:rPr>
        <w:t>Objectives of the 6-Point Program:</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The objectives of the 6-point program are as follows:</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First: The central objective of the 6-point program is to create a United States or cooperative (Confederal) system within Pakistan's political structure.</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Second: Recognizing that East Pakistan is not merely a province but a distinct geographic region, the program aims to vest effective governance in the hands of the regional government. It seeks to delegate all matters except defense and foreign affairs to the regional government.</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b/>
          <w:bCs/>
          <w:sz w:val="28"/>
          <w:szCs w:val="28"/>
        </w:rPr>
        <w:t>The Agartala Case, 1968</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The Agartala Conspiracy Case is a significant milestone in Pakistan's and later Bangladesh's history of independence. It exposed a nefarious conspiracy by the military junta under Ayub Shahi to undermine the 6-point autonomy demand of 1966. The goal was to suppress the movement by erasing the 6-point program from the public consciousness and using fabricated cases. The Agartala Conspiracy Case entails the following:</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b/>
          <w:bCs/>
          <w:sz w:val="28"/>
          <w:szCs w:val="28"/>
        </w:rPr>
        <w:t>Agartala Conspiracy Case:</w:t>
      </w:r>
      <w:r w:rsidRPr="00C3240F">
        <w:rPr>
          <w:rFonts w:ascii="Times New Roman" w:eastAsia="Times New Roman" w:hAnsi="Times New Roman" w:cs="Times New Roman"/>
          <w:sz w:val="28"/>
          <w:szCs w:val="28"/>
        </w:rPr>
        <w:t xml:space="preserve"> This case revolves around fabricated charges filed by the Pakistan government against Sheikh Mujibur Rahman and 34 others, both military and civilian. The government alleged that they were conspiring to achieve the separation of East Pakistan from Pakistan through an armed revolution, with support from India, centered in Agartala, India. This case is named after Agartala, the location where the conspiracy blueprint was purportedly developed. Political scientist Dr. Haroon Or Rashid (2011: 266) states, "In January 1968, the Ayub government filed a treason case against 35 Bengali military-civilian individuals, known as the 'Agartala Conspiracy Case,' with Bangabandhu Sheikh Mujibur Rahman as the number one accused. Its formal title was 'State v. Sheikh Mujibur Rahman and others.' Sheikh Mujib referred to it as the 'Islamabad Conspiracy.' The case alleges that on January 6 and later on January 18, 1968, during Pakistan's </w:t>
      </w:r>
      <w:r w:rsidRPr="00C3240F">
        <w:rPr>
          <w:rFonts w:ascii="Times New Roman" w:eastAsia="Times New Roman" w:hAnsi="Times New Roman" w:cs="Times New Roman"/>
          <w:sz w:val="28"/>
          <w:szCs w:val="28"/>
        </w:rPr>
        <w:lastRenderedPageBreak/>
        <w:t>military rule under Ayub's regime, a total of 35 individuals, including Sheikh Mujibur Rahman, were accused of planning secession from Pakistan with Indian assistance from Agartala, India. This case, intentionally fabricated, came to be known as the Agartala Conspiracy Case.</w:t>
      </w:r>
    </w:p>
    <w:p w:rsid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b/>
          <w:bCs/>
          <w:sz w:val="28"/>
          <w:szCs w:val="28"/>
        </w:rPr>
        <w:t>Background of the Agartala Conspiracy Case:</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The military junta under Ayub Shahi seized power in Pakistan by imposing martial law in 1958, subsequently maintaining control over the administration. In 1962, Ayub established his authority through an undemocratic system known as basic democracy. By 1965, Sheikh Mujib played a pivotal role in uniting the opposition against Ayub and contesting Miss Fatima Jinnah's presidential election. Simultaneously, the growing disparities between Eastern and Western Pakistan became increasingly evident. East Pakistan remained vulnerable and unguarded during the Indo-Pak War of 1965. Sheikh Mujib continued to voice these issues publicly. At the anti-Ayub conference in Lahore in 1966, Sheikh Mujib presented the 6-point demands, including advocating for provincial autonomy. This movement gained significant traction in East Pakistan. Despite extensive repression, arrests, and imprisonment, Ayub Khan failed to quell this movement. Publications, newspapers, Rabindra Sangeet literature, the Bengali New Year, and the Bengali language also began playing a role in these discussions. Consequently, the Agartala Conspiracy Case was fabricated.</w:t>
      </w:r>
    </w:p>
    <w:p w:rsidR="00C3240F" w:rsidRDefault="00C3240F" w:rsidP="00AF0209">
      <w:pPr>
        <w:spacing w:before="100" w:beforeAutospacing="1" w:after="100" w:afterAutospacing="1" w:line="240" w:lineRule="auto"/>
        <w:jc w:val="both"/>
        <w:rPr>
          <w:rFonts w:ascii="Times New Roman" w:eastAsia="Times New Roman" w:hAnsi="Times New Roman" w:cs="Times New Roman"/>
          <w:b/>
          <w:bCs/>
          <w:sz w:val="28"/>
          <w:szCs w:val="28"/>
        </w:rPr>
      </w:pP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b/>
          <w:bCs/>
          <w:sz w:val="28"/>
          <w:szCs w:val="28"/>
        </w:rPr>
        <w:t>Objectives of the Agartala Conspiracy Case:</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The military government harbored specific objectives behind the Agartala Conspiracy Case, primarily driven by political interests or dishonest motives. These objectives include:</w:t>
      </w:r>
    </w:p>
    <w:p w:rsidR="00C3240F" w:rsidRPr="00C3240F" w:rsidRDefault="00C3240F" w:rsidP="00AF0209">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Eradicating the 6-point movement permanently.</w:t>
      </w:r>
    </w:p>
    <w:p w:rsidR="00C3240F" w:rsidRPr="00C3240F" w:rsidRDefault="00C3240F" w:rsidP="00AF0209">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Sowing mistrust within the Pakistani Army towards Bengalis.</w:t>
      </w:r>
    </w:p>
    <w:p w:rsidR="00C3240F" w:rsidRPr="00C3240F" w:rsidRDefault="00C3240F" w:rsidP="00AF0209">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Amplifying the divide between East and West Pakistan, deepening the existing chasm.</w:t>
      </w:r>
    </w:p>
    <w:p w:rsidR="00C3240F" w:rsidRPr="00C3240F" w:rsidRDefault="00C3240F" w:rsidP="00AF0209">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Delaying Sheikh Mujib's indictment to eventually eliminate him from the political scene. Due to his speeches at various public gatherings and extensive public relations, Mujib gained substantial public support. Ayub Khan filed a conspiracy case against him to undermine this support.</w:t>
      </w:r>
    </w:p>
    <w:p w:rsidR="00C3240F" w:rsidRPr="00C3240F" w:rsidRDefault="00C3240F" w:rsidP="00AF0209">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lastRenderedPageBreak/>
        <w:t>The government sought to continue its misdeeds without hindrance. In favor of Ayub, Governor of East Pakistan Munayem Khan remarked, "Sheikh Mujib must be silenced as long as he sits on the throne."</w:t>
      </w:r>
    </w:p>
    <w:p w:rsidR="00C3240F" w:rsidRPr="00C3240F" w:rsidRDefault="00C3240F" w:rsidP="00AF0209">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Eroding the sense of nationalism among Bengalis.</w:t>
      </w:r>
    </w:p>
    <w:p w:rsidR="00C3240F" w:rsidRPr="00C3240F" w:rsidRDefault="00C3240F" w:rsidP="00AF0209">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Manipulating public opinion to favor Ayub Khan and his Convention Muslim League's objectives. The Agartala Conspiracy Case served this purpose, although its authenticity remains questionable.</w:t>
      </w:r>
    </w:p>
    <w:p w:rsidR="00C3240F" w:rsidRDefault="00C3240F" w:rsidP="00AF0209">
      <w:pPr>
        <w:spacing w:before="100" w:beforeAutospacing="1" w:after="100" w:afterAutospacing="1" w:line="240" w:lineRule="auto"/>
        <w:jc w:val="both"/>
        <w:rPr>
          <w:rFonts w:ascii="Times New Roman" w:eastAsia="Times New Roman" w:hAnsi="Times New Roman" w:cs="Times New Roman"/>
          <w:b/>
          <w:bCs/>
          <w:sz w:val="28"/>
          <w:szCs w:val="28"/>
        </w:rPr>
      </w:pP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b/>
          <w:bCs/>
          <w:sz w:val="28"/>
          <w:szCs w:val="28"/>
        </w:rPr>
        <w:t>Filing of the Agartala Conspiracy Case:</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In December 1967, the government received intelligence about a conspiracy involving certain Bengalis, both active and retired military and civil personnel, to secede East Pakistan. The arrests began under the Pakistan Defense and Defense Services Act. Initially, a list of eight individuals, including six Bengali military personnel and two CSP officers, was published on January 1, 1968. Subsequently, 28 individuals were arrested on January 6, 1968, leading to accusations of sedition. A press note indicated that those arrested had confessed, with further investigations ongoing. The First Secretary of the Indian Embassy in East Pakistan was expelled over conspiracy allegations. An official press note on January 18, 1968, stated, "Evidence of Sheikh Mujibur Rahman's involvement in the conspiracy has been found." Consequently, another case was filed against a total of 35 individuals, including the earlier 28, making him the primary accused on charges of 'planning and conducting the conspiracy.' This marked the foundation of the Agartala Conspiracy Case.</w:t>
      </w:r>
    </w:p>
    <w:p w:rsidR="00C3240F" w:rsidRDefault="00C3240F" w:rsidP="00AF0209">
      <w:pPr>
        <w:spacing w:before="100" w:beforeAutospacing="1" w:after="100" w:afterAutospacing="1" w:line="240" w:lineRule="auto"/>
        <w:jc w:val="both"/>
        <w:rPr>
          <w:rFonts w:ascii="Times New Roman" w:eastAsia="Times New Roman" w:hAnsi="Times New Roman" w:cs="Times New Roman"/>
          <w:b/>
          <w:bCs/>
          <w:sz w:val="28"/>
          <w:szCs w:val="28"/>
        </w:rPr>
      </w:pP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b/>
          <w:bCs/>
          <w:sz w:val="28"/>
          <w:szCs w:val="28"/>
        </w:rPr>
        <w:t>Contents of the Agartala Conspiracy Case:</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The case alleges that since 1964, the accused individuals participated in several meetings to conspire for Pakistan's separation. Their plan included a commando-style attack on Army Day to capture Pakistani officers and seize army camps. They created a covert network for this purpose, acquiring finances, weapons, and ammunition from India to facilitate the coup's success. A detailed list of money and weaponry was also prepared for this endeavor.</w:t>
      </w:r>
    </w:p>
    <w:p w:rsidR="00C3240F" w:rsidRDefault="00C3240F" w:rsidP="00AF0209">
      <w:pPr>
        <w:spacing w:before="100" w:beforeAutospacing="1" w:after="100" w:afterAutospacing="1" w:line="240" w:lineRule="auto"/>
        <w:jc w:val="both"/>
        <w:rPr>
          <w:rFonts w:ascii="Times New Roman" w:eastAsia="Times New Roman" w:hAnsi="Times New Roman" w:cs="Times New Roman"/>
          <w:b/>
          <w:bCs/>
          <w:sz w:val="28"/>
          <w:szCs w:val="28"/>
        </w:rPr>
      </w:pPr>
    </w:p>
    <w:p w:rsidR="00C3240F" w:rsidRDefault="00C3240F" w:rsidP="00AF0209">
      <w:pPr>
        <w:spacing w:before="100" w:beforeAutospacing="1" w:after="100" w:afterAutospacing="1" w:line="240" w:lineRule="auto"/>
        <w:jc w:val="both"/>
        <w:rPr>
          <w:rFonts w:ascii="Times New Roman" w:eastAsia="Times New Roman" w:hAnsi="Times New Roman" w:cs="Times New Roman"/>
          <w:b/>
          <w:bCs/>
          <w:sz w:val="28"/>
          <w:szCs w:val="28"/>
        </w:rPr>
      </w:pPr>
    </w:p>
    <w:p w:rsidR="00C3240F" w:rsidRDefault="00C3240F" w:rsidP="00AF0209">
      <w:pPr>
        <w:spacing w:before="100" w:beforeAutospacing="1" w:after="100" w:afterAutospacing="1" w:line="240" w:lineRule="auto"/>
        <w:jc w:val="both"/>
        <w:rPr>
          <w:rFonts w:ascii="Times New Roman" w:eastAsia="Times New Roman" w:hAnsi="Times New Roman" w:cs="Times New Roman"/>
          <w:b/>
          <w:bCs/>
          <w:sz w:val="28"/>
          <w:szCs w:val="28"/>
        </w:rPr>
      </w:pP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b/>
          <w:bCs/>
          <w:sz w:val="28"/>
          <w:szCs w:val="28"/>
        </w:rPr>
        <w:t>Allegations Against Bangabandhu in the Agartala Conspiracy Case:</w:t>
      </w:r>
    </w:p>
    <w:p w:rsidR="00C3240F" w:rsidRPr="00C3240F" w:rsidRDefault="00C3240F" w:rsidP="00AF0209">
      <w:pPr>
        <w:spacing w:before="100" w:beforeAutospacing="1" w:after="100" w:afterAutospacing="1" w:line="240" w:lineRule="auto"/>
        <w:jc w:val="both"/>
        <w:rPr>
          <w:rFonts w:ascii="Times New Roman" w:eastAsia="Times New Roman" w:hAnsi="Times New Roman" w:cs="Times New Roman"/>
          <w:sz w:val="28"/>
          <w:szCs w:val="28"/>
        </w:rPr>
      </w:pPr>
      <w:r w:rsidRPr="00C3240F">
        <w:rPr>
          <w:rFonts w:ascii="Times New Roman" w:eastAsia="Times New Roman" w:hAnsi="Times New Roman" w:cs="Times New Roman"/>
          <w:sz w:val="28"/>
          <w:szCs w:val="28"/>
        </w:rPr>
        <w:t>In the Agartala Conspiracy Case, Sheikh Mujibur Rahman is accused of participating in several secret meetings with Lt. Commander Moazzem Hussain and others prior to his 1966 imprisonment under the Pakistan Defense Act. He allegedly assumed responsibility for raising the necessary funds. On July 12, 1967, some of the accused traveled to Agartala, Tripura, India, to meet with government representatives from that country. As he had been previously arrested, he was re-arrested in connection with this case.</w:t>
      </w:r>
    </w:p>
    <w:p w:rsidR="00297E8D" w:rsidRPr="005C27B7" w:rsidRDefault="00297E8D" w:rsidP="00AF0209">
      <w:pPr>
        <w:pStyle w:val="NoSpacing"/>
        <w:keepNext/>
        <w:keepLines/>
        <w:contextualSpacing/>
        <w:jc w:val="both"/>
        <w:rPr>
          <w:rFonts w:ascii="Times New Roman" w:hAnsi="Times New Roman" w:cs="Times New Roman"/>
          <w:sz w:val="26"/>
          <w:szCs w:val="26"/>
        </w:rPr>
      </w:pPr>
    </w:p>
    <w:p w:rsidR="006B0E23" w:rsidRPr="005C27B7" w:rsidRDefault="006B0E23" w:rsidP="00AF0209">
      <w:pPr>
        <w:pStyle w:val="NoSpacing"/>
        <w:keepNext/>
        <w:keepLines/>
        <w:contextualSpacing/>
        <w:jc w:val="both"/>
        <w:rPr>
          <w:rFonts w:ascii="Times New Roman" w:hAnsi="Times New Roman" w:cs="Times New Roman"/>
          <w:sz w:val="26"/>
          <w:szCs w:val="26"/>
        </w:rPr>
      </w:pPr>
    </w:p>
    <w:sectPr w:rsidR="006B0E23" w:rsidRPr="005C27B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29BF" w:rsidRDefault="00C629BF" w:rsidP="00F826FC">
      <w:pPr>
        <w:spacing w:after="0" w:line="240" w:lineRule="auto"/>
      </w:pPr>
      <w:r>
        <w:separator/>
      </w:r>
    </w:p>
  </w:endnote>
  <w:endnote w:type="continuationSeparator" w:id="0">
    <w:p w:rsidR="00C629BF" w:rsidRDefault="00C629BF" w:rsidP="00F82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26FC" w:rsidRDefault="00F826F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26FC" w:rsidRDefault="00F826F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26FC" w:rsidRDefault="00F826F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29BF" w:rsidRDefault="00C629BF" w:rsidP="00F826FC">
      <w:pPr>
        <w:spacing w:after="0" w:line="240" w:lineRule="auto"/>
      </w:pPr>
      <w:r>
        <w:separator/>
      </w:r>
    </w:p>
  </w:footnote>
  <w:footnote w:type="continuationSeparator" w:id="0">
    <w:p w:rsidR="00C629BF" w:rsidRDefault="00C629BF" w:rsidP="00F826F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26FC" w:rsidRDefault="00F826F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6256518"/>
      <w:docPartObj>
        <w:docPartGallery w:val="Page Numbers (Top of Page)"/>
        <w:docPartUnique/>
      </w:docPartObj>
    </w:sdtPr>
    <w:sdtEndPr/>
    <w:sdtContent>
      <w:p w:rsidR="00F826FC" w:rsidRDefault="00642018">
        <w:pPr>
          <w:pStyle w:val="Header"/>
          <w:jc w:val="right"/>
        </w:pPr>
        <w:r>
          <w:fldChar w:fldCharType="begin"/>
        </w:r>
        <w:r>
          <w:instrText xml:space="preserve"> PAGE   \* MERGEFORMAT </w:instrText>
        </w:r>
        <w:r>
          <w:fldChar w:fldCharType="separate"/>
        </w:r>
        <w:r w:rsidR="00AF0209">
          <w:rPr>
            <w:noProof/>
          </w:rPr>
          <w:t>13</w:t>
        </w:r>
        <w:r>
          <w:rPr>
            <w:noProof/>
          </w:rPr>
          <w:fldChar w:fldCharType="end"/>
        </w:r>
      </w:p>
    </w:sdtContent>
  </w:sdt>
  <w:p w:rsidR="00F826FC" w:rsidRDefault="00F826F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26FC" w:rsidRDefault="00F826F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7259D"/>
    <w:multiLevelType w:val="multilevel"/>
    <w:tmpl w:val="53044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F321ED2"/>
    <w:multiLevelType w:val="hybridMultilevel"/>
    <w:tmpl w:val="2632ACB4"/>
    <w:lvl w:ilvl="0" w:tplc="0409000F">
      <w:start w:val="1"/>
      <w:numFmt w:val="decimal"/>
      <w:lvlText w:val="%1."/>
      <w:lvlJc w:val="left"/>
      <w:pPr>
        <w:ind w:left="720" w:hanging="360"/>
      </w:pPr>
    </w:lvl>
    <w:lvl w:ilvl="1" w:tplc="E01E825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660BB2"/>
    <w:multiLevelType w:val="hybridMultilevel"/>
    <w:tmpl w:val="C4CC7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6C4C77"/>
    <w:multiLevelType w:val="hybridMultilevel"/>
    <w:tmpl w:val="8C6A4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8F553E"/>
    <w:multiLevelType w:val="hybridMultilevel"/>
    <w:tmpl w:val="128CC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6E6E71"/>
    <w:multiLevelType w:val="hybridMultilevel"/>
    <w:tmpl w:val="574438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01A3CD4"/>
    <w:multiLevelType w:val="multilevel"/>
    <w:tmpl w:val="B6A2D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2067784"/>
    <w:multiLevelType w:val="hybridMultilevel"/>
    <w:tmpl w:val="C5D4F2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3225BE8"/>
    <w:multiLevelType w:val="hybridMultilevel"/>
    <w:tmpl w:val="78D285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DF56C2B"/>
    <w:multiLevelType w:val="multilevel"/>
    <w:tmpl w:val="F660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50D2A9B"/>
    <w:multiLevelType w:val="hybridMultilevel"/>
    <w:tmpl w:val="7700DD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697160CE"/>
    <w:multiLevelType w:val="hybridMultilevel"/>
    <w:tmpl w:val="18E43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B86463B"/>
    <w:multiLevelType w:val="hybridMultilevel"/>
    <w:tmpl w:val="FF1EC3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38D43C6"/>
    <w:multiLevelType w:val="hybridMultilevel"/>
    <w:tmpl w:val="7114A4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4"/>
  </w:num>
  <w:num w:numId="3">
    <w:abstractNumId w:val="3"/>
  </w:num>
  <w:num w:numId="4">
    <w:abstractNumId w:val="5"/>
  </w:num>
  <w:num w:numId="5">
    <w:abstractNumId w:val="7"/>
  </w:num>
  <w:num w:numId="6">
    <w:abstractNumId w:val="10"/>
  </w:num>
  <w:num w:numId="7">
    <w:abstractNumId w:val="13"/>
  </w:num>
  <w:num w:numId="8">
    <w:abstractNumId w:val="12"/>
  </w:num>
  <w:num w:numId="9">
    <w:abstractNumId w:val="11"/>
  </w:num>
  <w:num w:numId="10">
    <w:abstractNumId w:val="2"/>
  </w:num>
  <w:num w:numId="11">
    <w:abstractNumId w:val="8"/>
  </w:num>
  <w:num w:numId="12">
    <w:abstractNumId w:val="9"/>
  </w:num>
  <w:num w:numId="13">
    <w:abstractNumId w:val="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C4465F"/>
    <w:rsid w:val="00023817"/>
    <w:rsid w:val="001C1C99"/>
    <w:rsid w:val="00234715"/>
    <w:rsid w:val="00297E8D"/>
    <w:rsid w:val="00345101"/>
    <w:rsid w:val="00430003"/>
    <w:rsid w:val="005C27B7"/>
    <w:rsid w:val="00616E4D"/>
    <w:rsid w:val="00642018"/>
    <w:rsid w:val="006B0E23"/>
    <w:rsid w:val="008C53CE"/>
    <w:rsid w:val="00AF0209"/>
    <w:rsid w:val="00BF14E8"/>
    <w:rsid w:val="00C3240F"/>
    <w:rsid w:val="00C4465F"/>
    <w:rsid w:val="00C629BF"/>
    <w:rsid w:val="00C84C2C"/>
    <w:rsid w:val="00DF195E"/>
    <w:rsid w:val="00ED582C"/>
    <w:rsid w:val="00EF25DC"/>
    <w:rsid w:val="00EF49B6"/>
    <w:rsid w:val="00F82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7DC8F46-5CBB-482C-9A6B-672184E79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465F"/>
    <w:pPr>
      <w:ind w:left="720"/>
      <w:contextualSpacing/>
    </w:pPr>
  </w:style>
  <w:style w:type="paragraph" w:styleId="NoSpacing">
    <w:name w:val="No Spacing"/>
    <w:uiPriority w:val="1"/>
    <w:qFormat/>
    <w:rsid w:val="00C4465F"/>
    <w:pPr>
      <w:spacing w:after="0" w:line="240" w:lineRule="auto"/>
    </w:pPr>
  </w:style>
  <w:style w:type="paragraph" w:styleId="Header">
    <w:name w:val="header"/>
    <w:basedOn w:val="Normal"/>
    <w:link w:val="HeaderChar"/>
    <w:uiPriority w:val="99"/>
    <w:unhideWhenUsed/>
    <w:rsid w:val="00F82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6FC"/>
  </w:style>
  <w:style w:type="paragraph" w:styleId="Footer">
    <w:name w:val="footer"/>
    <w:basedOn w:val="Normal"/>
    <w:link w:val="FooterChar"/>
    <w:uiPriority w:val="99"/>
    <w:semiHidden/>
    <w:unhideWhenUsed/>
    <w:rsid w:val="00F826F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26FC"/>
  </w:style>
  <w:style w:type="paragraph" w:styleId="NormalWeb">
    <w:name w:val="Normal (Web)"/>
    <w:basedOn w:val="Normal"/>
    <w:uiPriority w:val="99"/>
    <w:semiHidden/>
    <w:unhideWhenUsed/>
    <w:rsid w:val="00ED58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58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0071948">
      <w:bodyDiv w:val="1"/>
      <w:marLeft w:val="0"/>
      <w:marRight w:val="0"/>
      <w:marTop w:val="0"/>
      <w:marBottom w:val="0"/>
      <w:divBdr>
        <w:top w:val="none" w:sz="0" w:space="0" w:color="auto"/>
        <w:left w:val="none" w:sz="0" w:space="0" w:color="auto"/>
        <w:bottom w:val="none" w:sz="0" w:space="0" w:color="auto"/>
        <w:right w:val="none" w:sz="0" w:space="0" w:color="auto"/>
      </w:divBdr>
    </w:div>
    <w:div w:id="894778286">
      <w:bodyDiv w:val="1"/>
      <w:marLeft w:val="0"/>
      <w:marRight w:val="0"/>
      <w:marTop w:val="0"/>
      <w:marBottom w:val="0"/>
      <w:divBdr>
        <w:top w:val="none" w:sz="0" w:space="0" w:color="auto"/>
        <w:left w:val="none" w:sz="0" w:space="0" w:color="auto"/>
        <w:bottom w:val="none" w:sz="0" w:space="0" w:color="auto"/>
        <w:right w:val="none" w:sz="0" w:space="0" w:color="auto"/>
      </w:divBdr>
    </w:div>
    <w:div w:id="1438452865">
      <w:bodyDiv w:val="1"/>
      <w:marLeft w:val="0"/>
      <w:marRight w:val="0"/>
      <w:marTop w:val="0"/>
      <w:marBottom w:val="0"/>
      <w:divBdr>
        <w:top w:val="none" w:sz="0" w:space="0" w:color="auto"/>
        <w:left w:val="none" w:sz="0" w:space="0" w:color="auto"/>
        <w:bottom w:val="none" w:sz="0" w:space="0" w:color="auto"/>
        <w:right w:val="none" w:sz="0" w:space="0" w:color="auto"/>
      </w:divBdr>
    </w:div>
    <w:div w:id="1696539691">
      <w:bodyDiv w:val="1"/>
      <w:marLeft w:val="0"/>
      <w:marRight w:val="0"/>
      <w:marTop w:val="0"/>
      <w:marBottom w:val="0"/>
      <w:divBdr>
        <w:top w:val="none" w:sz="0" w:space="0" w:color="auto"/>
        <w:left w:val="none" w:sz="0" w:space="0" w:color="auto"/>
        <w:bottom w:val="none" w:sz="0" w:space="0" w:color="auto"/>
        <w:right w:val="none" w:sz="0" w:space="0" w:color="auto"/>
      </w:divBdr>
    </w:div>
    <w:div w:id="1707562528">
      <w:bodyDiv w:val="1"/>
      <w:marLeft w:val="0"/>
      <w:marRight w:val="0"/>
      <w:marTop w:val="0"/>
      <w:marBottom w:val="0"/>
      <w:divBdr>
        <w:top w:val="none" w:sz="0" w:space="0" w:color="auto"/>
        <w:left w:val="none" w:sz="0" w:space="0" w:color="auto"/>
        <w:bottom w:val="none" w:sz="0" w:space="0" w:color="auto"/>
        <w:right w:val="none" w:sz="0" w:space="0" w:color="auto"/>
      </w:divBdr>
    </w:div>
    <w:div w:id="195273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13</Pages>
  <Words>4459</Words>
  <Characters>25417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Faisal</dc:creator>
  <cp:lastModifiedBy>Peter Raton Corraya</cp:lastModifiedBy>
  <cp:revision>9</cp:revision>
  <dcterms:created xsi:type="dcterms:W3CDTF">2023-04-03T15:36:00Z</dcterms:created>
  <dcterms:modified xsi:type="dcterms:W3CDTF">2023-08-24T19:59:00Z</dcterms:modified>
</cp:coreProperties>
</file>