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Titel"/>
    <w:bookmarkStart w:id="1" w:name="_GoBack"/>
    <w:bookmarkEnd w:id="1"/>
    <w:p>
      <w:pPr>
        <w:pStyle w:val="DeckblattUntertitel"/>
        <w:spacing w:before="2400"/>
        <w:rPr>
          <w:sz w:val="28"/>
          <w:szCs w:val="28"/>
        </w:rPr>
      </w:pPr>
      <w:r>
        <w:fldChar w:fldCharType="begin"/>
      </w:r>
      <w:r>
        <w:instrText xml:space="preserve">  </w:instrText>
      </w:r>
      <w:r>
        <w:fldChar w:fldCharType="end"/>
      </w:r>
      <w:r>
        <w:t>Anleitung zur Systemspezifikation</w:t>
      </w:r>
      <w:bookmarkEnd w:id="0"/>
      <w:r>
        <w:br/>
      </w:r>
    </w:p>
    <w:p>
      <w:pPr>
        <w:pStyle w:val="StandardDeckblatt"/>
        <w:outlineLvl w:val="0"/>
      </w:pPr>
      <w:r>
        <w:t>Version:</w:t>
      </w:r>
      <w:r>
        <w:tab/>
      </w:r>
      <w:r>
        <w:tab/>
      </w:r>
      <w:bookmarkStart w:id="2" w:name="Version"/>
      <w:r>
        <w:t>&lt;Version&gt;</w:t>
      </w:r>
      <w:bookmarkEnd w:id="2"/>
    </w:p>
    <w:p>
      <w:pPr>
        <w:pStyle w:val="StandardDeckblatt"/>
      </w:pPr>
      <w:r>
        <w:t>Status:</w:t>
      </w:r>
      <w:r>
        <w:tab/>
      </w:r>
      <w:r>
        <w:tab/>
        <w:t>&lt;Status&gt;</w:t>
      </w:r>
    </w:p>
    <w:p>
      <w:pPr>
        <w:pStyle w:val="StandardDeckblatt"/>
      </w:pPr>
      <w:r>
        <w:t>Stand:</w:t>
      </w:r>
      <w:r>
        <w:tab/>
      </w:r>
      <w:r>
        <w:tab/>
        <w:t>00.00.0000</w:t>
      </w:r>
    </w:p>
    <w:p>
      <w:pPr>
        <w:pStyle w:val="StandardDeckblatt"/>
      </w:pPr>
      <w:r>
        <w:t>Vertraulichkeit:</w:t>
      </w:r>
      <w:r>
        <w:tab/>
      </w:r>
      <w:r>
        <w:rPr>
          <w:b/>
          <w:i/>
        </w:rPr>
        <w:t>&lt;Vertraulichkeitsstufe&gt;</w:t>
      </w:r>
    </w:p>
    <w:p>
      <w:pPr>
        <w:pStyle w:val="StandardDeckblatt"/>
        <w:tabs>
          <w:tab w:val="clear" w:pos="1531"/>
          <w:tab w:val="left" w:pos="1881"/>
        </w:tabs>
      </w:pPr>
      <w:r>
        <w:br w:type="page"/>
      </w:r>
    </w:p>
    <w:p>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Pr>
          <w:rFonts w:ascii="Arial" w:hAnsi="Arial"/>
          <w:sz w:val="20"/>
        </w:rPr>
        <w:t>IsyFact Vorlage Systemspezifikation</w:t>
      </w:r>
      <w:r>
        <w:rPr>
          <w:rFonts w:ascii="Arial" w:hAnsi="Arial"/>
          <w:sz w:val="20"/>
        </w:rPr>
        <w:fldChar w:fldCharType="end"/>
      </w:r>
      <w:r>
        <w:rPr>
          <w:rFonts w:ascii="Arial" w:hAnsi="Arial"/>
          <w:sz w:val="20"/>
        </w:rPr>
        <w:t>“</w:t>
      </w:r>
      <w:r>
        <w:rPr>
          <w:rFonts w:ascii="Arial" w:hAnsi="Arial"/>
          <w:sz w:val="20"/>
        </w:rPr>
        <w:br/>
        <w:t xml:space="preserve">des </w:t>
      </w:r>
      <w:hyperlink r:id="rId11"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2" w:history="1">
        <w:r>
          <w:rPr>
            <w:rFonts w:ascii="Arial" w:hAnsi="Arial"/>
            <w:color w:val="808080"/>
            <w:sz w:val="20"/>
            <w:u w:val="single"/>
          </w:rPr>
          <w:t>Creative Commons Namensnennung 4.0 International Lizenz</w:t>
        </w:r>
      </w:hyperlink>
      <w:r>
        <w:rPr>
          <w:rFonts w:ascii="Arial" w:hAnsi="Arial"/>
          <w:sz w:val="20"/>
        </w:rPr>
        <w:t>.</w:t>
      </w:r>
    </w:p>
    <w:p>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3" w:history="1">
        <w:r>
          <w:rPr>
            <w:rFonts w:ascii="Arial" w:hAnsi="Arial"/>
            <w:color w:val="808080"/>
            <w:sz w:val="20"/>
            <w:u w:val="single"/>
          </w:rPr>
          <w:t>http://creativecommons.org/licenses/by/4.0</w:t>
        </w:r>
      </w:hyperlink>
    </w:p>
    <w:p>
      <w:pPr>
        <w:spacing w:before="0"/>
        <w:ind w:left="-113"/>
        <w:jc w:val="left"/>
        <w:rPr>
          <w:i/>
          <w:sz w:val="18"/>
          <w:szCs w:val="18"/>
        </w:rPr>
      </w:pPr>
      <w:r>
        <w:rPr>
          <w:i/>
          <w:sz w:val="18"/>
          <w:szCs w:val="18"/>
        </w:rPr>
        <w:t>Dieser Lizenztext bezieht sich auf die Vorlage. In Dokumenten, die auf der Vorlage basieren, ist dieser Text zu löschen.</w:t>
      </w:r>
    </w:p>
    <w:p>
      <w:pPr>
        <w:pStyle w:val="StandardDeckblatt"/>
      </w:pPr>
    </w:p>
    <w:p>
      <w:pPr>
        <w:sectPr>
          <w:headerReference w:type="even" r:id="rId14"/>
          <w:headerReference w:type="default" r:id="rId15"/>
          <w:footerReference w:type="even" r:id="rId16"/>
          <w:footerReference w:type="default" r:id="rId17"/>
          <w:footerReference w:type="first" r:id="rId18"/>
          <w:pgSz w:w="11907" w:h="16840" w:code="9"/>
          <w:pgMar w:top="2778" w:right="1304" w:bottom="2154" w:left="1191" w:header="1446" w:footer="454" w:gutter="0"/>
          <w:cols w:space="720"/>
          <w:docGrid w:linePitch="326"/>
        </w:sectPr>
      </w:pPr>
    </w:p>
    <w:p>
      <w:pPr>
        <w:pStyle w:val="Zwischenber1"/>
        <w:outlineLvl w:val="0"/>
      </w:pPr>
      <w:bookmarkStart w:id="4" w:name="Zusammenfassung"/>
      <w:r>
        <w:lastRenderedPageBreak/>
        <w:t>Zusammenfassung</w:t>
      </w:r>
    </w:p>
    <w:p>
      <w:r>
        <w:t>Dieses Dokument enthält Ausfüllhinweise für die Erarbeitung von Systemspezifikationen nach dem V-Modell XT in einer für den Kunden angepassten Fassung. Es handelt sich um Empfehlungen, die im Einzelfall in Absprache mit dem Kunden abgewandelt werden können.</w:t>
      </w:r>
    </w:p>
    <w:p>
      <w:pPr>
        <w:pStyle w:val="Zwischenber1"/>
        <w:outlineLvl w:val="0"/>
      </w:pPr>
      <w:bookmarkStart w:id="5" w:name="Historie"/>
      <w:bookmarkEnd w:id="4"/>
      <w:r>
        <w:t>Historie</w:t>
      </w:r>
    </w:p>
    <w:p>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tc>
          <w:tcPr>
            <w:tcW w:w="993" w:type="dxa"/>
          </w:tcPr>
          <w:p>
            <w:pPr>
              <w:pStyle w:val="StandardTabelle"/>
              <w:rPr>
                <w:rFonts w:ascii="Arial" w:hAnsi="Arial"/>
              </w:rPr>
            </w:pPr>
            <w:r>
              <w:rPr>
                <w:rFonts w:ascii="Arial" w:hAnsi="Arial"/>
              </w:rPr>
              <w:t>Version</w:t>
            </w:r>
          </w:p>
        </w:tc>
        <w:tc>
          <w:tcPr>
            <w:tcW w:w="1275" w:type="dxa"/>
          </w:tcPr>
          <w:p>
            <w:pPr>
              <w:pStyle w:val="StandardTabelle"/>
              <w:rPr>
                <w:rFonts w:ascii="Arial" w:hAnsi="Arial"/>
              </w:rPr>
            </w:pPr>
            <w:r>
              <w:rPr>
                <w:rFonts w:ascii="Arial" w:hAnsi="Arial"/>
              </w:rPr>
              <w:t>Status</w:t>
            </w:r>
          </w:p>
        </w:tc>
        <w:tc>
          <w:tcPr>
            <w:tcW w:w="1276" w:type="dxa"/>
          </w:tcPr>
          <w:p>
            <w:pPr>
              <w:pStyle w:val="StandardTabelle"/>
              <w:rPr>
                <w:rFonts w:ascii="Arial" w:hAnsi="Arial"/>
              </w:rPr>
            </w:pPr>
            <w:r>
              <w:rPr>
                <w:rFonts w:ascii="Arial" w:hAnsi="Arial"/>
              </w:rPr>
              <w:t>Datum</w:t>
            </w:r>
          </w:p>
        </w:tc>
        <w:tc>
          <w:tcPr>
            <w:tcW w:w="1559" w:type="dxa"/>
          </w:tcPr>
          <w:p>
            <w:pPr>
              <w:pStyle w:val="StandardTabelle"/>
              <w:rPr>
                <w:rFonts w:ascii="Arial" w:hAnsi="Arial"/>
              </w:rPr>
            </w:pPr>
            <w:r>
              <w:rPr>
                <w:rFonts w:ascii="Arial" w:hAnsi="Arial"/>
              </w:rPr>
              <w:t>Autor(en)</w:t>
            </w:r>
          </w:p>
        </w:tc>
        <w:tc>
          <w:tcPr>
            <w:tcW w:w="3105" w:type="dxa"/>
          </w:tcPr>
          <w:p>
            <w:pPr>
              <w:pStyle w:val="StandardTabelle"/>
              <w:rPr>
                <w:rFonts w:ascii="Arial" w:hAnsi="Arial"/>
              </w:rPr>
            </w:pPr>
            <w:r>
              <w:rPr>
                <w:rFonts w:ascii="Arial" w:hAnsi="Arial"/>
              </w:rPr>
              <w:t>Erläuterung</w:t>
            </w:r>
          </w:p>
        </w:tc>
      </w:tr>
      <w:tr>
        <w:tc>
          <w:tcPr>
            <w:tcW w:w="993" w:type="dxa"/>
          </w:tcPr>
          <w:p>
            <w:pPr>
              <w:pStyle w:val="StandardTabelle"/>
            </w:pPr>
            <w:r>
              <w:t>0.1</w:t>
            </w:r>
          </w:p>
        </w:tc>
        <w:tc>
          <w:tcPr>
            <w:tcW w:w="1275" w:type="dxa"/>
          </w:tcPr>
          <w:p>
            <w:pPr>
              <w:pStyle w:val="StandardTabelle"/>
            </w:pPr>
            <w:bookmarkStart w:id="6" w:name="StatusInHistorie"/>
            <w:r>
              <w:t>in Bearbeitung</w:t>
            </w:r>
            <w:bookmarkEnd w:id="6"/>
            <w:r>
              <w:t xml:space="preserve"> intern</w:t>
            </w:r>
          </w:p>
        </w:tc>
        <w:tc>
          <w:tcPr>
            <w:tcW w:w="1276" w:type="dxa"/>
          </w:tcPr>
          <w:p>
            <w:pPr>
              <w:pStyle w:val="StandardTabelle"/>
            </w:pPr>
            <w:r>
              <w:t>14.2.2012</w:t>
            </w:r>
          </w:p>
        </w:tc>
        <w:tc>
          <w:tcPr>
            <w:tcW w:w="1559" w:type="dxa"/>
          </w:tcPr>
          <w:p>
            <w:pPr>
              <w:pStyle w:val="StandardTabelle"/>
            </w:pPr>
            <w:r>
              <w:t>Capgemini Deutschland GmbH</w:t>
            </w:r>
          </w:p>
        </w:tc>
        <w:tc>
          <w:tcPr>
            <w:tcW w:w="3105" w:type="dxa"/>
          </w:tcPr>
          <w:p>
            <w:pPr>
              <w:pStyle w:val="StandardTabelle"/>
            </w:pPr>
            <w:r>
              <w:t>Spezifikationstemplate des Gesamtprojekts angepasst</w:t>
            </w:r>
          </w:p>
        </w:tc>
      </w:tr>
      <w:tr>
        <w:tc>
          <w:tcPr>
            <w:tcW w:w="993" w:type="dxa"/>
          </w:tcPr>
          <w:p>
            <w:pPr>
              <w:pStyle w:val="StandardTabelle"/>
            </w:pPr>
            <w:r>
              <w:t>0.9</w:t>
            </w:r>
          </w:p>
        </w:tc>
        <w:tc>
          <w:tcPr>
            <w:tcW w:w="1275" w:type="dxa"/>
          </w:tcPr>
          <w:p>
            <w:pPr>
              <w:pStyle w:val="StandardTabelle"/>
            </w:pPr>
            <w:r>
              <w:t>Ausgeliefert</w:t>
            </w:r>
          </w:p>
        </w:tc>
        <w:tc>
          <w:tcPr>
            <w:tcW w:w="1276" w:type="dxa"/>
          </w:tcPr>
          <w:p>
            <w:pPr>
              <w:pStyle w:val="StandardTabelle"/>
            </w:pPr>
            <w:r>
              <w:t>20.2.2012</w:t>
            </w:r>
          </w:p>
        </w:tc>
        <w:tc>
          <w:tcPr>
            <w:tcW w:w="1559" w:type="dxa"/>
          </w:tcPr>
          <w:p>
            <w:pPr>
              <w:pStyle w:val="StandardTabelle"/>
            </w:pPr>
            <w:r>
              <w:t>Capgemini Deutschland GmbH</w:t>
            </w:r>
          </w:p>
        </w:tc>
        <w:tc>
          <w:tcPr>
            <w:tcW w:w="3105" w:type="dxa"/>
          </w:tcPr>
          <w:p>
            <w:pPr>
              <w:pStyle w:val="StandardTabelle"/>
            </w:pPr>
            <w:r>
              <w:t>Capgemini-internen Review eingearbeitet</w:t>
            </w:r>
          </w:p>
        </w:tc>
      </w:tr>
      <w:tr>
        <w:tc>
          <w:tcPr>
            <w:tcW w:w="993" w:type="dxa"/>
          </w:tcPr>
          <w:p>
            <w:pPr>
              <w:pStyle w:val="StandardTabelle"/>
            </w:pPr>
            <w:r>
              <w:t>1.0</w:t>
            </w:r>
          </w:p>
        </w:tc>
        <w:tc>
          <w:tcPr>
            <w:tcW w:w="1275" w:type="dxa"/>
          </w:tcPr>
          <w:p>
            <w:pPr>
              <w:pStyle w:val="StandardTabelle"/>
            </w:pPr>
            <w:r>
              <w:t>Akzeptiert</w:t>
            </w:r>
          </w:p>
        </w:tc>
        <w:tc>
          <w:tcPr>
            <w:tcW w:w="1276" w:type="dxa"/>
          </w:tcPr>
          <w:p>
            <w:pPr>
              <w:pStyle w:val="StandardTabelle"/>
            </w:pPr>
            <w:r>
              <w:t>12.6.2012</w:t>
            </w:r>
          </w:p>
        </w:tc>
        <w:tc>
          <w:tcPr>
            <w:tcW w:w="1559" w:type="dxa"/>
          </w:tcPr>
          <w:p>
            <w:pPr>
              <w:pStyle w:val="StandardTabelle"/>
            </w:pPr>
            <w:r>
              <w:t>Capgemini Deutschland GmbH</w:t>
            </w:r>
          </w:p>
        </w:tc>
        <w:tc>
          <w:tcPr>
            <w:tcW w:w="3105" w:type="dxa"/>
          </w:tcPr>
          <w:p>
            <w:pPr>
              <w:pStyle w:val="StandardTabelle"/>
            </w:pPr>
            <w:r>
              <w:t>BVA-Review eingearbeitet</w:t>
            </w:r>
          </w:p>
        </w:tc>
      </w:tr>
      <w:tr>
        <w:tc>
          <w:tcPr>
            <w:tcW w:w="993" w:type="dxa"/>
          </w:tcPr>
          <w:p>
            <w:pPr>
              <w:pStyle w:val="StandardTabelle"/>
            </w:pPr>
            <w:r>
              <w:t>1.1</w:t>
            </w:r>
          </w:p>
        </w:tc>
        <w:tc>
          <w:tcPr>
            <w:tcW w:w="1275" w:type="dxa"/>
          </w:tcPr>
          <w:p>
            <w:pPr>
              <w:pStyle w:val="StandardTabelle"/>
            </w:pPr>
            <w:r>
              <w:t>Ausgeliefert</w:t>
            </w:r>
          </w:p>
        </w:tc>
        <w:tc>
          <w:tcPr>
            <w:tcW w:w="1276" w:type="dxa"/>
          </w:tcPr>
          <w:p>
            <w:pPr>
              <w:pStyle w:val="StandardTabelle"/>
            </w:pPr>
            <w:r>
              <w:t>12.9.2012</w:t>
            </w:r>
          </w:p>
        </w:tc>
        <w:tc>
          <w:tcPr>
            <w:tcW w:w="1559" w:type="dxa"/>
          </w:tcPr>
          <w:p>
            <w:pPr>
              <w:pStyle w:val="StandardTabelle"/>
            </w:pPr>
            <w:r>
              <w:t>Capgemini Deutschland GmbH</w:t>
            </w:r>
          </w:p>
        </w:tc>
        <w:tc>
          <w:tcPr>
            <w:tcW w:w="3105" w:type="dxa"/>
          </w:tcPr>
          <w:p>
            <w:pPr>
              <w:pStyle w:val="StandardTabelle"/>
            </w:pPr>
            <w:r>
              <w:t>Aktualisierung des Kapitels „Nichtfunktionale Anforderungen“</w:t>
            </w:r>
          </w:p>
        </w:tc>
      </w:tr>
      <w:tr>
        <w:tc>
          <w:tcPr>
            <w:tcW w:w="993" w:type="dxa"/>
          </w:tcPr>
          <w:p>
            <w:pPr>
              <w:pStyle w:val="StandardTabelle"/>
            </w:pPr>
            <w:r>
              <w:t>1.2</w:t>
            </w:r>
          </w:p>
        </w:tc>
        <w:tc>
          <w:tcPr>
            <w:tcW w:w="1275" w:type="dxa"/>
          </w:tcPr>
          <w:p>
            <w:pPr>
              <w:pStyle w:val="StandardTabelle"/>
            </w:pPr>
            <w:r>
              <w:t>Ausgeliefert</w:t>
            </w:r>
          </w:p>
        </w:tc>
        <w:tc>
          <w:tcPr>
            <w:tcW w:w="1276" w:type="dxa"/>
          </w:tcPr>
          <w:p>
            <w:pPr>
              <w:pStyle w:val="StandardTabelle"/>
            </w:pPr>
            <w:r>
              <w:t>30.09.2014</w:t>
            </w:r>
          </w:p>
        </w:tc>
        <w:tc>
          <w:tcPr>
            <w:tcW w:w="1559" w:type="dxa"/>
          </w:tcPr>
          <w:p>
            <w:pPr>
              <w:pStyle w:val="StandardTabelle"/>
            </w:pPr>
            <w:r>
              <w:t>msg systems AG</w:t>
            </w:r>
          </w:p>
        </w:tc>
        <w:tc>
          <w:tcPr>
            <w:tcW w:w="3105" w:type="dxa"/>
          </w:tcPr>
          <w:p>
            <w:pPr>
              <w:pStyle w:val="StandardTabelle"/>
            </w:pPr>
            <w:r>
              <w:t>Übernahme des Dokuments in die Factory</w:t>
            </w:r>
          </w:p>
        </w:tc>
      </w:tr>
      <w:tr>
        <w:tc>
          <w:tcPr>
            <w:tcW w:w="993" w:type="dxa"/>
          </w:tcPr>
          <w:p>
            <w:pPr>
              <w:pStyle w:val="StandardTabelle"/>
            </w:pPr>
            <w:r>
              <w:t>1.3</w:t>
            </w:r>
          </w:p>
        </w:tc>
        <w:tc>
          <w:tcPr>
            <w:tcW w:w="1275" w:type="dxa"/>
          </w:tcPr>
          <w:p>
            <w:pPr>
              <w:pStyle w:val="StandardTabelle"/>
            </w:pPr>
            <w:r>
              <w:t>Ausgeliefert</w:t>
            </w:r>
          </w:p>
        </w:tc>
        <w:tc>
          <w:tcPr>
            <w:tcW w:w="1276" w:type="dxa"/>
          </w:tcPr>
          <w:p>
            <w:pPr>
              <w:pStyle w:val="StandardTabelle"/>
            </w:pPr>
            <w:r>
              <w:t>13.05.2014</w:t>
            </w:r>
          </w:p>
        </w:tc>
        <w:tc>
          <w:tcPr>
            <w:tcW w:w="1559" w:type="dxa"/>
          </w:tcPr>
          <w:p>
            <w:pPr>
              <w:pStyle w:val="StandardTabelle"/>
            </w:pPr>
            <w:r>
              <w:t>msg systems AG</w:t>
            </w:r>
          </w:p>
        </w:tc>
        <w:tc>
          <w:tcPr>
            <w:tcW w:w="3105" w:type="dxa"/>
          </w:tcPr>
          <w:p>
            <w:pPr>
              <w:pStyle w:val="StandardTabelle"/>
            </w:pPr>
            <w:r>
              <w:t>Überarbeitet, Review durchgeführt, Review-Kommentare integriert, bereinigt</w:t>
            </w:r>
          </w:p>
        </w:tc>
      </w:tr>
      <w:tr>
        <w:tc>
          <w:tcPr>
            <w:tcW w:w="993" w:type="dxa"/>
          </w:tcPr>
          <w:p>
            <w:pPr>
              <w:pStyle w:val="StandardTabelle"/>
            </w:pPr>
            <w:r>
              <w:t>1.4</w:t>
            </w:r>
          </w:p>
        </w:tc>
        <w:tc>
          <w:tcPr>
            <w:tcW w:w="1275" w:type="dxa"/>
          </w:tcPr>
          <w:p>
            <w:pPr>
              <w:pStyle w:val="StandardTabelle"/>
            </w:pPr>
            <w:r>
              <w:t>Ausgeliefert</w:t>
            </w:r>
          </w:p>
        </w:tc>
        <w:tc>
          <w:tcPr>
            <w:tcW w:w="1276" w:type="dxa"/>
          </w:tcPr>
          <w:p>
            <w:pPr>
              <w:pStyle w:val="StandardTabelle"/>
            </w:pPr>
            <w:r>
              <w:t>29.06.2018</w:t>
            </w:r>
          </w:p>
        </w:tc>
        <w:tc>
          <w:tcPr>
            <w:tcW w:w="1559" w:type="dxa"/>
          </w:tcPr>
          <w:p>
            <w:pPr>
              <w:pStyle w:val="StandardTabelle"/>
            </w:pPr>
            <w:r>
              <w:t>BVA</w:t>
            </w:r>
          </w:p>
        </w:tc>
        <w:tc>
          <w:tcPr>
            <w:tcW w:w="3105" w:type="dxa"/>
          </w:tcPr>
          <w:p>
            <w:pPr>
              <w:pStyle w:val="StandardTabelle"/>
            </w:pPr>
            <w:r>
              <w:t>Nutzungshäufigkeit aus Anwendungsfallbeschreibungen entfernt (IFS-195)</w:t>
            </w:r>
          </w:p>
        </w:tc>
      </w:tr>
    </w:tbl>
    <w:p>
      <w:pPr>
        <w:ind w:left="851" w:hanging="851"/>
        <w:sectPr>
          <w:headerReference w:type="default" r:id="rId19"/>
          <w:footerReference w:type="default" r:id="rId20"/>
          <w:headerReference w:type="first" r:id="rId21"/>
          <w:footerReference w:type="first" r:id="rId22"/>
          <w:pgSz w:w="11907" w:h="16840" w:code="9"/>
          <w:pgMar w:top="2778" w:right="1304" w:bottom="907" w:left="1191" w:header="1446" w:footer="454" w:gutter="0"/>
          <w:cols w:space="720"/>
          <w:docGrid w:linePitch="326"/>
        </w:sectPr>
      </w:pPr>
    </w:p>
    <w:bookmarkEnd w:id="5"/>
    <w:p>
      <w:pPr>
        <w:pStyle w:val="Zwischenber1"/>
        <w:outlineLvl w:val="0"/>
      </w:pPr>
      <w:r>
        <w:t>Inhaltsverzeichnis</w:t>
      </w:r>
    </w:p>
    <w:p>
      <w:pPr>
        <w:pStyle w:val="Verzeichnis1"/>
        <w:rPr>
          <w:rFonts w:ascii="Calibri" w:eastAsia="MS Mincho" w:hAnsi="Calibri"/>
          <w:b w:val="0"/>
          <w:szCs w:val="22"/>
        </w:rPr>
      </w:pPr>
      <w:r>
        <w:rPr>
          <w:b w:val="0"/>
        </w:rPr>
        <w:fldChar w:fldCharType="begin"/>
      </w:r>
      <w:r>
        <w:rPr>
          <w:b w:val="0"/>
        </w:rPr>
        <w:instrText xml:space="preserve"> TOC </w:instrText>
      </w:r>
      <w:r>
        <w:rPr>
          <w:b w:val="0"/>
        </w:rPr>
        <w:fldChar w:fldCharType="separate"/>
      </w:r>
      <w:r>
        <w:t>1</w:t>
      </w:r>
      <w:r>
        <w:rPr>
          <w:rFonts w:ascii="Calibri" w:eastAsia="MS Mincho" w:hAnsi="Calibri"/>
          <w:b w:val="0"/>
          <w:szCs w:val="22"/>
        </w:rPr>
        <w:tab/>
      </w:r>
      <w:r>
        <w:t>Allgemeines</w:t>
      </w:r>
      <w:r>
        <w:tab/>
      </w:r>
      <w:r>
        <w:fldChar w:fldCharType="begin"/>
      </w:r>
      <w:r>
        <w:instrText xml:space="preserve"> PAGEREF _Toc488819194 \h </w:instrText>
      </w:r>
      <w:r>
        <w:fldChar w:fldCharType="separate"/>
      </w:r>
      <w:r>
        <w:t>3</w:t>
      </w:r>
      <w:r>
        <w:fldChar w:fldCharType="end"/>
      </w:r>
    </w:p>
    <w:p>
      <w:pPr>
        <w:pStyle w:val="Verzeichnis2"/>
        <w:rPr>
          <w:rFonts w:ascii="Calibri" w:eastAsia="MS Mincho" w:hAnsi="Calibri"/>
          <w:szCs w:val="22"/>
        </w:rPr>
      </w:pPr>
      <w:r>
        <w:t>1.1</w:t>
      </w:r>
      <w:r>
        <w:rPr>
          <w:rFonts w:ascii="Calibri" w:eastAsia="MS Mincho" w:hAnsi="Calibri"/>
          <w:szCs w:val="22"/>
        </w:rPr>
        <w:tab/>
      </w:r>
      <w:r>
        <w:t>Zusammenfassung (Management-Summary)</w:t>
      </w:r>
      <w:r>
        <w:tab/>
      </w:r>
      <w:r>
        <w:fldChar w:fldCharType="begin"/>
      </w:r>
      <w:r>
        <w:instrText xml:space="preserve"> PAGEREF _Toc488819195 \h </w:instrText>
      </w:r>
      <w:r>
        <w:fldChar w:fldCharType="separate"/>
      </w:r>
      <w:r>
        <w:t>3</w:t>
      </w:r>
      <w:r>
        <w:fldChar w:fldCharType="end"/>
      </w:r>
    </w:p>
    <w:p>
      <w:pPr>
        <w:pStyle w:val="Verzeichnis2"/>
        <w:rPr>
          <w:rFonts w:ascii="Calibri" w:eastAsia="MS Mincho" w:hAnsi="Calibri"/>
          <w:szCs w:val="22"/>
        </w:rPr>
      </w:pPr>
      <w:r>
        <w:t>1.2</w:t>
      </w:r>
      <w:r>
        <w:rPr>
          <w:rFonts w:ascii="Calibri" w:eastAsia="MS Mincho" w:hAnsi="Calibri"/>
          <w:szCs w:val="22"/>
        </w:rPr>
        <w:tab/>
      </w:r>
      <w:r>
        <w:t>Leseanleitung</w:t>
      </w:r>
      <w:r>
        <w:tab/>
      </w:r>
      <w:r>
        <w:fldChar w:fldCharType="begin"/>
      </w:r>
      <w:r>
        <w:instrText xml:space="preserve"> PAGEREF _Toc488819196 \h </w:instrText>
      </w:r>
      <w:r>
        <w:fldChar w:fldCharType="separate"/>
      </w:r>
      <w:r>
        <w:t>3</w:t>
      </w:r>
      <w:r>
        <w:fldChar w:fldCharType="end"/>
      </w:r>
    </w:p>
    <w:p>
      <w:pPr>
        <w:pStyle w:val="Verzeichnis1"/>
        <w:rPr>
          <w:rFonts w:ascii="Calibri" w:eastAsia="MS Mincho" w:hAnsi="Calibri"/>
          <w:b w:val="0"/>
          <w:szCs w:val="22"/>
        </w:rPr>
      </w:pPr>
      <w:r>
        <w:t>2</w:t>
      </w:r>
      <w:r>
        <w:rPr>
          <w:rFonts w:ascii="Calibri" w:eastAsia="MS Mincho" w:hAnsi="Calibri"/>
          <w:b w:val="0"/>
          <w:szCs w:val="22"/>
        </w:rPr>
        <w:tab/>
      </w:r>
      <w:r>
        <w:t>Projektgrundlagen</w:t>
      </w:r>
      <w:r>
        <w:tab/>
      </w:r>
      <w:r>
        <w:fldChar w:fldCharType="begin"/>
      </w:r>
      <w:r>
        <w:instrText xml:space="preserve"> PAGEREF _Toc488819197 \h </w:instrText>
      </w:r>
      <w:r>
        <w:fldChar w:fldCharType="separate"/>
      </w:r>
      <w:r>
        <w:t>3</w:t>
      </w:r>
      <w:r>
        <w:fldChar w:fldCharType="end"/>
      </w:r>
    </w:p>
    <w:p>
      <w:pPr>
        <w:pStyle w:val="Verzeichnis2"/>
        <w:rPr>
          <w:rFonts w:ascii="Calibri" w:eastAsia="MS Mincho" w:hAnsi="Calibri"/>
          <w:szCs w:val="22"/>
        </w:rPr>
      </w:pPr>
      <w:r>
        <w:t>2.1</w:t>
      </w:r>
      <w:r>
        <w:rPr>
          <w:rFonts w:ascii="Calibri" w:eastAsia="MS Mincho" w:hAnsi="Calibri"/>
          <w:szCs w:val="22"/>
        </w:rPr>
        <w:tab/>
      </w:r>
      <w:r>
        <w:t>Ziele und Rahmenbedingungen</w:t>
      </w:r>
      <w:r>
        <w:tab/>
      </w:r>
      <w:r>
        <w:fldChar w:fldCharType="begin"/>
      </w:r>
      <w:r>
        <w:instrText xml:space="preserve"> PAGEREF _Toc488819198 \h </w:instrText>
      </w:r>
      <w:r>
        <w:fldChar w:fldCharType="separate"/>
      </w:r>
      <w:r>
        <w:t>3</w:t>
      </w:r>
      <w:r>
        <w:fldChar w:fldCharType="end"/>
      </w:r>
    </w:p>
    <w:p>
      <w:pPr>
        <w:pStyle w:val="Verzeichnis2"/>
        <w:rPr>
          <w:rFonts w:ascii="Calibri" w:eastAsia="MS Mincho" w:hAnsi="Calibri"/>
          <w:szCs w:val="22"/>
        </w:rPr>
      </w:pPr>
      <w:r>
        <w:t>2.2</w:t>
      </w:r>
      <w:r>
        <w:rPr>
          <w:rFonts w:ascii="Calibri" w:eastAsia="MS Mincho" w:hAnsi="Calibri"/>
          <w:szCs w:val="22"/>
        </w:rPr>
        <w:tab/>
      </w:r>
      <w:r>
        <w:t>Fachlicher Architekturüberblick</w:t>
      </w:r>
      <w:r>
        <w:tab/>
      </w:r>
      <w:r>
        <w:fldChar w:fldCharType="begin"/>
      </w:r>
      <w:r>
        <w:instrText xml:space="preserve"> PAGEREF _Toc488819199 \h </w:instrText>
      </w:r>
      <w:r>
        <w:fldChar w:fldCharType="separate"/>
      </w:r>
      <w:r>
        <w:t>3</w:t>
      </w:r>
      <w:r>
        <w:fldChar w:fldCharType="end"/>
      </w:r>
    </w:p>
    <w:p>
      <w:pPr>
        <w:pStyle w:val="Verzeichnis1"/>
        <w:rPr>
          <w:rFonts w:ascii="Calibri" w:eastAsia="MS Mincho" w:hAnsi="Calibri"/>
          <w:b w:val="0"/>
          <w:szCs w:val="22"/>
        </w:rPr>
      </w:pPr>
      <w:r>
        <w:t>3</w:t>
      </w:r>
      <w:r>
        <w:rPr>
          <w:rFonts w:ascii="Calibri" w:eastAsia="MS Mincho" w:hAnsi="Calibri"/>
          <w:b w:val="0"/>
          <w:szCs w:val="22"/>
        </w:rPr>
        <w:tab/>
      </w:r>
      <w:r>
        <w:t>Geschäftsprozesse</w:t>
      </w:r>
      <w:r>
        <w:tab/>
      </w:r>
      <w:r>
        <w:fldChar w:fldCharType="begin"/>
      </w:r>
      <w:r>
        <w:instrText xml:space="preserve"> PAGEREF _Toc488819200 \h </w:instrText>
      </w:r>
      <w:r>
        <w:fldChar w:fldCharType="separate"/>
      </w:r>
      <w:r>
        <w:t>3</w:t>
      </w:r>
      <w:r>
        <w:fldChar w:fldCharType="end"/>
      </w:r>
    </w:p>
    <w:p>
      <w:pPr>
        <w:pStyle w:val="Verzeichnis2"/>
        <w:rPr>
          <w:rFonts w:ascii="Calibri" w:eastAsia="MS Mincho" w:hAnsi="Calibri"/>
          <w:szCs w:val="22"/>
        </w:rPr>
      </w:pPr>
      <w:r>
        <w:t>3.1</w:t>
      </w:r>
      <w:r>
        <w:rPr>
          <w:rFonts w:ascii="Calibri" w:eastAsia="MS Mincho" w:hAnsi="Calibri"/>
          <w:szCs w:val="22"/>
        </w:rPr>
        <w:tab/>
      </w:r>
      <w:r>
        <w:t>Gesamtverfahren &lt;Name des Gesamtverfahrens&gt;</w:t>
      </w:r>
      <w:r>
        <w:tab/>
      </w:r>
      <w:r>
        <w:fldChar w:fldCharType="begin"/>
      </w:r>
      <w:r>
        <w:instrText xml:space="preserve"> PAGEREF _Toc488819201 \h </w:instrText>
      </w:r>
      <w:r>
        <w:fldChar w:fldCharType="separate"/>
      </w:r>
      <w:r>
        <w:t>3</w:t>
      </w:r>
      <w:r>
        <w:fldChar w:fldCharType="end"/>
      </w:r>
    </w:p>
    <w:p>
      <w:pPr>
        <w:pStyle w:val="Verzeichnis3"/>
        <w:tabs>
          <w:tab w:val="left" w:pos="1560"/>
        </w:tabs>
        <w:rPr>
          <w:rFonts w:ascii="Calibri" w:eastAsia="MS Mincho" w:hAnsi="Calibri"/>
          <w:szCs w:val="22"/>
        </w:rPr>
      </w:pPr>
      <w:r>
        <w:t>3.1.1</w:t>
      </w:r>
      <w:r>
        <w:rPr>
          <w:rFonts w:ascii="Calibri" w:eastAsia="MS Mincho" w:hAnsi="Calibri"/>
          <w:szCs w:val="22"/>
        </w:rPr>
        <w:tab/>
      </w:r>
      <w:r>
        <w:t>Geschäftsprozess GEP_&lt;Bezeichnung des Geschäftsprozesses&gt;</w:t>
      </w:r>
      <w:r>
        <w:tab/>
      </w:r>
      <w:r>
        <w:fldChar w:fldCharType="begin"/>
      </w:r>
      <w:r>
        <w:instrText xml:space="preserve"> PAGEREF _Toc488819202 \h </w:instrText>
      </w:r>
      <w:r>
        <w:fldChar w:fldCharType="separate"/>
      </w:r>
      <w:r>
        <w:t>3</w:t>
      </w:r>
      <w:r>
        <w:fldChar w:fldCharType="end"/>
      </w:r>
    </w:p>
    <w:p>
      <w:pPr>
        <w:pStyle w:val="Verzeichnis4"/>
        <w:tabs>
          <w:tab w:val="left" w:pos="2410"/>
        </w:tabs>
        <w:rPr>
          <w:rFonts w:ascii="Calibri" w:eastAsia="MS Mincho" w:hAnsi="Calibri"/>
          <w:szCs w:val="22"/>
        </w:rPr>
      </w:pPr>
      <w:r>
        <w:t>3.1.1.1</w:t>
      </w:r>
      <w:r>
        <w:rPr>
          <w:rFonts w:ascii="Calibri" w:eastAsia="MS Mincho" w:hAnsi="Calibri"/>
          <w:szCs w:val="22"/>
        </w:rPr>
        <w:tab/>
      </w:r>
      <w:r>
        <w:t>Geschäftsvorfall GVF_&lt;Bezeichnung des Geschäftsvorfalls&gt;</w:t>
      </w:r>
      <w:r>
        <w:tab/>
      </w:r>
      <w:r>
        <w:fldChar w:fldCharType="begin"/>
      </w:r>
      <w:r>
        <w:instrText xml:space="preserve"> PAGEREF _Toc488819203 \h </w:instrText>
      </w:r>
      <w:r>
        <w:fldChar w:fldCharType="separate"/>
      </w:r>
      <w:r>
        <w:t>3</w:t>
      </w:r>
      <w:r>
        <w:fldChar w:fldCharType="end"/>
      </w:r>
    </w:p>
    <w:p>
      <w:pPr>
        <w:pStyle w:val="Verzeichnis5"/>
        <w:tabs>
          <w:tab w:val="left" w:pos="3544"/>
        </w:tabs>
        <w:rPr>
          <w:rFonts w:ascii="Calibri" w:eastAsia="MS Mincho" w:hAnsi="Calibri"/>
          <w:szCs w:val="22"/>
        </w:rPr>
      </w:pPr>
      <w:r>
        <w:t>3.1.1.1.1</w:t>
      </w:r>
      <w:r>
        <w:rPr>
          <w:rFonts w:ascii="Calibri" w:eastAsia="MS Mincho" w:hAnsi="Calibri"/>
          <w:szCs w:val="22"/>
        </w:rPr>
        <w:tab/>
      </w:r>
      <w:r>
        <w:t>Aktivität AKT_&lt;Bezeichung der Aktivität&gt;</w:t>
      </w:r>
      <w:r>
        <w:tab/>
      </w:r>
      <w:r>
        <w:fldChar w:fldCharType="begin"/>
      </w:r>
      <w:r>
        <w:instrText xml:space="preserve"> PAGEREF _Toc488819204 \h </w:instrText>
      </w:r>
      <w:r>
        <w:fldChar w:fldCharType="separate"/>
      </w:r>
      <w:r>
        <w:t>3</w:t>
      </w:r>
      <w:r>
        <w:fldChar w:fldCharType="end"/>
      </w:r>
    </w:p>
    <w:p>
      <w:pPr>
        <w:pStyle w:val="Verzeichnis5"/>
        <w:tabs>
          <w:tab w:val="left" w:pos="3544"/>
        </w:tabs>
        <w:rPr>
          <w:rFonts w:ascii="Calibri" w:eastAsia="MS Mincho" w:hAnsi="Calibri"/>
          <w:szCs w:val="22"/>
        </w:rPr>
      </w:pPr>
      <w:r>
        <w:t>3.1.1.1.2</w:t>
      </w:r>
      <w:r>
        <w:rPr>
          <w:rFonts w:ascii="Calibri" w:eastAsia="MS Mincho" w:hAnsi="Calibri"/>
          <w:szCs w:val="22"/>
        </w:rPr>
        <w:tab/>
      </w:r>
      <w:r>
        <w:t>Aktivität AKT_&lt;Bezeichnung der Aktivität&gt;</w:t>
      </w:r>
      <w:r>
        <w:tab/>
      </w:r>
      <w:r>
        <w:fldChar w:fldCharType="begin"/>
      </w:r>
      <w:r>
        <w:instrText xml:space="preserve"> PAGEREF _Toc488819205 \h </w:instrText>
      </w:r>
      <w:r>
        <w:fldChar w:fldCharType="separate"/>
      </w:r>
      <w:r>
        <w:t>3</w:t>
      </w:r>
      <w:r>
        <w:fldChar w:fldCharType="end"/>
      </w:r>
    </w:p>
    <w:p>
      <w:pPr>
        <w:pStyle w:val="Verzeichnis4"/>
        <w:tabs>
          <w:tab w:val="left" w:pos="2410"/>
        </w:tabs>
        <w:rPr>
          <w:rFonts w:ascii="Calibri" w:eastAsia="MS Mincho" w:hAnsi="Calibri"/>
          <w:szCs w:val="22"/>
        </w:rPr>
      </w:pPr>
      <w:r>
        <w:t>3.1.1.2</w:t>
      </w:r>
      <w:r>
        <w:rPr>
          <w:rFonts w:ascii="Calibri" w:eastAsia="MS Mincho" w:hAnsi="Calibri"/>
          <w:szCs w:val="22"/>
        </w:rPr>
        <w:tab/>
      </w:r>
      <w:r>
        <w:t>Geschäftsvorfall GVF_&lt;Bezeichnung des Geschäftsvorfalls&gt;</w:t>
      </w:r>
      <w:r>
        <w:tab/>
      </w:r>
      <w:r>
        <w:fldChar w:fldCharType="begin"/>
      </w:r>
      <w:r>
        <w:instrText xml:space="preserve"> PAGEREF _Toc488819206 \h </w:instrText>
      </w:r>
      <w:r>
        <w:fldChar w:fldCharType="separate"/>
      </w:r>
      <w:r>
        <w:t>3</w:t>
      </w:r>
      <w:r>
        <w:fldChar w:fldCharType="end"/>
      </w:r>
    </w:p>
    <w:p>
      <w:pPr>
        <w:pStyle w:val="Verzeichnis3"/>
        <w:tabs>
          <w:tab w:val="left" w:pos="1560"/>
        </w:tabs>
        <w:rPr>
          <w:rFonts w:ascii="Calibri" w:eastAsia="MS Mincho" w:hAnsi="Calibri"/>
          <w:szCs w:val="22"/>
        </w:rPr>
      </w:pPr>
      <w:r>
        <w:t>3.1.2</w:t>
      </w:r>
      <w:r>
        <w:rPr>
          <w:rFonts w:ascii="Calibri" w:eastAsia="MS Mincho" w:hAnsi="Calibri"/>
          <w:szCs w:val="22"/>
        </w:rPr>
        <w:tab/>
      </w:r>
      <w:r>
        <w:t>Geschäftsprozess GEP_&lt;Bezeichnung des Geschäftsprozesses&gt;</w:t>
      </w:r>
      <w:r>
        <w:tab/>
      </w:r>
      <w:r>
        <w:fldChar w:fldCharType="begin"/>
      </w:r>
      <w:r>
        <w:instrText xml:space="preserve"> PAGEREF _Toc488819207 \h </w:instrText>
      </w:r>
      <w:r>
        <w:fldChar w:fldCharType="separate"/>
      </w:r>
      <w:r>
        <w:t>3</w:t>
      </w:r>
      <w:r>
        <w:fldChar w:fldCharType="end"/>
      </w:r>
    </w:p>
    <w:p>
      <w:pPr>
        <w:pStyle w:val="Verzeichnis3"/>
        <w:tabs>
          <w:tab w:val="left" w:pos="1560"/>
        </w:tabs>
        <w:rPr>
          <w:rFonts w:ascii="Calibri" w:eastAsia="MS Mincho" w:hAnsi="Calibri"/>
          <w:szCs w:val="22"/>
        </w:rPr>
      </w:pPr>
      <w:r>
        <w:t>3.1.3</w:t>
      </w:r>
      <w:r>
        <w:rPr>
          <w:rFonts w:ascii="Calibri" w:eastAsia="MS Mincho" w:hAnsi="Calibri"/>
          <w:szCs w:val="22"/>
        </w:rPr>
        <w:tab/>
      </w:r>
      <w:r>
        <w:t>Dokumente</w:t>
      </w:r>
      <w:r>
        <w:tab/>
      </w:r>
      <w:r>
        <w:fldChar w:fldCharType="begin"/>
      </w:r>
      <w:r>
        <w:instrText xml:space="preserve"> PAGEREF _Toc488819208 \h </w:instrText>
      </w:r>
      <w:r>
        <w:fldChar w:fldCharType="separate"/>
      </w:r>
      <w:r>
        <w:t>3</w:t>
      </w:r>
      <w:r>
        <w:fldChar w:fldCharType="end"/>
      </w:r>
    </w:p>
    <w:p>
      <w:pPr>
        <w:pStyle w:val="Verzeichnis4"/>
        <w:tabs>
          <w:tab w:val="left" w:pos="2410"/>
        </w:tabs>
        <w:rPr>
          <w:rFonts w:ascii="Calibri" w:eastAsia="MS Mincho" w:hAnsi="Calibri"/>
          <w:szCs w:val="22"/>
        </w:rPr>
      </w:pPr>
      <w:r>
        <w:t>3.1.3.1</w:t>
      </w:r>
      <w:r>
        <w:rPr>
          <w:rFonts w:ascii="Calibri" w:eastAsia="MS Mincho" w:hAnsi="Calibri"/>
          <w:szCs w:val="22"/>
        </w:rPr>
        <w:tab/>
      </w:r>
      <w:r>
        <w:t>Dokument DOK_&lt;Bezeichnung des Dokuments&gt;</w:t>
      </w:r>
      <w:r>
        <w:tab/>
      </w:r>
      <w:r>
        <w:fldChar w:fldCharType="begin"/>
      </w:r>
      <w:r>
        <w:instrText xml:space="preserve"> PAGEREF _Toc488819209 \h </w:instrText>
      </w:r>
      <w:r>
        <w:fldChar w:fldCharType="separate"/>
      </w:r>
      <w:r>
        <w:t>3</w:t>
      </w:r>
      <w:r>
        <w:fldChar w:fldCharType="end"/>
      </w:r>
    </w:p>
    <w:p>
      <w:pPr>
        <w:pStyle w:val="Verzeichnis4"/>
        <w:tabs>
          <w:tab w:val="left" w:pos="2410"/>
        </w:tabs>
        <w:rPr>
          <w:rFonts w:ascii="Calibri" w:eastAsia="MS Mincho" w:hAnsi="Calibri"/>
          <w:szCs w:val="22"/>
        </w:rPr>
      </w:pPr>
      <w:r>
        <w:t>3.1.3.2</w:t>
      </w:r>
      <w:r>
        <w:rPr>
          <w:rFonts w:ascii="Calibri" w:eastAsia="MS Mincho" w:hAnsi="Calibri"/>
          <w:szCs w:val="22"/>
        </w:rPr>
        <w:tab/>
      </w:r>
      <w:r>
        <w:t>Dokument DOK_&lt;Bezeichnung des Dokuments&gt;</w:t>
      </w:r>
      <w:r>
        <w:tab/>
      </w:r>
      <w:r>
        <w:fldChar w:fldCharType="begin"/>
      </w:r>
      <w:r>
        <w:instrText xml:space="preserve"> PAGEREF _Toc488819210 \h </w:instrText>
      </w:r>
      <w:r>
        <w:fldChar w:fldCharType="separate"/>
      </w:r>
      <w:r>
        <w:t>3</w:t>
      </w:r>
      <w:r>
        <w:fldChar w:fldCharType="end"/>
      </w:r>
    </w:p>
    <w:p>
      <w:pPr>
        <w:pStyle w:val="Verzeichnis3"/>
        <w:tabs>
          <w:tab w:val="left" w:pos="1560"/>
        </w:tabs>
        <w:rPr>
          <w:rFonts w:ascii="Calibri" w:eastAsia="MS Mincho" w:hAnsi="Calibri"/>
          <w:szCs w:val="22"/>
        </w:rPr>
      </w:pPr>
      <w:r>
        <w:t>3.1.4</w:t>
      </w:r>
      <w:r>
        <w:rPr>
          <w:rFonts w:ascii="Calibri" w:eastAsia="MS Mincho" w:hAnsi="Calibri"/>
          <w:szCs w:val="22"/>
        </w:rPr>
        <w:tab/>
      </w:r>
      <w:r>
        <w:t>Persistente Datenhaltung</w:t>
      </w:r>
      <w:r>
        <w:tab/>
      </w:r>
      <w:r>
        <w:fldChar w:fldCharType="begin"/>
      </w:r>
      <w:r>
        <w:instrText xml:space="preserve"> PAGEREF _Toc488819211 \h </w:instrText>
      </w:r>
      <w:r>
        <w:fldChar w:fldCharType="separate"/>
      </w:r>
      <w:r>
        <w:t>3</w:t>
      </w:r>
      <w:r>
        <w:fldChar w:fldCharType="end"/>
      </w:r>
    </w:p>
    <w:p>
      <w:pPr>
        <w:pStyle w:val="Verzeichnis4"/>
        <w:tabs>
          <w:tab w:val="left" w:pos="2410"/>
        </w:tabs>
        <w:rPr>
          <w:rFonts w:ascii="Calibri" w:eastAsia="MS Mincho" w:hAnsi="Calibri"/>
          <w:szCs w:val="22"/>
        </w:rPr>
      </w:pPr>
      <w:r>
        <w:t>3.1.4.1</w:t>
      </w:r>
      <w:r>
        <w:rPr>
          <w:rFonts w:ascii="Calibri" w:eastAsia="MS Mincho" w:hAnsi="Calibri"/>
          <w:szCs w:val="22"/>
        </w:rPr>
        <w:tab/>
      </w:r>
      <w:r>
        <w:t>Persistente Daten DAT_&lt;Bezeichnung des Datenbestands&gt;</w:t>
      </w:r>
      <w:r>
        <w:tab/>
      </w:r>
      <w:r>
        <w:fldChar w:fldCharType="begin"/>
      </w:r>
      <w:r>
        <w:instrText xml:space="preserve"> PAGEREF _Toc488819212 \h </w:instrText>
      </w:r>
      <w:r>
        <w:fldChar w:fldCharType="separate"/>
      </w:r>
      <w:r>
        <w:t>3</w:t>
      </w:r>
      <w:r>
        <w:fldChar w:fldCharType="end"/>
      </w:r>
    </w:p>
    <w:p>
      <w:pPr>
        <w:pStyle w:val="Verzeichnis4"/>
        <w:tabs>
          <w:tab w:val="left" w:pos="2410"/>
        </w:tabs>
        <w:rPr>
          <w:rFonts w:ascii="Calibri" w:eastAsia="MS Mincho" w:hAnsi="Calibri"/>
          <w:szCs w:val="22"/>
        </w:rPr>
      </w:pPr>
      <w:r>
        <w:t>3.1.4.2</w:t>
      </w:r>
      <w:r>
        <w:rPr>
          <w:rFonts w:ascii="Calibri" w:eastAsia="MS Mincho" w:hAnsi="Calibri"/>
          <w:szCs w:val="22"/>
        </w:rPr>
        <w:tab/>
      </w:r>
      <w:r>
        <w:t>Persistente Daten DAT_&lt;Bezeichnung des Datenbestands&gt;</w:t>
      </w:r>
      <w:r>
        <w:tab/>
      </w:r>
      <w:r>
        <w:fldChar w:fldCharType="begin"/>
      </w:r>
      <w:r>
        <w:instrText xml:space="preserve"> PAGEREF _Toc488819213 \h </w:instrText>
      </w:r>
      <w:r>
        <w:fldChar w:fldCharType="separate"/>
      </w:r>
      <w:r>
        <w:t>3</w:t>
      </w:r>
      <w:r>
        <w:fldChar w:fldCharType="end"/>
      </w:r>
    </w:p>
    <w:p>
      <w:pPr>
        <w:pStyle w:val="Verzeichnis2"/>
        <w:rPr>
          <w:rFonts w:ascii="Calibri" w:eastAsia="MS Mincho" w:hAnsi="Calibri"/>
          <w:szCs w:val="22"/>
        </w:rPr>
      </w:pPr>
      <w:r>
        <w:t>3.2</w:t>
      </w:r>
      <w:r>
        <w:rPr>
          <w:rFonts w:ascii="Calibri" w:eastAsia="MS Mincho" w:hAnsi="Calibri"/>
          <w:szCs w:val="22"/>
        </w:rPr>
        <w:tab/>
      </w:r>
      <w:r>
        <w:t>Organisationseinheiten</w:t>
      </w:r>
      <w:r>
        <w:tab/>
      </w:r>
      <w:r>
        <w:fldChar w:fldCharType="begin"/>
      </w:r>
      <w:r>
        <w:instrText xml:space="preserve"> PAGEREF _Toc488819214 \h </w:instrText>
      </w:r>
      <w:r>
        <w:fldChar w:fldCharType="separate"/>
      </w:r>
      <w:r>
        <w:t>3</w:t>
      </w:r>
      <w:r>
        <w:fldChar w:fldCharType="end"/>
      </w:r>
    </w:p>
    <w:p>
      <w:pPr>
        <w:pStyle w:val="Verzeichnis3"/>
        <w:tabs>
          <w:tab w:val="left" w:pos="1560"/>
        </w:tabs>
        <w:rPr>
          <w:rFonts w:ascii="Calibri" w:eastAsia="MS Mincho" w:hAnsi="Calibri"/>
          <w:szCs w:val="22"/>
        </w:rPr>
      </w:pPr>
      <w:r>
        <w:t>3.2.1</w:t>
      </w:r>
      <w:r>
        <w:rPr>
          <w:rFonts w:ascii="Calibri" w:eastAsia="MS Mincho" w:hAnsi="Calibri"/>
          <w:szCs w:val="22"/>
        </w:rPr>
        <w:tab/>
      </w:r>
      <w:r>
        <w:t>Organisationseinheit ORG_&lt;Bezeichnung der Organisationseinheit&gt;</w:t>
      </w:r>
      <w:r>
        <w:tab/>
      </w:r>
      <w:r>
        <w:fldChar w:fldCharType="begin"/>
      </w:r>
      <w:r>
        <w:instrText xml:space="preserve"> PAGEREF _Toc488819215 \h </w:instrText>
      </w:r>
      <w:r>
        <w:fldChar w:fldCharType="separate"/>
      </w:r>
      <w:r>
        <w:t>3</w:t>
      </w:r>
      <w:r>
        <w:fldChar w:fldCharType="end"/>
      </w:r>
    </w:p>
    <w:p>
      <w:pPr>
        <w:pStyle w:val="Verzeichnis3"/>
        <w:tabs>
          <w:tab w:val="left" w:pos="1560"/>
        </w:tabs>
        <w:rPr>
          <w:rFonts w:ascii="Calibri" w:eastAsia="MS Mincho" w:hAnsi="Calibri"/>
          <w:szCs w:val="22"/>
        </w:rPr>
      </w:pPr>
      <w:r>
        <w:t>3.2.2</w:t>
      </w:r>
      <w:r>
        <w:rPr>
          <w:rFonts w:ascii="Calibri" w:eastAsia="MS Mincho" w:hAnsi="Calibri"/>
          <w:szCs w:val="22"/>
        </w:rPr>
        <w:tab/>
      </w:r>
      <w:r>
        <w:t>Organisationseinheit ORG_&lt;Bezeichnung der Organisationseinheit&gt;</w:t>
      </w:r>
      <w:r>
        <w:tab/>
      </w:r>
      <w:r>
        <w:fldChar w:fldCharType="begin"/>
      </w:r>
      <w:r>
        <w:instrText xml:space="preserve"> PAGEREF _Toc488819216 \h </w:instrText>
      </w:r>
      <w:r>
        <w:fldChar w:fldCharType="separate"/>
      </w:r>
      <w:r>
        <w:t>3</w:t>
      </w:r>
      <w:r>
        <w:fldChar w:fldCharType="end"/>
      </w:r>
    </w:p>
    <w:p>
      <w:pPr>
        <w:pStyle w:val="Verzeichnis2"/>
        <w:rPr>
          <w:rFonts w:ascii="Calibri" w:eastAsia="MS Mincho" w:hAnsi="Calibri"/>
          <w:szCs w:val="22"/>
        </w:rPr>
      </w:pPr>
      <w:r>
        <w:t>3.3</w:t>
      </w:r>
      <w:r>
        <w:rPr>
          <w:rFonts w:ascii="Calibri" w:eastAsia="MS Mincho" w:hAnsi="Calibri"/>
          <w:szCs w:val="22"/>
        </w:rPr>
        <w:tab/>
      </w:r>
      <w:r>
        <w:t>Anwendungssysteme</w:t>
      </w:r>
      <w:r>
        <w:tab/>
      </w:r>
      <w:r>
        <w:fldChar w:fldCharType="begin"/>
      </w:r>
      <w:r>
        <w:instrText xml:space="preserve"> PAGEREF _Toc488819217 \h </w:instrText>
      </w:r>
      <w:r>
        <w:fldChar w:fldCharType="separate"/>
      </w:r>
      <w:r>
        <w:t>3</w:t>
      </w:r>
      <w:r>
        <w:fldChar w:fldCharType="end"/>
      </w:r>
    </w:p>
    <w:p>
      <w:pPr>
        <w:pStyle w:val="Verzeichnis3"/>
        <w:tabs>
          <w:tab w:val="left" w:pos="1560"/>
        </w:tabs>
        <w:rPr>
          <w:rFonts w:ascii="Calibri" w:eastAsia="MS Mincho" w:hAnsi="Calibri"/>
          <w:szCs w:val="22"/>
        </w:rPr>
      </w:pPr>
      <w:r>
        <w:t>3.3.1</w:t>
      </w:r>
      <w:r>
        <w:rPr>
          <w:rFonts w:ascii="Calibri" w:eastAsia="MS Mincho" w:hAnsi="Calibri"/>
          <w:szCs w:val="22"/>
        </w:rPr>
        <w:tab/>
      </w:r>
      <w:r>
        <w:t>Anwendungssystem SYS_&lt;Bezeichnung des Anwendungssystems&gt;</w:t>
      </w:r>
      <w:r>
        <w:tab/>
      </w:r>
      <w:r>
        <w:fldChar w:fldCharType="begin"/>
      </w:r>
      <w:r>
        <w:instrText xml:space="preserve"> PAGEREF _Toc488819218 \h </w:instrText>
      </w:r>
      <w:r>
        <w:fldChar w:fldCharType="separate"/>
      </w:r>
      <w:r>
        <w:t>3</w:t>
      </w:r>
      <w:r>
        <w:fldChar w:fldCharType="end"/>
      </w:r>
    </w:p>
    <w:p>
      <w:pPr>
        <w:pStyle w:val="Verzeichnis3"/>
        <w:tabs>
          <w:tab w:val="left" w:pos="1560"/>
        </w:tabs>
        <w:rPr>
          <w:rFonts w:ascii="Calibri" w:eastAsia="MS Mincho" w:hAnsi="Calibri"/>
          <w:szCs w:val="22"/>
        </w:rPr>
      </w:pPr>
      <w:r>
        <w:t>3.3.2</w:t>
      </w:r>
      <w:r>
        <w:rPr>
          <w:rFonts w:ascii="Calibri" w:eastAsia="MS Mincho" w:hAnsi="Calibri"/>
          <w:szCs w:val="22"/>
        </w:rPr>
        <w:tab/>
      </w:r>
      <w:r>
        <w:t>Anwendungssystem SYS_&lt;Bezeichnung des Anwendungssystems&gt;</w:t>
      </w:r>
      <w:r>
        <w:tab/>
      </w:r>
      <w:r>
        <w:fldChar w:fldCharType="begin"/>
      </w:r>
      <w:r>
        <w:instrText xml:space="preserve"> PAGEREF _Toc488819219 \h </w:instrText>
      </w:r>
      <w:r>
        <w:fldChar w:fldCharType="separate"/>
      </w:r>
      <w:r>
        <w:t>3</w:t>
      </w:r>
      <w:r>
        <w:fldChar w:fldCharType="end"/>
      </w:r>
    </w:p>
    <w:p>
      <w:pPr>
        <w:pStyle w:val="Verzeichnis1"/>
        <w:rPr>
          <w:rFonts w:ascii="Calibri" w:eastAsia="MS Mincho" w:hAnsi="Calibri"/>
          <w:b w:val="0"/>
          <w:szCs w:val="22"/>
        </w:rPr>
      </w:pPr>
      <w:r>
        <w:t>4</w:t>
      </w:r>
      <w:r>
        <w:rPr>
          <w:rFonts w:ascii="Calibri" w:eastAsia="MS Mincho" w:hAnsi="Calibri"/>
          <w:b w:val="0"/>
          <w:szCs w:val="22"/>
        </w:rPr>
        <w:tab/>
      </w:r>
      <w:r>
        <w:t>Anwendungskomponenten</w:t>
      </w:r>
      <w:r>
        <w:tab/>
      </w:r>
      <w:r>
        <w:fldChar w:fldCharType="begin"/>
      </w:r>
      <w:r>
        <w:instrText xml:space="preserve"> PAGEREF _Toc488819220 \h </w:instrText>
      </w:r>
      <w:r>
        <w:fldChar w:fldCharType="separate"/>
      </w:r>
      <w:r>
        <w:t>3</w:t>
      </w:r>
      <w:r>
        <w:fldChar w:fldCharType="end"/>
      </w:r>
    </w:p>
    <w:p>
      <w:pPr>
        <w:pStyle w:val="Verzeichnis2"/>
        <w:rPr>
          <w:rFonts w:ascii="Calibri" w:eastAsia="MS Mincho" w:hAnsi="Calibri"/>
          <w:szCs w:val="22"/>
        </w:rPr>
      </w:pPr>
      <w:r>
        <w:t>4.1</w:t>
      </w:r>
      <w:r>
        <w:rPr>
          <w:rFonts w:ascii="Calibri" w:eastAsia="MS Mincho" w:hAnsi="Calibri"/>
          <w:szCs w:val="22"/>
        </w:rPr>
        <w:tab/>
      </w:r>
      <w:r>
        <w:t>Akteure</w:t>
      </w:r>
      <w:r>
        <w:tab/>
      </w:r>
      <w:r>
        <w:fldChar w:fldCharType="begin"/>
      </w:r>
      <w:r>
        <w:instrText xml:space="preserve"> PAGEREF _Toc488819221 \h </w:instrText>
      </w:r>
      <w:r>
        <w:fldChar w:fldCharType="separate"/>
      </w:r>
      <w:r>
        <w:t>3</w:t>
      </w:r>
      <w:r>
        <w:fldChar w:fldCharType="end"/>
      </w:r>
    </w:p>
    <w:p>
      <w:pPr>
        <w:pStyle w:val="Verzeichnis2"/>
        <w:rPr>
          <w:rFonts w:ascii="Calibri" w:eastAsia="MS Mincho" w:hAnsi="Calibri"/>
          <w:szCs w:val="22"/>
        </w:rPr>
      </w:pPr>
      <w:r>
        <w:t>4.2</w:t>
      </w:r>
      <w:r>
        <w:rPr>
          <w:rFonts w:ascii="Calibri" w:eastAsia="MS Mincho" w:hAnsi="Calibri"/>
          <w:szCs w:val="22"/>
        </w:rPr>
        <w:tab/>
      </w:r>
      <w:r>
        <w:t>Anwendungskomponente ANK_&lt;Bezeichnung der Anwendungskomponente&gt;</w:t>
      </w:r>
      <w:r>
        <w:tab/>
      </w:r>
      <w:r>
        <w:fldChar w:fldCharType="begin"/>
      </w:r>
      <w:r>
        <w:instrText xml:space="preserve"> PAGEREF _Toc488819222 \h </w:instrText>
      </w:r>
      <w:r>
        <w:fldChar w:fldCharType="separate"/>
      </w:r>
      <w:r>
        <w:t>3</w:t>
      </w:r>
      <w:r>
        <w:fldChar w:fldCharType="end"/>
      </w:r>
    </w:p>
    <w:p>
      <w:pPr>
        <w:pStyle w:val="Verzeichnis3"/>
        <w:tabs>
          <w:tab w:val="left" w:pos="1560"/>
        </w:tabs>
        <w:rPr>
          <w:rFonts w:ascii="Calibri" w:eastAsia="MS Mincho" w:hAnsi="Calibri"/>
          <w:szCs w:val="22"/>
        </w:rPr>
      </w:pPr>
      <w:r>
        <w:t>4.2.1</w:t>
      </w:r>
      <w:r>
        <w:rPr>
          <w:rFonts w:ascii="Calibri" w:eastAsia="MS Mincho" w:hAnsi="Calibri"/>
          <w:szCs w:val="22"/>
        </w:rPr>
        <w:tab/>
      </w:r>
      <w:r>
        <w:t>Anwendungsfall AWF_&lt;Bezeichnung des Anwendungsfalls&gt;</w:t>
      </w:r>
      <w:r>
        <w:tab/>
      </w:r>
      <w:r>
        <w:fldChar w:fldCharType="begin"/>
      </w:r>
      <w:r>
        <w:instrText xml:space="preserve"> PAGEREF _Toc488819223 \h </w:instrText>
      </w:r>
      <w:r>
        <w:fldChar w:fldCharType="separate"/>
      </w:r>
      <w:r>
        <w:t>3</w:t>
      </w:r>
      <w:r>
        <w:fldChar w:fldCharType="end"/>
      </w:r>
    </w:p>
    <w:p>
      <w:pPr>
        <w:pStyle w:val="Verzeichnis3"/>
        <w:tabs>
          <w:tab w:val="left" w:pos="1560"/>
        </w:tabs>
        <w:rPr>
          <w:rFonts w:ascii="Calibri" w:eastAsia="MS Mincho" w:hAnsi="Calibri"/>
          <w:szCs w:val="22"/>
        </w:rPr>
      </w:pPr>
      <w:r>
        <w:t>4.2.2</w:t>
      </w:r>
      <w:r>
        <w:rPr>
          <w:rFonts w:ascii="Calibri" w:eastAsia="MS Mincho" w:hAnsi="Calibri"/>
          <w:szCs w:val="22"/>
        </w:rPr>
        <w:tab/>
      </w:r>
      <w:r>
        <w:t>Anwendungsfall AWF_&lt;Bezeichnung des Anwendungsfalls</w:t>
      </w:r>
      <w:r>
        <w:tab/>
      </w:r>
      <w:r>
        <w:fldChar w:fldCharType="begin"/>
      </w:r>
      <w:r>
        <w:instrText xml:space="preserve"> PAGEREF _Toc488819224 \h </w:instrText>
      </w:r>
      <w:r>
        <w:fldChar w:fldCharType="separate"/>
      </w:r>
      <w:r>
        <w:t>3</w:t>
      </w:r>
      <w:r>
        <w:fldChar w:fldCharType="end"/>
      </w:r>
    </w:p>
    <w:p>
      <w:pPr>
        <w:pStyle w:val="Verzeichnis3"/>
        <w:tabs>
          <w:tab w:val="left" w:pos="1560"/>
        </w:tabs>
        <w:rPr>
          <w:rFonts w:ascii="Calibri" w:eastAsia="MS Mincho" w:hAnsi="Calibri"/>
          <w:szCs w:val="22"/>
        </w:rPr>
      </w:pPr>
      <w:r>
        <w:t>4.2.3</w:t>
      </w:r>
      <w:r>
        <w:rPr>
          <w:rFonts w:ascii="Calibri" w:eastAsia="MS Mincho" w:hAnsi="Calibri"/>
          <w:szCs w:val="22"/>
        </w:rPr>
        <w:tab/>
      </w:r>
      <w:r>
        <w:t>Batch BAT_&lt;Bezeichnung des Batches&gt;</w:t>
      </w:r>
      <w:r>
        <w:tab/>
      </w:r>
      <w:r>
        <w:fldChar w:fldCharType="begin"/>
      </w:r>
      <w:r>
        <w:instrText xml:space="preserve"> PAGEREF _Toc488819225 \h </w:instrText>
      </w:r>
      <w:r>
        <w:fldChar w:fldCharType="separate"/>
      </w:r>
      <w:r>
        <w:t>3</w:t>
      </w:r>
      <w:r>
        <w:fldChar w:fldCharType="end"/>
      </w:r>
    </w:p>
    <w:p>
      <w:pPr>
        <w:pStyle w:val="Verzeichnis3"/>
        <w:tabs>
          <w:tab w:val="left" w:pos="1560"/>
        </w:tabs>
        <w:rPr>
          <w:rFonts w:ascii="Calibri" w:eastAsia="MS Mincho" w:hAnsi="Calibri"/>
          <w:szCs w:val="22"/>
        </w:rPr>
      </w:pPr>
      <w:r>
        <w:t>4.2.4</w:t>
      </w:r>
      <w:r>
        <w:rPr>
          <w:rFonts w:ascii="Calibri" w:eastAsia="MS Mincho" w:hAnsi="Calibri"/>
          <w:szCs w:val="22"/>
        </w:rPr>
        <w:tab/>
      </w:r>
      <w:r>
        <w:t>BAT_&lt;Bezeichnung des Batches&gt;</w:t>
      </w:r>
      <w:r>
        <w:tab/>
      </w:r>
      <w:r>
        <w:fldChar w:fldCharType="begin"/>
      </w:r>
      <w:r>
        <w:instrText xml:space="preserve"> PAGEREF _Toc488819226 \h </w:instrText>
      </w:r>
      <w:r>
        <w:fldChar w:fldCharType="separate"/>
      </w:r>
      <w:r>
        <w:t>3</w:t>
      </w:r>
      <w:r>
        <w:fldChar w:fldCharType="end"/>
      </w:r>
    </w:p>
    <w:p>
      <w:pPr>
        <w:pStyle w:val="Verzeichnis3"/>
        <w:tabs>
          <w:tab w:val="left" w:pos="1560"/>
        </w:tabs>
        <w:rPr>
          <w:rFonts w:ascii="Calibri" w:eastAsia="MS Mincho" w:hAnsi="Calibri"/>
          <w:szCs w:val="22"/>
        </w:rPr>
      </w:pPr>
      <w:r>
        <w:t>4.2.5</w:t>
      </w:r>
      <w:r>
        <w:rPr>
          <w:rFonts w:ascii="Calibri" w:eastAsia="MS Mincho" w:hAnsi="Calibri"/>
          <w:szCs w:val="22"/>
        </w:rPr>
        <w:tab/>
      </w:r>
      <w:r>
        <w:t>Anwendungsfunktionen</w:t>
      </w:r>
      <w:r>
        <w:tab/>
      </w:r>
      <w:r>
        <w:fldChar w:fldCharType="begin"/>
      </w:r>
      <w:r>
        <w:instrText xml:space="preserve"> PAGEREF _Toc488819227 \h </w:instrText>
      </w:r>
      <w:r>
        <w:fldChar w:fldCharType="separate"/>
      </w:r>
      <w:r>
        <w:t>3</w:t>
      </w:r>
      <w:r>
        <w:fldChar w:fldCharType="end"/>
      </w:r>
    </w:p>
    <w:p>
      <w:pPr>
        <w:pStyle w:val="Verzeichnis4"/>
        <w:tabs>
          <w:tab w:val="left" w:pos="2410"/>
        </w:tabs>
        <w:rPr>
          <w:rFonts w:ascii="Calibri" w:eastAsia="MS Mincho" w:hAnsi="Calibri"/>
          <w:szCs w:val="22"/>
        </w:rPr>
      </w:pPr>
      <w:r>
        <w:t>4.2.5.1</w:t>
      </w:r>
      <w:r>
        <w:rPr>
          <w:rFonts w:ascii="Calibri" w:eastAsia="MS Mincho" w:hAnsi="Calibri"/>
          <w:szCs w:val="22"/>
        </w:rPr>
        <w:tab/>
      </w:r>
      <w:r>
        <w:t>Anwendungsfunktion AFU_&lt;Bezeichnung der Anwendungsfunktion&gt;</w:t>
      </w:r>
      <w:r>
        <w:tab/>
      </w:r>
      <w:r>
        <w:fldChar w:fldCharType="begin"/>
      </w:r>
      <w:r>
        <w:instrText xml:space="preserve"> PAGEREF _Toc488819228 \h </w:instrText>
      </w:r>
      <w:r>
        <w:fldChar w:fldCharType="separate"/>
      </w:r>
      <w:r>
        <w:t>3</w:t>
      </w:r>
      <w:r>
        <w:fldChar w:fldCharType="end"/>
      </w:r>
    </w:p>
    <w:p>
      <w:pPr>
        <w:pStyle w:val="Verzeichnis4"/>
        <w:tabs>
          <w:tab w:val="left" w:pos="2410"/>
        </w:tabs>
        <w:rPr>
          <w:rFonts w:ascii="Calibri" w:eastAsia="MS Mincho" w:hAnsi="Calibri"/>
          <w:szCs w:val="22"/>
        </w:rPr>
      </w:pPr>
      <w:r>
        <w:t>4.2.5.2</w:t>
      </w:r>
      <w:r>
        <w:rPr>
          <w:rFonts w:ascii="Calibri" w:eastAsia="MS Mincho" w:hAnsi="Calibri"/>
          <w:szCs w:val="22"/>
        </w:rPr>
        <w:tab/>
      </w:r>
      <w:r>
        <w:t>Anwendungsfunktion AFU_&lt;Bezeichnung der Anwendungsfunktion&gt;</w:t>
      </w:r>
      <w:r>
        <w:tab/>
      </w:r>
      <w:r>
        <w:fldChar w:fldCharType="begin"/>
      </w:r>
      <w:r>
        <w:instrText xml:space="preserve"> PAGEREF _Toc488819229 \h </w:instrText>
      </w:r>
      <w:r>
        <w:fldChar w:fldCharType="separate"/>
      </w:r>
      <w:r>
        <w:t>3</w:t>
      </w:r>
      <w:r>
        <w:fldChar w:fldCharType="end"/>
      </w:r>
    </w:p>
    <w:p>
      <w:pPr>
        <w:pStyle w:val="Verzeichnis2"/>
        <w:rPr>
          <w:rFonts w:ascii="Calibri" w:eastAsia="MS Mincho" w:hAnsi="Calibri"/>
          <w:szCs w:val="22"/>
        </w:rPr>
      </w:pPr>
      <w:r>
        <w:t>4.3</w:t>
      </w:r>
      <w:r>
        <w:rPr>
          <w:rFonts w:ascii="Calibri" w:eastAsia="MS Mincho" w:hAnsi="Calibri"/>
          <w:szCs w:val="22"/>
        </w:rPr>
        <w:tab/>
      </w:r>
      <w:r>
        <w:t>Anwendungskomponente ANK_&lt;Bezeichnung der Anwendungskomponente</w:t>
      </w:r>
      <w:r>
        <w:tab/>
      </w:r>
      <w:r>
        <w:fldChar w:fldCharType="begin"/>
      </w:r>
      <w:r>
        <w:instrText xml:space="preserve"> PAGEREF _Toc488819230 \h </w:instrText>
      </w:r>
      <w:r>
        <w:fldChar w:fldCharType="separate"/>
      </w:r>
      <w:r>
        <w:t>3</w:t>
      </w:r>
      <w:r>
        <w:fldChar w:fldCharType="end"/>
      </w:r>
    </w:p>
    <w:p>
      <w:pPr>
        <w:pStyle w:val="Verzeichnis1"/>
        <w:rPr>
          <w:rFonts w:ascii="Calibri" w:eastAsia="MS Mincho" w:hAnsi="Calibri"/>
          <w:b w:val="0"/>
          <w:szCs w:val="22"/>
        </w:rPr>
      </w:pPr>
      <w:r>
        <w:t>5</w:t>
      </w:r>
      <w:r>
        <w:rPr>
          <w:rFonts w:ascii="Calibri" w:eastAsia="MS Mincho" w:hAnsi="Calibri"/>
          <w:b w:val="0"/>
          <w:szCs w:val="22"/>
        </w:rPr>
        <w:tab/>
      </w:r>
      <w:r>
        <w:t>Datenmodell</w:t>
      </w:r>
      <w:r>
        <w:tab/>
      </w:r>
      <w:r>
        <w:fldChar w:fldCharType="begin"/>
      </w:r>
      <w:r>
        <w:instrText xml:space="preserve"> PAGEREF _Toc488819231 \h </w:instrText>
      </w:r>
      <w:r>
        <w:fldChar w:fldCharType="separate"/>
      </w:r>
      <w:r>
        <w:t>3</w:t>
      </w:r>
      <w:r>
        <w:fldChar w:fldCharType="end"/>
      </w:r>
    </w:p>
    <w:p>
      <w:pPr>
        <w:pStyle w:val="Verzeichnis2"/>
        <w:rPr>
          <w:rFonts w:ascii="Calibri" w:eastAsia="MS Mincho" w:hAnsi="Calibri"/>
          <w:szCs w:val="22"/>
        </w:rPr>
      </w:pPr>
      <w:r>
        <w:t>5.1</w:t>
      </w:r>
      <w:r>
        <w:rPr>
          <w:rFonts w:ascii="Calibri" w:eastAsia="MS Mincho" w:hAnsi="Calibri"/>
          <w:szCs w:val="22"/>
        </w:rPr>
        <w:tab/>
      </w:r>
      <w:r>
        <w:t>Modellkomponente MKO_&lt;Name der Modellkomponente&gt;</w:t>
      </w:r>
      <w:r>
        <w:tab/>
      </w:r>
      <w:r>
        <w:fldChar w:fldCharType="begin"/>
      </w:r>
      <w:r>
        <w:instrText xml:space="preserve"> PAGEREF _Toc488819232 \h </w:instrText>
      </w:r>
      <w:r>
        <w:fldChar w:fldCharType="separate"/>
      </w:r>
      <w:r>
        <w:t>3</w:t>
      </w:r>
      <w:r>
        <w:fldChar w:fldCharType="end"/>
      </w:r>
    </w:p>
    <w:p>
      <w:pPr>
        <w:pStyle w:val="Verzeichnis3"/>
        <w:tabs>
          <w:tab w:val="left" w:pos="1560"/>
        </w:tabs>
        <w:rPr>
          <w:rFonts w:ascii="Calibri" w:eastAsia="MS Mincho" w:hAnsi="Calibri"/>
          <w:szCs w:val="22"/>
        </w:rPr>
      </w:pPr>
      <w:r>
        <w:t>5.1.1</w:t>
      </w:r>
      <w:r>
        <w:rPr>
          <w:rFonts w:ascii="Calibri" w:eastAsia="MS Mincho" w:hAnsi="Calibri"/>
          <w:szCs w:val="22"/>
        </w:rPr>
        <w:tab/>
      </w:r>
      <w:r>
        <w:t>Entitätstyp ETY_&lt;Bezeichnung des Entitätstypen&gt;</w:t>
      </w:r>
      <w:r>
        <w:tab/>
      </w:r>
      <w:r>
        <w:fldChar w:fldCharType="begin"/>
      </w:r>
      <w:r>
        <w:instrText xml:space="preserve"> PAGEREF _Toc488819233 \h </w:instrText>
      </w:r>
      <w:r>
        <w:fldChar w:fldCharType="separate"/>
      </w:r>
      <w:r>
        <w:t>3</w:t>
      </w:r>
      <w:r>
        <w:fldChar w:fldCharType="end"/>
      </w:r>
    </w:p>
    <w:p>
      <w:pPr>
        <w:pStyle w:val="Verzeichnis3"/>
        <w:tabs>
          <w:tab w:val="left" w:pos="1560"/>
        </w:tabs>
        <w:rPr>
          <w:rFonts w:ascii="Calibri" w:eastAsia="MS Mincho" w:hAnsi="Calibri"/>
          <w:szCs w:val="22"/>
        </w:rPr>
      </w:pPr>
      <w:r>
        <w:t>5.1.2</w:t>
      </w:r>
      <w:r>
        <w:rPr>
          <w:rFonts w:ascii="Calibri" w:eastAsia="MS Mincho" w:hAnsi="Calibri"/>
          <w:szCs w:val="22"/>
        </w:rPr>
        <w:tab/>
      </w:r>
      <w:r>
        <w:t>Entitätstyp ETY_&lt;Bezeichnung des Entitätstypen&gt;</w:t>
      </w:r>
      <w:r>
        <w:tab/>
      </w:r>
      <w:r>
        <w:fldChar w:fldCharType="begin"/>
      </w:r>
      <w:r>
        <w:instrText xml:space="preserve"> PAGEREF _Toc488819234 \h </w:instrText>
      </w:r>
      <w:r>
        <w:fldChar w:fldCharType="separate"/>
      </w:r>
      <w:r>
        <w:t>3</w:t>
      </w:r>
      <w:r>
        <w:fldChar w:fldCharType="end"/>
      </w:r>
    </w:p>
    <w:p>
      <w:pPr>
        <w:pStyle w:val="Verzeichnis2"/>
        <w:rPr>
          <w:rFonts w:ascii="Calibri" w:eastAsia="MS Mincho" w:hAnsi="Calibri"/>
          <w:szCs w:val="22"/>
        </w:rPr>
      </w:pPr>
      <w:r>
        <w:t>5.2</w:t>
      </w:r>
      <w:r>
        <w:rPr>
          <w:rFonts w:ascii="Calibri" w:eastAsia="MS Mincho" w:hAnsi="Calibri"/>
          <w:szCs w:val="22"/>
        </w:rPr>
        <w:tab/>
      </w:r>
      <w:r>
        <w:t>Modellkomponente MKO_&lt;Name der Modellkomponente&gt;</w:t>
      </w:r>
      <w:r>
        <w:tab/>
      </w:r>
      <w:r>
        <w:fldChar w:fldCharType="begin"/>
      </w:r>
      <w:r>
        <w:instrText xml:space="preserve"> PAGEREF _Toc488819235 \h </w:instrText>
      </w:r>
      <w:r>
        <w:fldChar w:fldCharType="separate"/>
      </w:r>
      <w:r>
        <w:t>3</w:t>
      </w:r>
      <w:r>
        <w:fldChar w:fldCharType="end"/>
      </w:r>
    </w:p>
    <w:p>
      <w:pPr>
        <w:pStyle w:val="Verzeichnis2"/>
        <w:rPr>
          <w:rFonts w:ascii="Calibri" w:eastAsia="MS Mincho" w:hAnsi="Calibri"/>
          <w:szCs w:val="22"/>
        </w:rPr>
      </w:pPr>
      <w:r>
        <w:t>5.3</w:t>
      </w:r>
      <w:r>
        <w:rPr>
          <w:rFonts w:ascii="Calibri" w:eastAsia="MS Mincho" w:hAnsi="Calibri"/>
          <w:szCs w:val="22"/>
        </w:rPr>
        <w:tab/>
      </w:r>
      <w:r>
        <w:t>Datentypen</w:t>
      </w:r>
      <w:r>
        <w:tab/>
      </w:r>
      <w:r>
        <w:fldChar w:fldCharType="begin"/>
      </w:r>
      <w:r>
        <w:instrText xml:space="preserve"> PAGEREF _Toc488819236 \h </w:instrText>
      </w:r>
      <w:r>
        <w:fldChar w:fldCharType="separate"/>
      </w:r>
      <w:r>
        <w:t>3</w:t>
      </w:r>
      <w:r>
        <w:fldChar w:fldCharType="end"/>
      </w:r>
    </w:p>
    <w:p>
      <w:pPr>
        <w:pStyle w:val="Verzeichnis1"/>
        <w:rPr>
          <w:rFonts w:ascii="Calibri" w:eastAsia="MS Mincho" w:hAnsi="Calibri"/>
          <w:b w:val="0"/>
          <w:szCs w:val="22"/>
        </w:rPr>
      </w:pPr>
      <w:r>
        <w:t>6</w:t>
      </w:r>
      <w:r>
        <w:rPr>
          <w:rFonts w:ascii="Calibri" w:eastAsia="MS Mincho" w:hAnsi="Calibri"/>
          <w:b w:val="0"/>
          <w:szCs w:val="22"/>
        </w:rPr>
        <w:tab/>
      </w:r>
      <w:r>
        <w:t>Dialoge</w:t>
      </w:r>
      <w:r>
        <w:tab/>
      </w:r>
      <w:r>
        <w:fldChar w:fldCharType="begin"/>
      </w:r>
      <w:r>
        <w:instrText xml:space="preserve"> PAGEREF _Toc488819237 \h </w:instrText>
      </w:r>
      <w:r>
        <w:fldChar w:fldCharType="separate"/>
      </w:r>
      <w:r>
        <w:t>3</w:t>
      </w:r>
      <w:r>
        <w:fldChar w:fldCharType="end"/>
      </w:r>
    </w:p>
    <w:p>
      <w:pPr>
        <w:pStyle w:val="Verzeichnis2"/>
        <w:rPr>
          <w:rFonts w:ascii="Calibri" w:eastAsia="MS Mincho" w:hAnsi="Calibri"/>
          <w:szCs w:val="22"/>
        </w:rPr>
      </w:pPr>
      <w:r>
        <w:t>6.1</w:t>
      </w:r>
      <w:r>
        <w:rPr>
          <w:rFonts w:ascii="Calibri" w:eastAsia="MS Mincho" w:hAnsi="Calibri"/>
          <w:szCs w:val="22"/>
        </w:rPr>
        <w:tab/>
      </w:r>
      <w:r>
        <w:t>Dialog DIA_&lt;Bezeichnung des Dialogs&gt;</w:t>
      </w:r>
      <w:r>
        <w:tab/>
      </w:r>
      <w:r>
        <w:fldChar w:fldCharType="begin"/>
      </w:r>
      <w:r>
        <w:instrText xml:space="preserve"> PAGEREF _Toc488819238 \h </w:instrText>
      </w:r>
      <w:r>
        <w:fldChar w:fldCharType="separate"/>
      </w:r>
      <w:r>
        <w:t>3</w:t>
      </w:r>
      <w:r>
        <w:fldChar w:fldCharType="end"/>
      </w:r>
    </w:p>
    <w:p>
      <w:pPr>
        <w:pStyle w:val="Verzeichnis2"/>
        <w:rPr>
          <w:rFonts w:ascii="Calibri" w:eastAsia="MS Mincho" w:hAnsi="Calibri"/>
          <w:szCs w:val="22"/>
        </w:rPr>
      </w:pPr>
      <w:r>
        <w:t>6.2</w:t>
      </w:r>
      <w:r>
        <w:rPr>
          <w:rFonts w:ascii="Calibri" w:eastAsia="MS Mincho" w:hAnsi="Calibri"/>
          <w:szCs w:val="22"/>
        </w:rPr>
        <w:tab/>
      </w:r>
      <w:r>
        <w:t>Dialog DIA_&lt;Bezeichnung des Dialogs&gt;</w:t>
      </w:r>
      <w:r>
        <w:tab/>
      </w:r>
      <w:r>
        <w:fldChar w:fldCharType="begin"/>
      </w:r>
      <w:r>
        <w:instrText xml:space="preserve"> PAGEREF _Toc488819239 \h </w:instrText>
      </w:r>
      <w:r>
        <w:fldChar w:fldCharType="separate"/>
      </w:r>
      <w:r>
        <w:t>3</w:t>
      </w:r>
      <w:r>
        <w:fldChar w:fldCharType="end"/>
      </w:r>
    </w:p>
    <w:p>
      <w:pPr>
        <w:pStyle w:val="Verzeichnis2"/>
        <w:rPr>
          <w:rFonts w:ascii="Calibri" w:eastAsia="MS Mincho" w:hAnsi="Calibri"/>
          <w:szCs w:val="22"/>
        </w:rPr>
      </w:pPr>
      <w:r>
        <w:t>6.3</w:t>
      </w:r>
      <w:r>
        <w:rPr>
          <w:rFonts w:ascii="Calibri" w:eastAsia="MS Mincho" w:hAnsi="Calibri"/>
          <w:szCs w:val="22"/>
        </w:rPr>
        <w:tab/>
      </w:r>
      <w:r>
        <w:t>Masken</w:t>
      </w:r>
      <w:r>
        <w:tab/>
      </w:r>
      <w:r>
        <w:fldChar w:fldCharType="begin"/>
      </w:r>
      <w:r>
        <w:instrText xml:space="preserve"> PAGEREF _Toc488819240 \h </w:instrText>
      </w:r>
      <w:r>
        <w:fldChar w:fldCharType="separate"/>
      </w:r>
      <w:r>
        <w:t>3</w:t>
      </w:r>
      <w:r>
        <w:fldChar w:fldCharType="end"/>
      </w:r>
    </w:p>
    <w:p>
      <w:pPr>
        <w:pStyle w:val="Verzeichnis3"/>
        <w:tabs>
          <w:tab w:val="left" w:pos="1560"/>
        </w:tabs>
        <w:rPr>
          <w:rFonts w:ascii="Calibri" w:eastAsia="MS Mincho" w:hAnsi="Calibri"/>
          <w:szCs w:val="22"/>
        </w:rPr>
      </w:pPr>
      <w:r>
        <w:t>6.3.1</w:t>
      </w:r>
      <w:r>
        <w:rPr>
          <w:rFonts w:ascii="Calibri" w:eastAsia="MS Mincho" w:hAnsi="Calibri"/>
          <w:szCs w:val="22"/>
        </w:rPr>
        <w:tab/>
      </w:r>
      <w:r>
        <w:t>&lt;Bezeichnung der Anwendungskomponente&gt;</w:t>
      </w:r>
      <w:r>
        <w:tab/>
      </w:r>
      <w:r>
        <w:fldChar w:fldCharType="begin"/>
      </w:r>
      <w:r>
        <w:instrText xml:space="preserve"> PAGEREF _Toc488819241 \h </w:instrText>
      </w:r>
      <w:r>
        <w:fldChar w:fldCharType="separate"/>
      </w:r>
      <w:r>
        <w:t>3</w:t>
      </w:r>
      <w:r>
        <w:fldChar w:fldCharType="end"/>
      </w:r>
    </w:p>
    <w:p>
      <w:pPr>
        <w:pStyle w:val="Verzeichnis4"/>
        <w:tabs>
          <w:tab w:val="left" w:pos="2410"/>
        </w:tabs>
        <w:rPr>
          <w:rFonts w:ascii="Calibri" w:eastAsia="MS Mincho" w:hAnsi="Calibri"/>
          <w:szCs w:val="22"/>
        </w:rPr>
      </w:pPr>
      <w:r>
        <w:t>6.3.1.1</w:t>
      </w:r>
      <w:r>
        <w:rPr>
          <w:rFonts w:ascii="Calibri" w:eastAsia="MS Mincho" w:hAnsi="Calibri"/>
          <w:szCs w:val="22"/>
        </w:rPr>
        <w:tab/>
      </w:r>
      <w:r>
        <w:t>Maske MAS_&lt;Bezeichnung der Maske&gt;</w:t>
      </w:r>
      <w:r>
        <w:tab/>
      </w:r>
      <w:r>
        <w:fldChar w:fldCharType="begin"/>
      </w:r>
      <w:r>
        <w:instrText xml:space="preserve"> PAGEREF _Toc488819242 \h </w:instrText>
      </w:r>
      <w:r>
        <w:fldChar w:fldCharType="separate"/>
      </w:r>
      <w:r>
        <w:t>3</w:t>
      </w:r>
      <w:r>
        <w:fldChar w:fldCharType="end"/>
      </w:r>
    </w:p>
    <w:p>
      <w:pPr>
        <w:pStyle w:val="Verzeichnis4"/>
        <w:tabs>
          <w:tab w:val="left" w:pos="2410"/>
        </w:tabs>
        <w:rPr>
          <w:rFonts w:ascii="Calibri" w:eastAsia="MS Mincho" w:hAnsi="Calibri"/>
          <w:szCs w:val="22"/>
        </w:rPr>
      </w:pPr>
      <w:r>
        <w:t>6.3.1.2</w:t>
      </w:r>
      <w:r>
        <w:rPr>
          <w:rFonts w:ascii="Calibri" w:eastAsia="MS Mincho" w:hAnsi="Calibri"/>
          <w:szCs w:val="22"/>
        </w:rPr>
        <w:tab/>
      </w:r>
      <w:r>
        <w:t>Maske MAS_&lt;Bezeichnung der Maske&gt;</w:t>
      </w:r>
      <w:r>
        <w:tab/>
      </w:r>
      <w:r>
        <w:fldChar w:fldCharType="begin"/>
      </w:r>
      <w:r>
        <w:instrText xml:space="preserve"> PAGEREF _Toc488819243 \h </w:instrText>
      </w:r>
      <w:r>
        <w:fldChar w:fldCharType="separate"/>
      </w:r>
      <w:r>
        <w:t>3</w:t>
      </w:r>
      <w:r>
        <w:fldChar w:fldCharType="end"/>
      </w:r>
    </w:p>
    <w:p>
      <w:pPr>
        <w:pStyle w:val="Verzeichnis3"/>
        <w:tabs>
          <w:tab w:val="left" w:pos="1560"/>
        </w:tabs>
        <w:rPr>
          <w:rFonts w:ascii="Calibri" w:eastAsia="MS Mincho" w:hAnsi="Calibri"/>
          <w:szCs w:val="22"/>
        </w:rPr>
      </w:pPr>
      <w:r>
        <w:t>6.3.2</w:t>
      </w:r>
      <w:r>
        <w:rPr>
          <w:rFonts w:ascii="Calibri" w:eastAsia="MS Mincho" w:hAnsi="Calibri"/>
          <w:szCs w:val="22"/>
        </w:rPr>
        <w:tab/>
      </w:r>
      <w:r>
        <w:t>&lt;Bezeichnung der Anwendungskomponente&gt;</w:t>
      </w:r>
      <w:r>
        <w:tab/>
      </w:r>
      <w:r>
        <w:fldChar w:fldCharType="begin"/>
      </w:r>
      <w:r>
        <w:instrText xml:space="preserve"> PAGEREF _Toc488819244 \h </w:instrText>
      </w:r>
      <w:r>
        <w:fldChar w:fldCharType="separate"/>
      </w:r>
      <w:r>
        <w:t>3</w:t>
      </w:r>
      <w:r>
        <w:fldChar w:fldCharType="end"/>
      </w:r>
    </w:p>
    <w:p>
      <w:pPr>
        <w:pStyle w:val="Verzeichnis1"/>
        <w:rPr>
          <w:rFonts w:ascii="Calibri" w:eastAsia="MS Mincho" w:hAnsi="Calibri"/>
          <w:b w:val="0"/>
          <w:szCs w:val="22"/>
        </w:rPr>
      </w:pPr>
      <w:r>
        <w:t>7</w:t>
      </w:r>
      <w:r>
        <w:rPr>
          <w:rFonts w:ascii="Calibri" w:eastAsia="MS Mincho" w:hAnsi="Calibri"/>
          <w:b w:val="0"/>
          <w:szCs w:val="22"/>
        </w:rPr>
        <w:tab/>
      </w:r>
      <w:r>
        <w:t>Druckausgaben</w:t>
      </w:r>
      <w:r>
        <w:tab/>
      </w:r>
      <w:r>
        <w:fldChar w:fldCharType="begin"/>
      </w:r>
      <w:r>
        <w:instrText xml:space="preserve"> PAGEREF _Toc488819245 \h </w:instrText>
      </w:r>
      <w:r>
        <w:fldChar w:fldCharType="separate"/>
      </w:r>
      <w:r>
        <w:t>3</w:t>
      </w:r>
      <w:r>
        <w:fldChar w:fldCharType="end"/>
      </w:r>
    </w:p>
    <w:p>
      <w:pPr>
        <w:pStyle w:val="Verzeichnis2"/>
        <w:rPr>
          <w:rFonts w:ascii="Calibri" w:eastAsia="MS Mincho" w:hAnsi="Calibri"/>
          <w:szCs w:val="22"/>
        </w:rPr>
      </w:pPr>
      <w:r>
        <w:rPr>
          <w:i/>
          <w:iCs/>
        </w:rPr>
        <w:t>7.1</w:t>
      </w:r>
      <w:r>
        <w:rPr>
          <w:rFonts w:ascii="Calibri" w:eastAsia="MS Mincho" w:hAnsi="Calibri"/>
          <w:szCs w:val="22"/>
        </w:rPr>
        <w:tab/>
      </w:r>
      <w:r>
        <w:t>&lt;Bezeichnung der Anwendungskomponente&gt;</w:t>
      </w:r>
      <w:r>
        <w:tab/>
      </w:r>
      <w:r>
        <w:fldChar w:fldCharType="begin"/>
      </w:r>
      <w:r>
        <w:instrText xml:space="preserve"> PAGEREF _Toc488819246 \h </w:instrText>
      </w:r>
      <w:r>
        <w:fldChar w:fldCharType="separate"/>
      </w:r>
      <w:r>
        <w:t>3</w:t>
      </w:r>
      <w:r>
        <w:fldChar w:fldCharType="end"/>
      </w:r>
    </w:p>
    <w:p>
      <w:pPr>
        <w:pStyle w:val="Verzeichnis3"/>
        <w:tabs>
          <w:tab w:val="left" w:pos="1560"/>
        </w:tabs>
        <w:rPr>
          <w:rFonts w:ascii="Calibri" w:eastAsia="MS Mincho" w:hAnsi="Calibri"/>
          <w:szCs w:val="22"/>
        </w:rPr>
      </w:pPr>
      <w:r>
        <w:t>7.1.1</w:t>
      </w:r>
      <w:r>
        <w:rPr>
          <w:rFonts w:ascii="Calibri" w:eastAsia="MS Mincho" w:hAnsi="Calibri"/>
          <w:szCs w:val="22"/>
        </w:rPr>
        <w:tab/>
      </w:r>
      <w:r>
        <w:t>Druckstück DRU_&lt;Bezeichnung der Druckausgabe&gt;</w:t>
      </w:r>
      <w:r>
        <w:tab/>
      </w:r>
      <w:r>
        <w:fldChar w:fldCharType="begin"/>
      </w:r>
      <w:r>
        <w:instrText xml:space="preserve"> PAGEREF _Toc488819247 \h </w:instrText>
      </w:r>
      <w:r>
        <w:fldChar w:fldCharType="separate"/>
      </w:r>
      <w:r>
        <w:t>3</w:t>
      </w:r>
      <w:r>
        <w:fldChar w:fldCharType="end"/>
      </w:r>
    </w:p>
    <w:p>
      <w:pPr>
        <w:pStyle w:val="Verzeichnis3"/>
        <w:tabs>
          <w:tab w:val="left" w:pos="1560"/>
        </w:tabs>
        <w:rPr>
          <w:rFonts w:ascii="Calibri" w:eastAsia="MS Mincho" w:hAnsi="Calibri"/>
          <w:szCs w:val="22"/>
        </w:rPr>
      </w:pPr>
      <w:r>
        <w:t>7.1.2</w:t>
      </w:r>
      <w:r>
        <w:rPr>
          <w:rFonts w:ascii="Calibri" w:eastAsia="MS Mincho" w:hAnsi="Calibri"/>
          <w:szCs w:val="22"/>
        </w:rPr>
        <w:tab/>
      </w:r>
      <w:r>
        <w:t>Druckstück DRU_&lt;Bezeichnung der Druckausgabe&gt;</w:t>
      </w:r>
      <w:r>
        <w:tab/>
      </w:r>
      <w:r>
        <w:fldChar w:fldCharType="begin"/>
      </w:r>
      <w:r>
        <w:instrText xml:space="preserve"> PAGEREF _Toc488819248 \h </w:instrText>
      </w:r>
      <w:r>
        <w:fldChar w:fldCharType="separate"/>
      </w:r>
      <w:r>
        <w:t>3</w:t>
      </w:r>
      <w:r>
        <w:fldChar w:fldCharType="end"/>
      </w:r>
    </w:p>
    <w:p>
      <w:pPr>
        <w:pStyle w:val="Verzeichnis2"/>
        <w:rPr>
          <w:rFonts w:ascii="Calibri" w:eastAsia="MS Mincho" w:hAnsi="Calibri"/>
          <w:szCs w:val="22"/>
        </w:rPr>
      </w:pPr>
      <w:r>
        <w:t>7.2</w:t>
      </w:r>
      <w:r>
        <w:rPr>
          <w:rFonts w:ascii="Calibri" w:eastAsia="MS Mincho" w:hAnsi="Calibri"/>
          <w:szCs w:val="22"/>
        </w:rPr>
        <w:tab/>
      </w:r>
      <w:r>
        <w:t>&lt;Bezeichnung der Anwendungskomponente&gt;</w:t>
      </w:r>
      <w:r>
        <w:tab/>
      </w:r>
      <w:r>
        <w:fldChar w:fldCharType="begin"/>
      </w:r>
      <w:r>
        <w:instrText xml:space="preserve"> PAGEREF _Toc488819249 \h </w:instrText>
      </w:r>
      <w:r>
        <w:fldChar w:fldCharType="separate"/>
      </w:r>
      <w:r>
        <w:t>3</w:t>
      </w:r>
      <w:r>
        <w:fldChar w:fldCharType="end"/>
      </w:r>
    </w:p>
    <w:p>
      <w:pPr>
        <w:pStyle w:val="Verzeichnis1"/>
        <w:rPr>
          <w:rFonts w:ascii="Calibri" w:eastAsia="MS Mincho" w:hAnsi="Calibri"/>
          <w:b w:val="0"/>
          <w:szCs w:val="22"/>
        </w:rPr>
      </w:pPr>
      <w:r>
        <w:t>8</w:t>
      </w:r>
      <w:r>
        <w:rPr>
          <w:rFonts w:ascii="Calibri" w:eastAsia="MS Mincho" w:hAnsi="Calibri"/>
          <w:b w:val="0"/>
          <w:szCs w:val="22"/>
        </w:rPr>
        <w:tab/>
      </w:r>
      <w:r>
        <w:t>Nachbarsystemschnittstellen</w:t>
      </w:r>
      <w:r>
        <w:tab/>
      </w:r>
      <w:r>
        <w:fldChar w:fldCharType="begin"/>
      </w:r>
      <w:r>
        <w:instrText xml:space="preserve"> PAGEREF _Toc488819250 \h </w:instrText>
      </w:r>
      <w:r>
        <w:fldChar w:fldCharType="separate"/>
      </w:r>
      <w:r>
        <w:t>3</w:t>
      </w:r>
      <w:r>
        <w:fldChar w:fldCharType="end"/>
      </w:r>
    </w:p>
    <w:p>
      <w:pPr>
        <w:pStyle w:val="Verzeichnis2"/>
        <w:rPr>
          <w:rFonts w:ascii="Calibri" w:eastAsia="MS Mincho" w:hAnsi="Calibri"/>
          <w:szCs w:val="22"/>
        </w:rPr>
      </w:pPr>
      <w:r>
        <w:t>8.1</w:t>
      </w:r>
      <w:r>
        <w:rPr>
          <w:rFonts w:ascii="Calibri" w:eastAsia="MS Mincho" w:hAnsi="Calibri"/>
          <w:szCs w:val="22"/>
        </w:rPr>
        <w:tab/>
      </w:r>
      <w:r>
        <w:t>Angebotene Schnittstellen</w:t>
      </w:r>
      <w:r>
        <w:tab/>
      </w:r>
      <w:r>
        <w:fldChar w:fldCharType="begin"/>
      </w:r>
      <w:r>
        <w:instrText xml:space="preserve"> PAGEREF _Toc488819251 \h </w:instrText>
      </w:r>
      <w:r>
        <w:fldChar w:fldCharType="separate"/>
      </w:r>
      <w:r>
        <w:t>3</w:t>
      </w:r>
      <w:r>
        <w:fldChar w:fldCharType="end"/>
      </w:r>
    </w:p>
    <w:p>
      <w:pPr>
        <w:pStyle w:val="Verzeichnis3"/>
        <w:tabs>
          <w:tab w:val="left" w:pos="1560"/>
        </w:tabs>
        <w:rPr>
          <w:rFonts w:ascii="Calibri" w:eastAsia="MS Mincho" w:hAnsi="Calibri"/>
          <w:szCs w:val="22"/>
        </w:rPr>
      </w:pPr>
      <w:r>
        <w:t>8.1.1</w:t>
      </w:r>
      <w:r>
        <w:rPr>
          <w:rFonts w:ascii="Calibri" w:eastAsia="MS Mincho" w:hAnsi="Calibri"/>
          <w:szCs w:val="22"/>
        </w:rPr>
        <w:tab/>
      </w:r>
      <w:r>
        <w:t>Angebotene Schnittstelle NST_&lt;Bezeichnung der Nachbarschnittstelle&gt;</w:t>
      </w:r>
      <w:r>
        <w:tab/>
      </w:r>
      <w:r>
        <w:fldChar w:fldCharType="begin"/>
      </w:r>
      <w:r>
        <w:instrText xml:space="preserve"> PAGEREF _Toc488819252 \h </w:instrText>
      </w:r>
      <w:r>
        <w:fldChar w:fldCharType="separate"/>
      </w:r>
      <w:r>
        <w:t>3</w:t>
      </w:r>
      <w:r>
        <w:fldChar w:fldCharType="end"/>
      </w:r>
    </w:p>
    <w:p>
      <w:pPr>
        <w:pStyle w:val="Verzeichnis4"/>
        <w:tabs>
          <w:tab w:val="left" w:pos="2410"/>
        </w:tabs>
        <w:rPr>
          <w:rFonts w:ascii="Calibri" w:eastAsia="MS Mincho" w:hAnsi="Calibri"/>
          <w:szCs w:val="22"/>
        </w:rPr>
      </w:pPr>
      <w:r>
        <w:t>8.1.1.1</w:t>
      </w:r>
      <w:r>
        <w:rPr>
          <w:rFonts w:ascii="Calibri" w:eastAsia="MS Mincho" w:hAnsi="Calibri"/>
          <w:szCs w:val="22"/>
        </w:rPr>
        <w:tab/>
      </w:r>
      <w:r>
        <w:t>Eingabeparameter</w:t>
      </w:r>
      <w:r>
        <w:tab/>
      </w:r>
      <w:r>
        <w:fldChar w:fldCharType="begin"/>
      </w:r>
      <w:r>
        <w:instrText xml:space="preserve"> PAGEREF _Toc488819253 \h </w:instrText>
      </w:r>
      <w:r>
        <w:fldChar w:fldCharType="separate"/>
      </w:r>
      <w:r>
        <w:t>3</w:t>
      </w:r>
      <w:r>
        <w:fldChar w:fldCharType="end"/>
      </w:r>
    </w:p>
    <w:p>
      <w:pPr>
        <w:pStyle w:val="Verzeichnis5"/>
        <w:tabs>
          <w:tab w:val="left" w:pos="3544"/>
        </w:tabs>
        <w:rPr>
          <w:rFonts w:ascii="Calibri" w:eastAsia="MS Mincho" w:hAnsi="Calibri"/>
          <w:szCs w:val="22"/>
        </w:rPr>
      </w:pPr>
      <w:r>
        <w:t>8.1.1.1.1</w:t>
      </w:r>
      <w:r>
        <w:rPr>
          <w:rFonts w:ascii="Calibri" w:eastAsia="MS Mincho" w:hAnsi="Calibri"/>
          <w:szCs w:val="22"/>
        </w:rPr>
        <w:tab/>
      </w:r>
      <w:r>
        <w:t>Schnittstellenentitätstyp NSE_&lt;Name des Schnittstellenentitätstyps&gt;</w:t>
      </w:r>
      <w:r>
        <w:tab/>
      </w:r>
      <w:r>
        <w:fldChar w:fldCharType="begin"/>
      </w:r>
      <w:r>
        <w:instrText xml:space="preserve"> PAGEREF _Toc488819254 \h </w:instrText>
      </w:r>
      <w:r>
        <w:fldChar w:fldCharType="separate"/>
      </w:r>
      <w:r>
        <w:t>3</w:t>
      </w:r>
      <w:r>
        <w:fldChar w:fldCharType="end"/>
      </w:r>
    </w:p>
    <w:p>
      <w:pPr>
        <w:pStyle w:val="Verzeichnis4"/>
        <w:tabs>
          <w:tab w:val="left" w:pos="2410"/>
        </w:tabs>
        <w:rPr>
          <w:rFonts w:ascii="Calibri" w:eastAsia="MS Mincho" w:hAnsi="Calibri"/>
          <w:szCs w:val="22"/>
        </w:rPr>
      </w:pPr>
      <w:r>
        <w:t>8.1.1.2</w:t>
      </w:r>
      <w:r>
        <w:rPr>
          <w:rFonts w:ascii="Calibri" w:eastAsia="MS Mincho" w:hAnsi="Calibri"/>
          <w:szCs w:val="22"/>
        </w:rPr>
        <w:tab/>
      </w:r>
      <w:r>
        <w:t>NST_&lt;Bezeichnung der Nachbarschnittstelle&gt;</w:t>
      </w:r>
      <w:r>
        <w:tab/>
      </w:r>
      <w:r>
        <w:fldChar w:fldCharType="begin"/>
      </w:r>
      <w:r>
        <w:instrText xml:space="preserve"> PAGEREF _Toc488819255 \h </w:instrText>
      </w:r>
      <w:r>
        <w:fldChar w:fldCharType="separate"/>
      </w:r>
      <w:r>
        <w:t>3</w:t>
      </w:r>
      <w:r>
        <w:fldChar w:fldCharType="end"/>
      </w:r>
    </w:p>
    <w:p>
      <w:pPr>
        <w:pStyle w:val="Verzeichnis2"/>
        <w:rPr>
          <w:rFonts w:ascii="Calibri" w:eastAsia="MS Mincho" w:hAnsi="Calibri"/>
          <w:szCs w:val="22"/>
        </w:rPr>
      </w:pPr>
      <w:r>
        <w:t>8.2</w:t>
      </w:r>
      <w:r>
        <w:rPr>
          <w:rFonts w:ascii="Calibri" w:eastAsia="MS Mincho" w:hAnsi="Calibri"/>
          <w:szCs w:val="22"/>
        </w:rPr>
        <w:tab/>
      </w:r>
      <w:r>
        <w:t>Benutzte Schnittstellen</w:t>
      </w:r>
      <w:r>
        <w:tab/>
      </w:r>
      <w:r>
        <w:fldChar w:fldCharType="begin"/>
      </w:r>
      <w:r>
        <w:instrText xml:space="preserve"> PAGEREF _Toc488819256 \h </w:instrText>
      </w:r>
      <w:r>
        <w:fldChar w:fldCharType="separate"/>
      </w:r>
      <w:r>
        <w:t>3</w:t>
      </w:r>
      <w:r>
        <w:fldChar w:fldCharType="end"/>
      </w:r>
    </w:p>
    <w:p>
      <w:pPr>
        <w:pStyle w:val="Verzeichnis3"/>
        <w:tabs>
          <w:tab w:val="left" w:pos="1560"/>
        </w:tabs>
        <w:rPr>
          <w:rFonts w:ascii="Calibri" w:eastAsia="MS Mincho" w:hAnsi="Calibri"/>
          <w:szCs w:val="22"/>
        </w:rPr>
      </w:pPr>
      <w:r>
        <w:t>8.2.1</w:t>
      </w:r>
      <w:r>
        <w:rPr>
          <w:rFonts w:ascii="Calibri" w:eastAsia="MS Mincho" w:hAnsi="Calibri"/>
          <w:szCs w:val="22"/>
        </w:rPr>
        <w:tab/>
      </w:r>
      <w:r>
        <w:t>Benutzte Nachbarschnittstelle NST_&lt;Bezeichnung der Nachbarschnittstelle&gt;</w:t>
      </w:r>
      <w:r>
        <w:tab/>
      </w:r>
      <w:r>
        <w:fldChar w:fldCharType="begin"/>
      </w:r>
      <w:r>
        <w:instrText xml:space="preserve"> PAGEREF _Toc488819257 \h </w:instrText>
      </w:r>
      <w:r>
        <w:fldChar w:fldCharType="separate"/>
      </w:r>
      <w:r>
        <w:t>3</w:t>
      </w:r>
      <w:r>
        <w:fldChar w:fldCharType="end"/>
      </w:r>
    </w:p>
    <w:p>
      <w:pPr>
        <w:pStyle w:val="Verzeichnis3"/>
        <w:tabs>
          <w:tab w:val="left" w:pos="1560"/>
        </w:tabs>
        <w:rPr>
          <w:rFonts w:ascii="Calibri" w:eastAsia="MS Mincho" w:hAnsi="Calibri"/>
          <w:szCs w:val="22"/>
        </w:rPr>
      </w:pPr>
      <w:r>
        <w:t>8.2.2</w:t>
      </w:r>
      <w:r>
        <w:rPr>
          <w:rFonts w:ascii="Calibri" w:eastAsia="MS Mincho" w:hAnsi="Calibri"/>
          <w:szCs w:val="22"/>
        </w:rPr>
        <w:tab/>
      </w:r>
      <w:r>
        <w:t>Benutzte Nachbarschnittstelle NNST_&lt;Bezeichnung der Nachbarschnittstelle&gt;</w:t>
      </w:r>
      <w:r>
        <w:tab/>
      </w:r>
      <w:r>
        <w:fldChar w:fldCharType="begin"/>
      </w:r>
      <w:r>
        <w:instrText xml:space="preserve"> PAGEREF _Toc488819258 \h </w:instrText>
      </w:r>
      <w:r>
        <w:fldChar w:fldCharType="separate"/>
      </w:r>
      <w:r>
        <w:t>3</w:t>
      </w:r>
      <w:r>
        <w:fldChar w:fldCharType="end"/>
      </w:r>
    </w:p>
    <w:p>
      <w:pPr>
        <w:pStyle w:val="Verzeichnis1"/>
        <w:rPr>
          <w:rFonts w:ascii="Calibri" w:eastAsia="MS Mincho" w:hAnsi="Calibri"/>
          <w:b w:val="0"/>
          <w:szCs w:val="22"/>
        </w:rPr>
      </w:pPr>
      <w:r>
        <w:t>9</w:t>
      </w:r>
      <w:r>
        <w:rPr>
          <w:rFonts w:ascii="Calibri" w:eastAsia="MS Mincho" w:hAnsi="Calibri"/>
          <w:b w:val="0"/>
          <w:szCs w:val="22"/>
        </w:rPr>
        <w:tab/>
      </w:r>
      <w:r>
        <w:t>Nichtfunktionale Anforderungen</w:t>
      </w:r>
      <w:r>
        <w:tab/>
      </w:r>
      <w:r>
        <w:fldChar w:fldCharType="begin"/>
      </w:r>
      <w:r>
        <w:instrText xml:space="preserve"> PAGEREF _Toc488819259 \h </w:instrText>
      </w:r>
      <w:r>
        <w:fldChar w:fldCharType="separate"/>
      </w:r>
      <w:r>
        <w:t>3</w:t>
      </w:r>
      <w:r>
        <w:fldChar w:fldCharType="end"/>
      </w:r>
    </w:p>
    <w:p>
      <w:pPr>
        <w:pStyle w:val="Verzeichnis2"/>
        <w:rPr>
          <w:rFonts w:ascii="Calibri" w:eastAsia="MS Mincho" w:hAnsi="Calibri"/>
          <w:szCs w:val="22"/>
        </w:rPr>
      </w:pPr>
      <w:r>
        <w:t>9.1</w:t>
      </w:r>
      <w:r>
        <w:rPr>
          <w:rFonts w:ascii="Calibri" w:eastAsia="MS Mincho" w:hAnsi="Calibri"/>
          <w:szCs w:val="22"/>
        </w:rPr>
        <w:tab/>
      </w:r>
      <w:r>
        <w:t>Performanz und Antwortzeitverhalten</w:t>
      </w:r>
      <w:r>
        <w:tab/>
      </w:r>
      <w:r>
        <w:fldChar w:fldCharType="begin"/>
      </w:r>
      <w:r>
        <w:instrText xml:space="preserve"> PAGEREF _Toc488819260 \h </w:instrText>
      </w:r>
      <w:r>
        <w:fldChar w:fldCharType="separate"/>
      </w:r>
      <w:r>
        <w:t>3</w:t>
      </w:r>
      <w:r>
        <w:fldChar w:fldCharType="end"/>
      </w:r>
    </w:p>
    <w:p>
      <w:pPr>
        <w:pStyle w:val="Verzeichnis3"/>
        <w:tabs>
          <w:tab w:val="left" w:pos="1560"/>
        </w:tabs>
        <w:rPr>
          <w:rFonts w:ascii="Calibri" w:eastAsia="MS Mincho" w:hAnsi="Calibri"/>
          <w:szCs w:val="22"/>
        </w:rPr>
      </w:pPr>
      <w:r>
        <w:t>9.1.1</w:t>
      </w:r>
      <w:r>
        <w:rPr>
          <w:rFonts w:ascii="Calibri" w:eastAsia="MS Mincho" w:hAnsi="Calibri"/>
          <w:szCs w:val="22"/>
        </w:rPr>
        <w:tab/>
      </w:r>
      <w:r>
        <w:t>NFA_&lt;Name der Anforderung&gt;</w:t>
      </w:r>
      <w:r>
        <w:tab/>
      </w:r>
      <w:r>
        <w:fldChar w:fldCharType="begin"/>
      </w:r>
      <w:r>
        <w:instrText xml:space="preserve"> PAGEREF _Toc488819261 \h </w:instrText>
      </w:r>
      <w:r>
        <w:fldChar w:fldCharType="separate"/>
      </w:r>
      <w:r>
        <w:t>3</w:t>
      </w:r>
      <w:r>
        <w:fldChar w:fldCharType="end"/>
      </w:r>
    </w:p>
    <w:p>
      <w:pPr>
        <w:pStyle w:val="Verzeichnis3"/>
        <w:tabs>
          <w:tab w:val="left" w:pos="1560"/>
        </w:tabs>
        <w:rPr>
          <w:rFonts w:ascii="Calibri" w:eastAsia="MS Mincho" w:hAnsi="Calibri"/>
          <w:szCs w:val="22"/>
        </w:rPr>
      </w:pPr>
      <w:r>
        <w:t>9.1.2</w:t>
      </w:r>
      <w:r>
        <w:rPr>
          <w:rFonts w:ascii="Calibri" w:eastAsia="MS Mincho" w:hAnsi="Calibri"/>
          <w:szCs w:val="22"/>
        </w:rPr>
        <w:tab/>
      </w:r>
      <w:r>
        <w:t>NFA_Performanz_und_Antwortzeitverhalten (optional)</w:t>
      </w:r>
      <w:r>
        <w:tab/>
      </w:r>
      <w:r>
        <w:fldChar w:fldCharType="begin"/>
      </w:r>
      <w:r>
        <w:instrText xml:space="preserve"> PAGEREF _Toc488819262 \h </w:instrText>
      </w:r>
      <w:r>
        <w:fldChar w:fldCharType="separate"/>
      </w:r>
      <w:r>
        <w:t>3</w:t>
      </w:r>
      <w:r>
        <w:fldChar w:fldCharType="end"/>
      </w:r>
    </w:p>
    <w:p>
      <w:pPr>
        <w:pStyle w:val="Verzeichnis3"/>
        <w:tabs>
          <w:tab w:val="left" w:pos="1560"/>
        </w:tabs>
        <w:rPr>
          <w:rFonts w:ascii="Calibri" w:eastAsia="MS Mincho" w:hAnsi="Calibri"/>
          <w:szCs w:val="22"/>
        </w:rPr>
      </w:pPr>
      <w:r>
        <w:t>9.1.3</w:t>
      </w:r>
      <w:r>
        <w:rPr>
          <w:rFonts w:ascii="Calibri" w:eastAsia="MS Mincho" w:hAnsi="Calibri"/>
          <w:szCs w:val="22"/>
        </w:rPr>
        <w:tab/>
      </w:r>
      <w:r>
        <w:t>NFA_&lt;Name der Anforderung&gt;</w:t>
      </w:r>
      <w:r>
        <w:tab/>
      </w:r>
      <w:r>
        <w:fldChar w:fldCharType="begin"/>
      </w:r>
      <w:r>
        <w:instrText xml:space="preserve"> PAGEREF _Toc488819263 \h </w:instrText>
      </w:r>
      <w:r>
        <w:fldChar w:fldCharType="separate"/>
      </w:r>
      <w:r>
        <w:t>3</w:t>
      </w:r>
      <w:r>
        <w:fldChar w:fldCharType="end"/>
      </w:r>
    </w:p>
    <w:p>
      <w:pPr>
        <w:pStyle w:val="Verzeichnis2"/>
        <w:rPr>
          <w:rFonts w:ascii="Calibri" w:eastAsia="MS Mincho" w:hAnsi="Calibri"/>
          <w:szCs w:val="22"/>
        </w:rPr>
      </w:pPr>
      <w:r>
        <w:t>9.2</w:t>
      </w:r>
      <w:r>
        <w:rPr>
          <w:rFonts w:ascii="Calibri" w:eastAsia="MS Mincho" w:hAnsi="Calibri"/>
          <w:szCs w:val="22"/>
        </w:rPr>
        <w:tab/>
      </w:r>
      <w:r>
        <w:t>Lastverhalten und Mengengerüst</w:t>
      </w:r>
      <w:r>
        <w:tab/>
      </w:r>
      <w:r>
        <w:fldChar w:fldCharType="begin"/>
      </w:r>
      <w:r>
        <w:instrText xml:space="preserve"> PAGEREF _Toc488819264 \h </w:instrText>
      </w:r>
      <w:r>
        <w:fldChar w:fldCharType="separate"/>
      </w:r>
      <w:r>
        <w:t>3</w:t>
      </w:r>
      <w:r>
        <w:fldChar w:fldCharType="end"/>
      </w:r>
    </w:p>
    <w:p>
      <w:pPr>
        <w:pStyle w:val="Verzeichnis3"/>
        <w:tabs>
          <w:tab w:val="left" w:pos="1560"/>
        </w:tabs>
        <w:rPr>
          <w:rFonts w:ascii="Calibri" w:eastAsia="MS Mincho" w:hAnsi="Calibri"/>
          <w:szCs w:val="22"/>
        </w:rPr>
      </w:pPr>
      <w:r>
        <w:t>9.2.1</w:t>
      </w:r>
      <w:r>
        <w:rPr>
          <w:rFonts w:ascii="Calibri" w:eastAsia="MS Mincho" w:hAnsi="Calibri"/>
          <w:szCs w:val="22"/>
        </w:rPr>
        <w:tab/>
      </w:r>
      <w:r>
        <w:t>NFA_Lastverhalten_und_Mengengerüst (optional)</w:t>
      </w:r>
      <w:r>
        <w:tab/>
      </w:r>
      <w:r>
        <w:fldChar w:fldCharType="begin"/>
      </w:r>
      <w:r>
        <w:instrText xml:space="preserve"> PAGEREF _Toc488819265 \h </w:instrText>
      </w:r>
      <w:r>
        <w:fldChar w:fldCharType="separate"/>
      </w:r>
      <w:r>
        <w:t>3</w:t>
      </w:r>
      <w:r>
        <w:fldChar w:fldCharType="end"/>
      </w:r>
    </w:p>
    <w:p>
      <w:pPr>
        <w:pStyle w:val="Verzeichnis3"/>
        <w:tabs>
          <w:tab w:val="left" w:pos="1560"/>
        </w:tabs>
        <w:rPr>
          <w:rFonts w:ascii="Calibri" w:eastAsia="MS Mincho" w:hAnsi="Calibri"/>
          <w:szCs w:val="22"/>
        </w:rPr>
      </w:pPr>
      <w:r>
        <w:t>9.2.2</w:t>
      </w:r>
      <w:r>
        <w:rPr>
          <w:rFonts w:ascii="Calibri" w:eastAsia="MS Mincho" w:hAnsi="Calibri"/>
          <w:szCs w:val="22"/>
        </w:rPr>
        <w:tab/>
      </w:r>
      <w:r>
        <w:t>NFA_&lt;Name der Anforderung&gt;</w:t>
      </w:r>
      <w:r>
        <w:tab/>
      </w:r>
      <w:r>
        <w:fldChar w:fldCharType="begin"/>
      </w:r>
      <w:r>
        <w:instrText xml:space="preserve"> PAGEREF _Toc488819266 \h </w:instrText>
      </w:r>
      <w:r>
        <w:fldChar w:fldCharType="separate"/>
      </w:r>
      <w:r>
        <w:t>3</w:t>
      </w:r>
      <w:r>
        <w:fldChar w:fldCharType="end"/>
      </w:r>
    </w:p>
    <w:p>
      <w:pPr>
        <w:pStyle w:val="Verzeichnis2"/>
        <w:rPr>
          <w:rFonts w:ascii="Calibri" w:eastAsia="MS Mincho" w:hAnsi="Calibri"/>
          <w:szCs w:val="22"/>
        </w:rPr>
      </w:pPr>
      <w:r>
        <w:t>9.3</w:t>
      </w:r>
      <w:r>
        <w:rPr>
          <w:rFonts w:ascii="Calibri" w:eastAsia="MS Mincho" w:hAnsi="Calibri"/>
          <w:szCs w:val="22"/>
        </w:rPr>
        <w:tab/>
      </w:r>
      <w:r>
        <w:t>Verfügbarkeit</w:t>
      </w:r>
      <w:r>
        <w:tab/>
      </w:r>
      <w:r>
        <w:fldChar w:fldCharType="begin"/>
      </w:r>
      <w:r>
        <w:instrText xml:space="preserve"> PAGEREF _Toc488819267 \h </w:instrText>
      </w:r>
      <w:r>
        <w:fldChar w:fldCharType="separate"/>
      </w:r>
      <w:r>
        <w:t>3</w:t>
      </w:r>
      <w:r>
        <w:fldChar w:fldCharType="end"/>
      </w:r>
    </w:p>
    <w:p>
      <w:pPr>
        <w:pStyle w:val="Verzeichnis3"/>
        <w:tabs>
          <w:tab w:val="left" w:pos="1560"/>
        </w:tabs>
        <w:rPr>
          <w:rFonts w:ascii="Calibri" w:eastAsia="MS Mincho" w:hAnsi="Calibri"/>
          <w:szCs w:val="22"/>
        </w:rPr>
      </w:pPr>
      <w:r>
        <w:t>9.3.1</w:t>
      </w:r>
      <w:r>
        <w:rPr>
          <w:rFonts w:ascii="Calibri" w:eastAsia="MS Mincho" w:hAnsi="Calibri"/>
          <w:szCs w:val="22"/>
        </w:rPr>
        <w:tab/>
      </w:r>
      <w:r>
        <w:t>NFA_Verfügbarkeit (optional)</w:t>
      </w:r>
      <w:r>
        <w:tab/>
      </w:r>
      <w:r>
        <w:fldChar w:fldCharType="begin"/>
      </w:r>
      <w:r>
        <w:instrText xml:space="preserve"> PAGEREF _Toc488819268 \h </w:instrText>
      </w:r>
      <w:r>
        <w:fldChar w:fldCharType="separate"/>
      </w:r>
      <w:r>
        <w:t>3</w:t>
      </w:r>
      <w:r>
        <w:fldChar w:fldCharType="end"/>
      </w:r>
    </w:p>
    <w:p>
      <w:pPr>
        <w:pStyle w:val="Verzeichnis3"/>
        <w:tabs>
          <w:tab w:val="left" w:pos="1560"/>
        </w:tabs>
        <w:rPr>
          <w:rFonts w:ascii="Calibri" w:eastAsia="MS Mincho" w:hAnsi="Calibri"/>
          <w:szCs w:val="22"/>
        </w:rPr>
      </w:pPr>
      <w:r>
        <w:t>9.3.2</w:t>
      </w:r>
      <w:r>
        <w:rPr>
          <w:rFonts w:ascii="Calibri" w:eastAsia="MS Mincho" w:hAnsi="Calibri"/>
          <w:szCs w:val="22"/>
        </w:rPr>
        <w:tab/>
      </w:r>
      <w:r>
        <w:t>NFA_&lt;Name der Anforderung&gt;</w:t>
      </w:r>
      <w:r>
        <w:tab/>
      </w:r>
      <w:r>
        <w:fldChar w:fldCharType="begin"/>
      </w:r>
      <w:r>
        <w:instrText xml:space="preserve"> PAGEREF _Toc488819269 \h </w:instrText>
      </w:r>
      <w:r>
        <w:fldChar w:fldCharType="separate"/>
      </w:r>
      <w:r>
        <w:t>3</w:t>
      </w:r>
      <w:r>
        <w:fldChar w:fldCharType="end"/>
      </w:r>
    </w:p>
    <w:p>
      <w:pPr>
        <w:pStyle w:val="Verzeichnis2"/>
        <w:rPr>
          <w:rFonts w:ascii="Calibri" w:eastAsia="MS Mincho" w:hAnsi="Calibri"/>
          <w:szCs w:val="22"/>
        </w:rPr>
      </w:pPr>
      <w:r>
        <w:t>9.4</w:t>
      </w:r>
      <w:r>
        <w:rPr>
          <w:rFonts w:ascii="Calibri" w:eastAsia="MS Mincho" w:hAnsi="Calibri"/>
          <w:szCs w:val="22"/>
        </w:rPr>
        <w:tab/>
      </w:r>
      <w:r>
        <w:t>Systemsicherheit</w:t>
      </w:r>
      <w:r>
        <w:tab/>
      </w:r>
      <w:r>
        <w:fldChar w:fldCharType="begin"/>
      </w:r>
      <w:r>
        <w:instrText xml:space="preserve"> PAGEREF _Toc488819270 \h </w:instrText>
      </w:r>
      <w:r>
        <w:fldChar w:fldCharType="separate"/>
      </w:r>
      <w:r>
        <w:t>3</w:t>
      </w:r>
      <w:r>
        <w:fldChar w:fldCharType="end"/>
      </w:r>
    </w:p>
    <w:p>
      <w:pPr>
        <w:pStyle w:val="Verzeichnis3"/>
        <w:tabs>
          <w:tab w:val="left" w:pos="1560"/>
        </w:tabs>
        <w:rPr>
          <w:rFonts w:ascii="Calibri" w:eastAsia="MS Mincho" w:hAnsi="Calibri"/>
          <w:szCs w:val="22"/>
        </w:rPr>
      </w:pPr>
      <w:r>
        <w:t>9.4.1</w:t>
      </w:r>
      <w:r>
        <w:rPr>
          <w:rFonts w:ascii="Calibri" w:eastAsia="MS Mincho" w:hAnsi="Calibri"/>
          <w:szCs w:val="22"/>
        </w:rPr>
        <w:tab/>
      </w:r>
      <w:r>
        <w:t>NFA_&lt;Name der Anforderung&gt;</w:t>
      </w:r>
      <w:r>
        <w:tab/>
      </w:r>
      <w:r>
        <w:fldChar w:fldCharType="begin"/>
      </w:r>
      <w:r>
        <w:instrText xml:space="preserve"> PAGEREF _Toc488819271 \h </w:instrText>
      </w:r>
      <w:r>
        <w:fldChar w:fldCharType="separate"/>
      </w:r>
      <w:r>
        <w:t>3</w:t>
      </w:r>
      <w:r>
        <w:fldChar w:fldCharType="end"/>
      </w:r>
    </w:p>
    <w:p>
      <w:pPr>
        <w:pStyle w:val="Verzeichnis2"/>
        <w:rPr>
          <w:rFonts w:ascii="Calibri" w:eastAsia="MS Mincho" w:hAnsi="Calibri"/>
          <w:szCs w:val="22"/>
        </w:rPr>
      </w:pPr>
      <w:r>
        <w:t>9.5</w:t>
      </w:r>
      <w:r>
        <w:rPr>
          <w:rFonts w:ascii="Calibri" w:eastAsia="MS Mincho" w:hAnsi="Calibri"/>
          <w:szCs w:val="22"/>
        </w:rPr>
        <w:tab/>
      </w:r>
      <w:r>
        <w:t>Vertraulichkeit</w:t>
      </w:r>
      <w:r>
        <w:tab/>
      </w:r>
      <w:r>
        <w:fldChar w:fldCharType="begin"/>
      </w:r>
      <w:r>
        <w:instrText xml:space="preserve"> PAGEREF _Toc488819272 \h </w:instrText>
      </w:r>
      <w:r>
        <w:fldChar w:fldCharType="separate"/>
      </w:r>
      <w:r>
        <w:t>3</w:t>
      </w:r>
      <w:r>
        <w:fldChar w:fldCharType="end"/>
      </w:r>
    </w:p>
    <w:p>
      <w:pPr>
        <w:pStyle w:val="Verzeichnis3"/>
        <w:tabs>
          <w:tab w:val="left" w:pos="1560"/>
        </w:tabs>
        <w:rPr>
          <w:rFonts w:ascii="Calibri" w:eastAsia="MS Mincho" w:hAnsi="Calibri"/>
          <w:szCs w:val="22"/>
        </w:rPr>
      </w:pPr>
      <w:r>
        <w:t>9.5.1</w:t>
      </w:r>
      <w:r>
        <w:rPr>
          <w:rFonts w:ascii="Calibri" w:eastAsia="MS Mincho" w:hAnsi="Calibri"/>
          <w:szCs w:val="22"/>
        </w:rPr>
        <w:tab/>
      </w:r>
      <w:r>
        <w:t>NFA_&lt;Name der Anforderung&gt;</w:t>
      </w:r>
      <w:r>
        <w:tab/>
      </w:r>
      <w:r>
        <w:fldChar w:fldCharType="begin"/>
      </w:r>
      <w:r>
        <w:instrText xml:space="preserve"> PAGEREF _Toc488819273 \h </w:instrText>
      </w:r>
      <w:r>
        <w:fldChar w:fldCharType="separate"/>
      </w:r>
      <w:r>
        <w:t>3</w:t>
      </w:r>
      <w:r>
        <w:fldChar w:fldCharType="end"/>
      </w:r>
    </w:p>
    <w:p>
      <w:pPr>
        <w:pStyle w:val="Verzeichnis2"/>
        <w:rPr>
          <w:rFonts w:ascii="Calibri" w:eastAsia="MS Mincho" w:hAnsi="Calibri"/>
          <w:szCs w:val="22"/>
        </w:rPr>
      </w:pPr>
      <w:r>
        <w:t>9.6</w:t>
      </w:r>
      <w:r>
        <w:rPr>
          <w:rFonts w:ascii="Calibri" w:eastAsia="MS Mincho" w:hAnsi="Calibri"/>
          <w:szCs w:val="22"/>
        </w:rPr>
        <w:tab/>
      </w:r>
      <w:r>
        <w:t>Datensicherheit</w:t>
      </w:r>
      <w:r>
        <w:tab/>
      </w:r>
      <w:r>
        <w:fldChar w:fldCharType="begin"/>
      </w:r>
      <w:r>
        <w:instrText xml:space="preserve"> PAGEREF _Toc488819274 \h </w:instrText>
      </w:r>
      <w:r>
        <w:fldChar w:fldCharType="separate"/>
      </w:r>
      <w:r>
        <w:t>3</w:t>
      </w:r>
      <w:r>
        <w:fldChar w:fldCharType="end"/>
      </w:r>
    </w:p>
    <w:p>
      <w:pPr>
        <w:pStyle w:val="Verzeichnis3"/>
        <w:tabs>
          <w:tab w:val="left" w:pos="1560"/>
        </w:tabs>
        <w:rPr>
          <w:rFonts w:ascii="Calibri" w:eastAsia="MS Mincho" w:hAnsi="Calibri"/>
          <w:szCs w:val="22"/>
        </w:rPr>
      </w:pPr>
      <w:r>
        <w:t>9.6.1</w:t>
      </w:r>
      <w:r>
        <w:rPr>
          <w:rFonts w:ascii="Calibri" w:eastAsia="MS Mincho" w:hAnsi="Calibri"/>
          <w:szCs w:val="22"/>
        </w:rPr>
        <w:tab/>
      </w:r>
      <w:r>
        <w:t>NFA_&lt;Name der Anforderung&gt;</w:t>
      </w:r>
      <w:r>
        <w:tab/>
      </w:r>
      <w:r>
        <w:fldChar w:fldCharType="begin"/>
      </w:r>
      <w:r>
        <w:instrText xml:space="preserve"> PAGEREF _Toc488819275 \h </w:instrText>
      </w:r>
      <w:r>
        <w:fldChar w:fldCharType="separate"/>
      </w:r>
      <w:r>
        <w:t>3</w:t>
      </w:r>
      <w:r>
        <w:fldChar w:fldCharType="end"/>
      </w:r>
    </w:p>
    <w:p>
      <w:pPr>
        <w:pStyle w:val="Verzeichnis2"/>
        <w:rPr>
          <w:rFonts w:ascii="Calibri" w:eastAsia="MS Mincho" w:hAnsi="Calibri"/>
          <w:szCs w:val="22"/>
        </w:rPr>
      </w:pPr>
      <w:r>
        <w:t>9.7</w:t>
      </w:r>
      <w:r>
        <w:rPr>
          <w:rFonts w:ascii="Calibri" w:eastAsia="MS Mincho" w:hAnsi="Calibri"/>
          <w:szCs w:val="22"/>
        </w:rPr>
        <w:tab/>
      </w:r>
      <w:r>
        <w:t>Nachvollziehbarkeit</w:t>
      </w:r>
      <w:r>
        <w:tab/>
      </w:r>
      <w:r>
        <w:fldChar w:fldCharType="begin"/>
      </w:r>
      <w:r>
        <w:instrText xml:space="preserve"> PAGEREF _Toc488819276 \h </w:instrText>
      </w:r>
      <w:r>
        <w:fldChar w:fldCharType="separate"/>
      </w:r>
      <w:r>
        <w:t>3</w:t>
      </w:r>
      <w:r>
        <w:fldChar w:fldCharType="end"/>
      </w:r>
    </w:p>
    <w:p>
      <w:pPr>
        <w:pStyle w:val="Verzeichnis3"/>
        <w:tabs>
          <w:tab w:val="left" w:pos="1560"/>
        </w:tabs>
        <w:rPr>
          <w:rFonts w:ascii="Calibri" w:eastAsia="MS Mincho" w:hAnsi="Calibri"/>
          <w:szCs w:val="22"/>
        </w:rPr>
      </w:pPr>
      <w:r>
        <w:t>9.7.1</w:t>
      </w:r>
      <w:r>
        <w:rPr>
          <w:rFonts w:ascii="Calibri" w:eastAsia="MS Mincho" w:hAnsi="Calibri"/>
          <w:szCs w:val="22"/>
        </w:rPr>
        <w:tab/>
      </w:r>
      <w:r>
        <w:t>NFA_&lt;Name der Anforderung&gt;</w:t>
      </w:r>
      <w:r>
        <w:tab/>
      </w:r>
      <w:r>
        <w:fldChar w:fldCharType="begin"/>
      </w:r>
      <w:r>
        <w:instrText xml:space="preserve"> PAGEREF _Toc488819277 \h </w:instrText>
      </w:r>
      <w:r>
        <w:fldChar w:fldCharType="separate"/>
      </w:r>
      <w:r>
        <w:t>3</w:t>
      </w:r>
      <w:r>
        <w:fldChar w:fldCharType="end"/>
      </w:r>
    </w:p>
    <w:p>
      <w:pPr>
        <w:pStyle w:val="Verzeichnis2"/>
        <w:rPr>
          <w:rFonts w:ascii="Calibri" w:eastAsia="MS Mincho" w:hAnsi="Calibri"/>
          <w:szCs w:val="22"/>
        </w:rPr>
      </w:pPr>
      <w:r>
        <w:t>9.8</w:t>
      </w:r>
      <w:r>
        <w:rPr>
          <w:rFonts w:ascii="Calibri" w:eastAsia="MS Mincho" w:hAnsi="Calibri"/>
          <w:szCs w:val="22"/>
        </w:rPr>
        <w:tab/>
      </w:r>
      <w:r>
        <w:t>Verbindlichkeit</w:t>
      </w:r>
      <w:r>
        <w:tab/>
      </w:r>
      <w:r>
        <w:fldChar w:fldCharType="begin"/>
      </w:r>
      <w:r>
        <w:instrText xml:space="preserve"> PAGEREF _Toc488819278 \h </w:instrText>
      </w:r>
      <w:r>
        <w:fldChar w:fldCharType="separate"/>
      </w:r>
      <w:r>
        <w:t>3</w:t>
      </w:r>
      <w:r>
        <w:fldChar w:fldCharType="end"/>
      </w:r>
    </w:p>
    <w:p>
      <w:pPr>
        <w:pStyle w:val="Verzeichnis3"/>
        <w:tabs>
          <w:tab w:val="left" w:pos="1560"/>
        </w:tabs>
        <w:rPr>
          <w:rFonts w:ascii="Calibri" w:eastAsia="MS Mincho" w:hAnsi="Calibri"/>
          <w:szCs w:val="22"/>
        </w:rPr>
      </w:pPr>
      <w:r>
        <w:t>9.8.1</w:t>
      </w:r>
      <w:r>
        <w:rPr>
          <w:rFonts w:ascii="Calibri" w:eastAsia="MS Mincho" w:hAnsi="Calibri"/>
          <w:szCs w:val="22"/>
        </w:rPr>
        <w:tab/>
      </w:r>
      <w:r>
        <w:t>NFA_&lt;Name der Anforderung&gt;</w:t>
      </w:r>
      <w:r>
        <w:tab/>
      </w:r>
      <w:r>
        <w:fldChar w:fldCharType="begin"/>
      </w:r>
      <w:r>
        <w:instrText xml:space="preserve"> PAGEREF _Toc488819279 \h </w:instrText>
      </w:r>
      <w:r>
        <w:fldChar w:fldCharType="separate"/>
      </w:r>
      <w:r>
        <w:t>3</w:t>
      </w:r>
      <w:r>
        <w:fldChar w:fldCharType="end"/>
      </w:r>
    </w:p>
    <w:p>
      <w:pPr>
        <w:pStyle w:val="Verzeichnis1"/>
        <w:rPr>
          <w:rFonts w:ascii="Calibri" w:eastAsia="MS Mincho" w:hAnsi="Calibri"/>
          <w:b w:val="0"/>
          <w:szCs w:val="22"/>
        </w:rPr>
      </w:pPr>
      <w:r>
        <w:t>10</w:t>
      </w:r>
      <w:r>
        <w:rPr>
          <w:rFonts w:ascii="Calibri" w:eastAsia="MS Mincho" w:hAnsi="Calibri"/>
          <w:b w:val="0"/>
          <w:szCs w:val="22"/>
        </w:rPr>
        <w:tab/>
      </w:r>
      <w:r>
        <w:t>Querschnittskonzepte</w:t>
      </w:r>
      <w:r>
        <w:tab/>
      </w:r>
      <w:r>
        <w:fldChar w:fldCharType="begin"/>
      </w:r>
      <w:r>
        <w:instrText xml:space="preserve"> PAGEREF _Toc488819280 \h </w:instrText>
      </w:r>
      <w:r>
        <w:fldChar w:fldCharType="separate"/>
      </w:r>
      <w:r>
        <w:t>3</w:t>
      </w:r>
      <w:r>
        <w:fldChar w:fldCharType="end"/>
      </w:r>
    </w:p>
    <w:p>
      <w:pPr>
        <w:pStyle w:val="Verzeichnis1"/>
        <w:rPr>
          <w:rFonts w:ascii="Calibri" w:eastAsia="MS Mincho" w:hAnsi="Calibri"/>
          <w:b w:val="0"/>
          <w:szCs w:val="22"/>
        </w:rPr>
      </w:pPr>
      <w:r>
        <w:t>11</w:t>
      </w:r>
      <w:r>
        <w:rPr>
          <w:rFonts w:ascii="Calibri" w:eastAsia="MS Mincho" w:hAnsi="Calibri"/>
          <w:b w:val="0"/>
          <w:szCs w:val="22"/>
        </w:rPr>
        <w:tab/>
      </w:r>
      <w:r>
        <w:t>Betriebliche Anforderungen</w:t>
      </w:r>
      <w:r>
        <w:tab/>
      </w:r>
      <w:r>
        <w:fldChar w:fldCharType="begin"/>
      </w:r>
      <w:r>
        <w:instrText xml:space="preserve"> PAGEREF _Toc488819281 \h </w:instrText>
      </w:r>
      <w:r>
        <w:fldChar w:fldCharType="separate"/>
      </w:r>
      <w:r>
        <w:t>3</w:t>
      </w:r>
      <w:r>
        <w:fldChar w:fldCharType="end"/>
      </w:r>
    </w:p>
    <w:p>
      <w:pPr>
        <w:pStyle w:val="Verzeichnis1"/>
        <w:rPr>
          <w:rFonts w:ascii="Calibri" w:eastAsia="MS Mincho" w:hAnsi="Calibri"/>
          <w:b w:val="0"/>
          <w:szCs w:val="22"/>
        </w:rPr>
      </w:pPr>
      <w:r>
        <w:t>12</w:t>
      </w:r>
      <w:r>
        <w:rPr>
          <w:rFonts w:ascii="Calibri" w:eastAsia="MS Mincho" w:hAnsi="Calibri"/>
          <w:b w:val="0"/>
          <w:szCs w:val="22"/>
        </w:rPr>
        <w:tab/>
      </w:r>
      <w:r>
        <w:t>Offene Punkte</w:t>
      </w:r>
      <w:r>
        <w:tab/>
      </w:r>
      <w:r>
        <w:fldChar w:fldCharType="begin"/>
      </w:r>
      <w:r>
        <w:instrText xml:space="preserve"> PAGEREF _Toc488819282 \h </w:instrText>
      </w:r>
      <w:r>
        <w:fldChar w:fldCharType="separate"/>
      </w:r>
      <w:r>
        <w:t>3</w:t>
      </w:r>
      <w:r>
        <w:fldChar w:fldCharType="end"/>
      </w:r>
    </w:p>
    <w:p>
      <w:pPr>
        <w:pStyle w:val="Verzeichnis1"/>
        <w:rPr>
          <w:rFonts w:ascii="Calibri" w:eastAsia="MS Mincho" w:hAnsi="Calibri"/>
          <w:b w:val="0"/>
          <w:szCs w:val="22"/>
        </w:rPr>
      </w:pPr>
      <w:r>
        <w:t>13</w:t>
      </w:r>
      <w:r>
        <w:rPr>
          <w:rFonts w:ascii="Calibri" w:eastAsia="MS Mincho" w:hAnsi="Calibri"/>
          <w:b w:val="0"/>
          <w:szCs w:val="22"/>
        </w:rPr>
        <w:tab/>
      </w:r>
      <w:r>
        <w:t>Anhang</w:t>
      </w:r>
      <w:r>
        <w:tab/>
      </w:r>
      <w:r>
        <w:fldChar w:fldCharType="begin"/>
      </w:r>
      <w:r>
        <w:instrText xml:space="preserve"> PAGEREF _Toc488819283 \h </w:instrText>
      </w:r>
      <w:r>
        <w:fldChar w:fldCharType="separate"/>
      </w:r>
      <w:r>
        <w:t>3</w:t>
      </w:r>
      <w:r>
        <w:fldChar w:fldCharType="end"/>
      </w:r>
    </w:p>
    <w:p>
      <w:pPr>
        <w:pStyle w:val="Verzeichnis2"/>
        <w:tabs>
          <w:tab w:val="left" w:pos="1560"/>
        </w:tabs>
        <w:rPr>
          <w:rFonts w:ascii="Calibri" w:eastAsia="MS Mincho" w:hAnsi="Calibri"/>
          <w:szCs w:val="22"/>
        </w:rPr>
      </w:pPr>
      <w:r>
        <w:t>13.1</w:t>
      </w:r>
      <w:r>
        <w:rPr>
          <w:rFonts w:ascii="Calibri" w:eastAsia="MS Mincho" w:hAnsi="Calibri"/>
          <w:szCs w:val="22"/>
        </w:rPr>
        <w:tab/>
      </w:r>
      <w:r>
        <w:t>Glossar</w:t>
      </w:r>
      <w:r>
        <w:tab/>
      </w:r>
      <w:r>
        <w:tab/>
      </w:r>
      <w:r>
        <w:fldChar w:fldCharType="begin"/>
      </w:r>
      <w:r>
        <w:instrText xml:space="preserve"> PAGEREF _Toc488819284 \h </w:instrText>
      </w:r>
      <w:r>
        <w:fldChar w:fldCharType="separate"/>
      </w:r>
      <w:r>
        <w:t>3</w:t>
      </w:r>
      <w:r>
        <w:fldChar w:fldCharType="end"/>
      </w:r>
    </w:p>
    <w:p>
      <w:pPr>
        <w:pStyle w:val="Verzeichnis2"/>
        <w:tabs>
          <w:tab w:val="left" w:pos="1560"/>
        </w:tabs>
        <w:rPr>
          <w:rFonts w:ascii="Calibri" w:eastAsia="MS Mincho" w:hAnsi="Calibri"/>
          <w:szCs w:val="22"/>
        </w:rPr>
      </w:pPr>
      <w:r>
        <w:t>13.2</w:t>
      </w:r>
      <w:r>
        <w:rPr>
          <w:rFonts w:ascii="Calibri" w:eastAsia="MS Mincho" w:hAnsi="Calibri"/>
          <w:szCs w:val="22"/>
        </w:rPr>
        <w:tab/>
      </w:r>
      <w:r>
        <w:t>Fachliche Grundlagen</w:t>
      </w:r>
      <w:r>
        <w:tab/>
      </w:r>
      <w:r>
        <w:fldChar w:fldCharType="begin"/>
      </w:r>
      <w:r>
        <w:instrText xml:space="preserve"> PAGEREF _Toc488819285 \h </w:instrText>
      </w:r>
      <w:r>
        <w:fldChar w:fldCharType="separate"/>
      </w:r>
      <w:r>
        <w:t>3</w:t>
      </w:r>
      <w:r>
        <w:fldChar w:fldCharType="end"/>
      </w:r>
    </w:p>
    <w:p>
      <w:pPr>
        <w:pStyle w:val="Verzeichnis2"/>
        <w:tabs>
          <w:tab w:val="left" w:pos="1560"/>
        </w:tabs>
        <w:rPr>
          <w:rFonts w:ascii="Calibri" w:eastAsia="MS Mincho" w:hAnsi="Calibri"/>
          <w:szCs w:val="22"/>
        </w:rPr>
      </w:pPr>
      <w:r>
        <w:t>13.3</w:t>
      </w:r>
      <w:r>
        <w:rPr>
          <w:rFonts w:ascii="Calibri" w:eastAsia="MS Mincho" w:hAnsi="Calibri"/>
          <w:szCs w:val="22"/>
        </w:rPr>
        <w:tab/>
      </w:r>
      <w:r>
        <w:t>Rollen und Berechtigungen</w:t>
      </w:r>
      <w:r>
        <w:tab/>
      </w:r>
      <w:r>
        <w:fldChar w:fldCharType="begin"/>
      </w:r>
      <w:r>
        <w:instrText xml:space="preserve"> PAGEREF _Toc488819286 \h </w:instrText>
      </w:r>
      <w:r>
        <w:fldChar w:fldCharType="separate"/>
      </w:r>
      <w:r>
        <w:t>3</w:t>
      </w:r>
      <w:r>
        <w:fldChar w:fldCharType="end"/>
      </w:r>
    </w:p>
    <w:p>
      <w:pPr>
        <w:pStyle w:val="Verzeichnis2"/>
        <w:tabs>
          <w:tab w:val="left" w:pos="1560"/>
        </w:tabs>
        <w:rPr>
          <w:rFonts w:ascii="Calibri" w:eastAsia="MS Mincho" w:hAnsi="Calibri"/>
          <w:szCs w:val="22"/>
        </w:rPr>
      </w:pPr>
      <w:r>
        <w:t>13.4</w:t>
      </w:r>
      <w:r>
        <w:rPr>
          <w:rFonts w:ascii="Calibri" w:eastAsia="MS Mincho" w:hAnsi="Calibri"/>
          <w:szCs w:val="22"/>
        </w:rPr>
        <w:tab/>
      </w:r>
      <w:r>
        <w:t>Weiterführende Dokumente</w:t>
      </w:r>
      <w:r>
        <w:tab/>
      </w:r>
      <w:r>
        <w:fldChar w:fldCharType="begin"/>
      </w:r>
      <w:r>
        <w:instrText xml:space="preserve"> PAGEREF _Toc488819287 \h </w:instrText>
      </w:r>
      <w:r>
        <w:fldChar w:fldCharType="separate"/>
      </w:r>
      <w:r>
        <w:t>3</w:t>
      </w:r>
      <w:r>
        <w:fldChar w:fldCharType="end"/>
      </w:r>
    </w:p>
    <w:p>
      <w:pPr>
        <w:pStyle w:val="Verzeichnis1"/>
        <w:rPr>
          <w:rFonts w:ascii="Calibri" w:eastAsia="MS Mincho" w:hAnsi="Calibri"/>
          <w:b w:val="0"/>
          <w:szCs w:val="22"/>
        </w:rPr>
      </w:pPr>
      <w:r>
        <w:t>14</w:t>
      </w:r>
      <w:r>
        <w:rPr>
          <w:rFonts w:ascii="Calibri" w:eastAsia="MS Mincho" w:hAnsi="Calibri"/>
          <w:b w:val="0"/>
          <w:szCs w:val="22"/>
        </w:rPr>
        <w:tab/>
      </w:r>
      <w:r>
        <w:t>Anleitung zur Nutzung des Enterprise Architect</w:t>
      </w:r>
      <w:r>
        <w:tab/>
      </w:r>
      <w:r>
        <w:fldChar w:fldCharType="begin"/>
      </w:r>
      <w:r>
        <w:instrText xml:space="preserve"> PAGEREF _Toc488819288 \h </w:instrText>
      </w:r>
      <w:r>
        <w:fldChar w:fldCharType="separate"/>
      </w:r>
      <w:r>
        <w:t>3</w:t>
      </w:r>
      <w:r>
        <w:fldChar w:fldCharType="end"/>
      </w:r>
    </w:p>
    <w:p>
      <w:pPr>
        <w:pStyle w:val="Verzeichnis2"/>
        <w:tabs>
          <w:tab w:val="left" w:pos="1560"/>
        </w:tabs>
        <w:rPr>
          <w:rFonts w:ascii="Calibri" w:eastAsia="MS Mincho" w:hAnsi="Calibri"/>
          <w:szCs w:val="22"/>
        </w:rPr>
      </w:pPr>
      <w:r>
        <w:t>14.1</w:t>
      </w:r>
      <w:r>
        <w:rPr>
          <w:rFonts w:ascii="Calibri" w:eastAsia="MS Mincho" w:hAnsi="Calibri"/>
          <w:szCs w:val="22"/>
        </w:rPr>
        <w:tab/>
      </w:r>
      <w:r>
        <w:t>Vorgehen zur Erstellung der Spezifikationsdokumente</w:t>
      </w:r>
      <w:r>
        <w:tab/>
      </w:r>
      <w:r>
        <w:fldChar w:fldCharType="begin"/>
      </w:r>
      <w:r>
        <w:instrText xml:space="preserve"> PAGEREF _Toc488819289 \h </w:instrText>
      </w:r>
      <w:r>
        <w:fldChar w:fldCharType="separate"/>
      </w:r>
      <w:r>
        <w:t>3</w:t>
      </w:r>
      <w:r>
        <w:fldChar w:fldCharType="end"/>
      </w:r>
    </w:p>
    <w:p>
      <w:pPr>
        <w:pStyle w:val="Verzeichnis2"/>
        <w:tabs>
          <w:tab w:val="left" w:pos="1560"/>
        </w:tabs>
        <w:rPr>
          <w:rFonts w:ascii="Calibri" w:eastAsia="MS Mincho" w:hAnsi="Calibri"/>
          <w:szCs w:val="22"/>
        </w:rPr>
      </w:pPr>
      <w:r>
        <w:t>14.2</w:t>
      </w:r>
      <w:r>
        <w:rPr>
          <w:rFonts w:ascii="Calibri" w:eastAsia="MS Mincho" w:hAnsi="Calibri"/>
          <w:szCs w:val="22"/>
        </w:rPr>
        <w:tab/>
      </w:r>
      <w:r>
        <w:t>Nutzung des Enterprise Architect zur Erstellung von Systemspezifikationen</w:t>
      </w:r>
      <w:r>
        <w:tab/>
      </w:r>
      <w:r>
        <w:fldChar w:fldCharType="begin"/>
      </w:r>
      <w:r>
        <w:instrText xml:space="preserve"> PAGEREF _Toc488819290 \h </w:instrText>
      </w:r>
      <w:r>
        <w:fldChar w:fldCharType="separate"/>
      </w:r>
      <w:r>
        <w:t>3</w:t>
      </w:r>
      <w:r>
        <w:fldChar w:fldCharType="end"/>
      </w:r>
    </w:p>
    <w:p>
      <w:pPr>
        <w:pStyle w:val="Verzeichnis3"/>
        <w:tabs>
          <w:tab w:val="left" w:pos="2410"/>
        </w:tabs>
        <w:rPr>
          <w:rFonts w:ascii="Calibri" w:eastAsia="MS Mincho" w:hAnsi="Calibri"/>
          <w:szCs w:val="22"/>
        </w:rPr>
      </w:pPr>
      <w:r>
        <w:t>14.2.1</w:t>
      </w:r>
      <w:r>
        <w:rPr>
          <w:rFonts w:ascii="Calibri" w:eastAsia="MS Mincho" w:hAnsi="Calibri"/>
          <w:szCs w:val="22"/>
        </w:rPr>
        <w:tab/>
      </w:r>
      <w:r>
        <w:t>UML-Profile einbinden</w:t>
      </w:r>
      <w:r>
        <w:tab/>
      </w:r>
      <w:r>
        <w:fldChar w:fldCharType="begin"/>
      </w:r>
      <w:r>
        <w:instrText xml:space="preserve"> PAGEREF _Toc488819291 \h </w:instrText>
      </w:r>
      <w:r>
        <w:fldChar w:fldCharType="separate"/>
      </w:r>
      <w:r>
        <w:t>3</w:t>
      </w:r>
      <w:r>
        <w:fldChar w:fldCharType="end"/>
      </w:r>
    </w:p>
    <w:p>
      <w:pPr>
        <w:pStyle w:val="Verzeichnis3"/>
        <w:tabs>
          <w:tab w:val="left" w:pos="2410"/>
        </w:tabs>
        <w:rPr>
          <w:rFonts w:ascii="Calibri" w:eastAsia="MS Mincho" w:hAnsi="Calibri"/>
          <w:szCs w:val="22"/>
        </w:rPr>
      </w:pPr>
      <w:r>
        <w:t>14.2.2</w:t>
      </w:r>
      <w:r>
        <w:rPr>
          <w:rFonts w:ascii="Calibri" w:eastAsia="MS Mincho" w:hAnsi="Calibri"/>
          <w:szCs w:val="22"/>
        </w:rPr>
        <w:tab/>
      </w:r>
      <w:r>
        <w:t>Struktur des Modells im Enterprise Architect</w:t>
      </w:r>
      <w:r>
        <w:tab/>
      </w:r>
      <w:r>
        <w:fldChar w:fldCharType="begin"/>
      </w:r>
      <w:r>
        <w:instrText xml:space="preserve"> PAGEREF _Toc488819292 \h </w:instrText>
      </w:r>
      <w:r>
        <w:fldChar w:fldCharType="separate"/>
      </w:r>
      <w:r>
        <w:t>3</w:t>
      </w:r>
      <w:r>
        <w:fldChar w:fldCharType="end"/>
      </w:r>
    </w:p>
    <w:p>
      <w:pPr>
        <w:pStyle w:val="Verzeichnis3"/>
        <w:tabs>
          <w:tab w:val="left" w:pos="2410"/>
        </w:tabs>
        <w:rPr>
          <w:rFonts w:ascii="Calibri" w:eastAsia="MS Mincho" w:hAnsi="Calibri"/>
          <w:szCs w:val="22"/>
        </w:rPr>
      </w:pPr>
      <w:r>
        <w:t>14.2.3</w:t>
      </w:r>
      <w:r>
        <w:rPr>
          <w:rFonts w:ascii="Calibri" w:eastAsia="MS Mincho" w:hAnsi="Calibri"/>
          <w:szCs w:val="22"/>
        </w:rPr>
        <w:tab/>
      </w:r>
      <w:r>
        <w:t>Tipps zur Arbeit mit dem Enterprise Architect</w:t>
      </w:r>
      <w:r>
        <w:tab/>
      </w:r>
      <w:r>
        <w:fldChar w:fldCharType="begin"/>
      </w:r>
      <w:r>
        <w:instrText xml:space="preserve"> PAGEREF _Toc488819293 \h </w:instrText>
      </w:r>
      <w:r>
        <w:fldChar w:fldCharType="separate"/>
      </w:r>
      <w:r>
        <w:t>3</w:t>
      </w:r>
      <w:r>
        <w:fldChar w:fldCharType="end"/>
      </w:r>
    </w:p>
    <w:p>
      <w:pPr>
        <w:pStyle w:val="Verzeichnis4"/>
        <w:tabs>
          <w:tab w:val="left" w:pos="3544"/>
        </w:tabs>
        <w:rPr>
          <w:rFonts w:ascii="Calibri" w:eastAsia="MS Mincho" w:hAnsi="Calibri"/>
          <w:szCs w:val="22"/>
        </w:rPr>
      </w:pPr>
      <w:r>
        <w:t>14.2.3.1</w:t>
      </w:r>
      <w:r>
        <w:rPr>
          <w:rFonts w:ascii="Calibri" w:eastAsia="MS Mincho" w:hAnsi="Calibri"/>
          <w:szCs w:val="22"/>
        </w:rPr>
        <w:tab/>
      </w:r>
      <w:r>
        <w:t>Farben von Elementen anpassen</w:t>
      </w:r>
      <w:r>
        <w:tab/>
      </w:r>
      <w:r>
        <w:fldChar w:fldCharType="begin"/>
      </w:r>
      <w:r>
        <w:instrText xml:space="preserve"> PAGEREF _Toc488819294 \h </w:instrText>
      </w:r>
      <w:r>
        <w:fldChar w:fldCharType="separate"/>
      </w:r>
      <w:r>
        <w:t>3</w:t>
      </w:r>
      <w:r>
        <w:fldChar w:fldCharType="end"/>
      </w:r>
    </w:p>
    <w:p>
      <w:pPr>
        <w:pStyle w:val="Verzeichnis4"/>
        <w:tabs>
          <w:tab w:val="left" w:pos="3544"/>
        </w:tabs>
        <w:rPr>
          <w:rFonts w:ascii="Calibri" w:eastAsia="MS Mincho" w:hAnsi="Calibri"/>
          <w:szCs w:val="22"/>
        </w:rPr>
      </w:pPr>
      <w:r>
        <w:t>14.2.3.2</w:t>
      </w:r>
      <w:r>
        <w:rPr>
          <w:rFonts w:ascii="Calibri" w:eastAsia="MS Mincho" w:hAnsi="Calibri"/>
          <w:szCs w:val="22"/>
        </w:rPr>
        <w:tab/>
      </w:r>
      <w:r>
        <w:t>Schriftart von Elementen anpassen</w:t>
      </w:r>
      <w:r>
        <w:tab/>
      </w:r>
      <w:r>
        <w:fldChar w:fldCharType="begin"/>
      </w:r>
      <w:r>
        <w:instrText xml:space="preserve"> PAGEREF _Toc488819295 \h </w:instrText>
      </w:r>
      <w:r>
        <w:fldChar w:fldCharType="separate"/>
      </w:r>
      <w:r>
        <w:t>3</w:t>
      </w:r>
      <w:r>
        <w:fldChar w:fldCharType="end"/>
      </w:r>
    </w:p>
    <w:p>
      <w:pPr>
        <w:pStyle w:val="Verzeichnis4"/>
        <w:tabs>
          <w:tab w:val="left" w:pos="3544"/>
        </w:tabs>
        <w:rPr>
          <w:rFonts w:ascii="Calibri" w:eastAsia="MS Mincho" w:hAnsi="Calibri"/>
          <w:szCs w:val="22"/>
        </w:rPr>
      </w:pPr>
      <w:r>
        <w:t>14.2.3.3</w:t>
      </w:r>
      <w:r>
        <w:rPr>
          <w:rFonts w:ascii="Calibri" w:eastAsia="MS Mincho" w:hAnsi="Calibri"/>
          <w:szCs w:val="22"/>
        </w:rPr>
        <w:tab/>
      </w:r>
      <w:r>
        <w:t>Markierung von Elementen aus anderen Ordnern im EA abschalten</w:t>
      </w:r>
      <w:r>
        <w:tab/>
      </w:r>
      <w:r>
        <w:fldChar w:fldCharType="begin"/>
      </w:r>
      <w:r>
        <w:instrText xml:space="preserve"> PAGEREF _Toc488819296 \h </w:instrText>
      </w:r>
      <w:r>
        <w:fldChar w:fldCharType="separate"/>
      </w:r>
      <w:r>
        <w:t>3</w:t>
      </w:r>
      <w:r>
        <w:fldChar w:fldCharType="end"/>
      </w:r>
    </w:p>
    <w:p>
      <w:pPr>
        <w:pStyle w:val="Verzeichnis4"/>
        <w:tabs>
          <w:tab w:val="left" w:pos="3544"/>
        </w:tabs>
        <w:rPr>
          <w:rFonts w:ascii="Calibri" w:eastAsia="MS Mincho" w:hAnsi="Calibri"/>
          <w:szCs w:val="22"/>
        </w:rPr>
      </w:pPr>
      <w:r>
        <w:t>14.2.3.4</w:t>
      </w:r>
      <w:r>
        <w:rPr>
          <w:rFonts w:ascii="Calibri" w:eastAsia="MS Mincho" w:hAnsi="Calibri"/>
          <w:szCs w:val="22"/>
        </w:rPr>
        <w:tab/>
      </w:r>
      <w:r>
        <w:t>Inhalte einzelner Elemente und aller Elemente im Diagramm ausblenden</w:t>
      </w:r>
      <w:r>
        <w:tab/>
      </w:r>
      <w:r>
        <w:fldChar w:fldCharType="begin"/>
      </w:r>
      <w:r>
        <w:instrText xml:space="preserve"> PAGEREF _Toc488819297 \h </w:instrText>
      </w:r>
      <w:r>
        <w:fldChar w:fldCharType="separate"/>
      </w:r>
      <w:r>
        <w:t>3</w:t>
      </w:r>
      <w:r>
        <w:fldChar w:fldCharType="end"/>
      </w:r>
    </w:p>
    <w:p>
      <w:pPr>
        <w:pStyle w:val="Verzeichnis4"/>
        <w:tabs>
          <w:tab w:val="left" w:pos="3544"/>
        </w:tabs>
        <w:rPr>
          <w:rFonts w:ascii="Calibri" w:eastAsia="MS Mincho" w:hAnsi="Calibri"/>
          <w:szCs w:val="22"/>
        </w:rPr>
      </w:pPr>
      <w:r>
        <w:t>14.2.3.5</w:t>
      </w:r>
      <w:r>
        <w:rPr>
          <w:rFonts w:ascii="Calibri" w:eastAsia="MS Mincho" w:hAnsi="Calibri"/>
          <w:szCs w:val="22"/>
        </w:rPr>
        <w:tab/>
      </w:r>
      <w:r>
        <w:t>Rahmen um Diagramme beim Kopieren unterdrücken</w:t>
      </w:r>
      <w:r>
        <w:tab/>
      </w:r>
      <w:r>
        <w:fldChar w:fldCharType="begin"/>
      </w:r>
      <w:r>
        <w:instrText xml:space="preserve"> PAGEREF _Toc488819298 \h </w:instrText>
      </w:r>
      <w:r>
        <w:fldChar w:fldCharType="separate"/>
      </w:r>
      <w:r>
        <w:t>3</w:t>
      </w:r>
      <w:r>
        <w:fldChar w:fldCharType="end"/>
      </w:r>
    </w:p>
    <w:p>
      <w:pPr>
        <w:pStyle w:val="Verzeichnis4"/>
        <w:tabs>
          <w:tab w:val="left" w:pos="3544"/>
        </w:tabs>
        <w:rPr>
          <w:rFonts w:ascii="Calibri" w:eastAsia="MS Mincho" w:hAnsi="Calibri"/>
          <w:szCs w:val="22"/>
        </w:rPr>
      </w:pPr>
      <w:r>
        <w:t>14.2.3.6</w:t>
      </w:r>
      <w:r>
        <w:rPr>
          <w:rFonts w:ascii="Calibri" w:eastAsia="MS Mincho" w:hAnsi="Calibri"/>
          <w:szCs w:val="22"/>
        </w:rPr>
        <w:tab/>
      </w:r>
      <w:r>
        <w:t>Verbinder im aktuellen Diagramm, in allen anderen Diagrammen und in ausgewählten Diagrammen ausblenden</w:t>
      </w:r>
      <w:r>
        <w:tab/>
      </w:r>
      <w:r>
        <w:fldChar w:fldCharType="begin"/>
      </w:r>
      <w:r>
        <w:instrText xml:space="preserve"> PAGEREF _Toc488819299 \h </w:instrText>
      </w:r>
      <w:r>
        <w:fldChar w:fldCharType="separate"/>
      </w:r>
      <w:r>
        <w:t>3</w:t>
      </w:r>
      <w:r>
        <w:fldChar w:fldCharType="end"/>
      </w:r>
    </w:p>
    <w:p>
      <w:pPr>
        <w:pStyle w:val="Verzeichnis4"/>
        <w:tabs>
          <w:tab w:val="left" w:pos="3544"/>
        </w:tabs>
        <w:rPr>
          <w:rFonts w:ascii="Calibri" w:eastAsia="MS Mincho" w:hAnsi="Calibri"/>
          <w:szCs w:val="22"/>
        </w:rPr>
      </w:pPr>
      <w:r>
        <w:t>14.2.3.7</w:t>
      </w:r>
      <w:r>
        <w:rPr>
          <w:rFonts w:ascii="Calibri" w:eastAsia="MS Mincho" w:hAnsi="Calibri"/>
          <w:szCs w:val="22"/>
        </w:rPr>
        <w:tab/>
      </w:r>
      <w:r>
        <w:t>Mehrere gleichartige Verbinder nacheinander zeichnen</w:t>
      </w:r>
      <w:r>
        <w:tab/>
      </w:r>
      <w:r>
        <w:fldChar w:fldCharType="begin"/>
      </w:r>
      <w:r>
        <w:instrText xml:space="preserve"> PAGEREF _Toc488819300 \h </w:instrText>
      </w:r>
      <w:r>
        <w:fldChar w:fldCharType="separate"/>
      </w:r>
      <w:r>
        <w:t>3</w:t>
      </w:r>
      <w:r>
        <w:fldChar w:fldCharType="end"/>
      </w:r>
    </w:p>
    <w:p>
      <w:pPr>
        <w:pStyle w:val="Verzeichnis3"/>
        <w:tabs>
          <w:tab w:val="left" w:pos="2410"/>
        </w:tabs>
        <w:rPr>
          <w:rFonts w:ascii="Calibri" w:eastAsia="MS Mincho" w:hAnsi="Calibri"/>
          <w:szCs w:val="22"/>
        </w:rPr>
      </w:pPr>
      <w:r>
        <w:t>14.2.4</w:t>
      </w:r>
      <w:r>
        <w:rPr>
          <w:rFonts w:ascii="Calibri" w:eastAsia="MS Mincho" w:hAnsi="Calibri"/>
          <w:szCs w:val="22"/>
        </w:rPr>
        <w:tab/>
      </w:r>
      <w:r>
        <w:t>Import und Export in EA-Modellen</w:t>
      </w:r>
      <w:r>
        <w:tab/>
      </w:r>
      <w:r>
        <w:fldChar w:fldCharType="begin"/>
      </w:r>
      <w:r>
        <w:instrText xml:space="preserve"> PAGEREF _Toc488819301 \h </w:instrText>
      </w:r>
      <w:r>
        <w:fldChar w:fldCharType="separate"/>
      </w:r>
      <w:r>
        <w:t>3</w:t>
      </w:r>
      <w:r>
        <w:fldChar w:fldCharType="end"/>
      </w:r>
    </w:p>
    <w:p>
      <w:pPr>
        <w:outlineLvl w:val="0"/>
        <w:rPr>
          <w:rFonts w:ascii="Arial" w:hAnsi="Arial" w:cs="Arial"/>
          <w:u w:val="single"/>
        </w:rPr>
      </w:pPr>
      <w:r>
        <w:rPr>
          <w:b/>
        </w:rPr>
        <w:fldChar w:fldCharType="end"/>
      </w:r>
      <w:r>
        <w:rPr>
          <w:rFonts w:ascii="Arial" w:hAnsi="Arial" w:cs="Arial"/>
          <w:u w:val="single"/>
        </w:rPr>
        <w:br w:type="page"/>
        <w:t>Allgemeine Hinweise zur Dokumentvorlage</w:t>
      </w:r>
    </w:p>
    <w:p>
      <w:pPr>
        <w:rPr>
          <w:i/>
        </w:rPr>
      </w:pPr>
      <w:r>
        <w:rPr>
          <w:i/>
        </w:rPr>
        <w:t>Diese Dokumentvorlage enthält die Gliederung für eine V-Modell-konforme Gesamtsystemspezifikation (Pflichtenheft) eines Softwaresystems (Software-Entwicklungsprojekt) mitsamt Ausfüllhinweisen und Beispielen in den jeweiligen Kapiteln. Die Hinweise und Beispiele (auch dieser Abschnitt) sind in der Spezifikation für ein (Software-)System später zu entfernen. Sie dienen nur als Hilfestellung für die Erstellung des Dokuments.</w:t>
      </w:r>
    </w:p>
    <w:p>
      <w:pPr>
        <w:rPr>
          <w:i/>
        </w:rPr>
      </w:pPr>
      <w:r>
        <w:rPr>
          <w:i/>
        </w:rPr>
        <w:t>Nach V-Modell wird zwischen einem Lasten- und Pflichtenheft unterschieden. Das Lastenheft soll nach V-Modell alle fachlichen Anforderungen an das zu entwickelnde System enthalten und wird vom Auftraggeber als Dokument sowie ggf. (in Zusammenarbeit mit dem Auftragnehmer) als Anforderungsliste erstellt. Das Pflichtenheft konkretisiert diese Anforderungen und fügt bei Bedarf neue Anforderungen hinzu. Ziel des Pflichtenhefts ist es, alle funktionalen und nicht-funktionalen Anforderungen an das neu zu entwickelnde System zu beschreiben. Es wird vom Auftragnehmer in Zusammenarbeit mit dem Auftraggeber erstellt.</w:t>
      </w:r>
    </w:p>
    <w:p>
      <w:pPr>
        <w:rPr>
          <w:i/>
        </w:rPr>
      </w:pPr>
      <w:r>
        <w:rPr>
          <w:i/>
        </w:rPr>
        <w:t>Die Gliederungen von Lasten- und Pflichtenheft unterscheiden sich laut Dokumentvorlage aus dem V-Modell nur minimal. Das Lastenheft wird in der Praxis aber entweder weniger formal notiert als das hier beschriebene Pflichtenheft oder in Form einer Anforderungsliste</w:t>
      </w:r>
      <w:r>
        <w:rPr>
          <w:rStyle w:val="Funotenzeichen"/>
          <w:i/>
        </w:rPr>
        <w:footnoteReference w:id="1"/>
      </w:r>
      <w:r>
        <w:rPr>
          <w:i/>
        </w:rPr>
        <w:t xml:space="preserve"> erstellt. Im Lastenheft notiert der Kunde seine Anforderungen an das neu zu erstellende Anwendungssystem oder an die Änderungen daran.</w:t>
      </w:r>
    </w:p>
    <w:p>
      <w:pPr>
        <w:rPr>
          <w:i/>
        </w:rPr>
      </w:pPr>
      <w:r>
        <w:rPr>
          <w:i/>
        </w:rPr>
        <w:t>Das Pflichtenheft für ein neu zu erstellendes System soll der hier beschriebenen Spezifikationsmethodik genügen. Hierbei kann es abhängig von der Funktionalität sinnvoll sein, von den hier aufgestellten Regeln abzuweichen, um die Spezifikation verständlicher und kompakter zu gestalten. Dies ist mit dem Kunden im Vorhinein abzustimmen.</w:t>
      </w:r>
    </w:p>
    <w:p>
      <w:pPr>
        <w:rPr>
          <w:i/>
        </w:rPr>
      </w:pPr>
      <w:r>
        <w:rPr>
          <w:i/>
        </w:rPr>
        <w:t>Für Änderungen an bestehenden Systemen ist die hier beschriebene Methodik hingegen mit Augenmaß anzuwenden. Für kleine Änderungen kann ein informeller Text zur geplanten Änderung genügen, der vom Kunden abgenommen wird. Für größere Änderungen kann es Sinn machen, Teile der hier beschriebenen Methodik zu nutzen oder bestehende Dokumente nach dieser Methodik anzupassen und die Änderungen zu markieren.</w:t>
      </w:r>
    </w:p>
    <w:p>
      <w:pPr>
        <w:rPr>
          <w:i/>
        </w:rPr>
      </w:pPr>
      <w:r>
        <w:rPr>
          <w:i/>
        </w:rPr>
        <w:t>Zur Ablösung eines Altsystems durch ein neu erstelltes System muss die Datenmigration, eine Inbetriebnahmeplanung und ein Prozess zur Schulung der Mitarbeiter beschrieben werden. Diese Punkte werden hier nicht dokumentiert.</w:t>
      </w:r>
    </w:p>
    <w:p>
      <w:pPr>
        <w:rPr>
          <w:i/>
        </w:rPr>
      </w:pPr>
      <w:r>
        <w:rPr>
          <w:i/>
        </w:rPr>
        <w:t>Sowohl Systemspezifikationen neu erstellter Anwendungssysteme als auch Änderungen an bestehenden Anwendungssystemen werden nach Inbetriebnahme in eine zentrale „Masterspezifikation“ integriert. Zu diesem Zeitpunkt müssen auch informell beschriebene bzw. informell abgesprochene Änderungen in die Systemspezifikation des jeweiligen Anwendungssystems nach dieser Spezifikationsmethodik zurückfließen.</w:t>
      </w:r>
    </w:p>
    <w:p>
      <w:pPr>
        <w:rPr>
          <w:i/>
        </w:rPr>
      </w:pPr>
      <w:r>
        <w:rPr>
          <w:i/>
        </w:rPr>
        <w:t>Die Gliederungen in den Dokumentvorlagen des V-Modells XT sind für die Spezifikation von Softwaresystemen nicht konkret genug, um auszuschließen, dass wesentliche Anforderungen vergessen werden. Auf Basis der Erfahrungen in bisherigen Projekten wurde die vorliegende Dokumentvorlage erstellt, die eine Konkretisierung der Vorlagen aus dem V-Modell XT ist. Das Mapping dieser Gliederung mit den Dokumentvorlagen des V-Modells XT zeigt die nachfolgende Abbildung.</w:t>
      </w:r>
    </w:p>
    <w:p>
      <w:pPr>
        <w:jc w:val="center"/>
        <w:rPr>
          <w:i/>
        </w:rPr>
      </w:pPr>
      <w:r>
        <w:rPr>
          <w:noProof/>
        </w:rPr>
        <w:drawing>
          <wp:inline distT="0" distB="0" distL="0" distR="0">
            <wp:extent cx="3156585" cy="2075180"/>
            <wp:effectExtent l="0" t="0" r="5715" b="1270"/>
            <wp:docPr id="2"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156585" cy="2075180"/>
                    </a:xfrm>
                    <a:prstGeom prst="rect">
                      <a:avLst/>
                    </a:prstGeom>
                    <a:noFill/>
                    <a:ln>
                      <a:noFill/>
                    </a:ln>
                  </pic:spPr>
                </pic:pic>
              </a:graphicData>
            </a:graphic>
          </wp:inline>
        </w:drawing>
      </w:r>
    </w:p>
    <w:p>
      <w:pPr>
        <w:pStyle w:val="Beschriftung"/>
      </w:pPr>
      <w:bookmarkStart w:id="7" w:name="_Ref143405221"/>
      <w:r>
        <w:t xml:space="preserve">Abbildung </w:t>
      </w:r>
      <w:fldSimple w:instr=" SEQ Abbildung \* ARABIC ">
        <w:r>
          <w:rPr>
            <w:noProof/>
          </w:rPr>
          <w:t>1</w:t>
        </w:r>
      </w:fldSimple>
      <w:bookmarkEnd w:id="7"/>
      <w:r>
        <w:t>: Abbildung der Spezifikationsmethodik auf das V-Modell XT</w:t>
      </w:r>
    </w:p>
    <w:p>
      <w:pPr>
        <w:jc w:val="left"/>
        <w:rPr>
          <w:i/>
        </w:rPr>
      </w:pPr>
      <w:r>
        <w:rPr>
          <w:i/>
        </w:rPr>
        <w:t>Für die Bezeichnung von Elementen der Systemspezifikation wird folgende Konvention verwendet, um den Typ des Elements kenntlich zu machen:</w:t>
      </w:r>
    </w:p>
    <w:p>
      <w:pPr>
        <w:outlineLvl w:val="0"/>
        <w:rPr>
          <w:i/>
        </w:rPr>
      </w:pPr>
      <w:r>
        <w:rPr>
          <w:i/>
        </w:rPr>
        <w:t>&lt;Elementtypkürzel&gt;_&lt;Name_des_Elements&gt;</w:t>
      </w:r>
    </w:p>
    <w:p>
      <w:pPr>
        <w:jc w:val="left"/>
        <w:rPr>
          <w:i/>
        </w:rPr>
      </w:pPr>
      <w:r>
        <w:rPr>
          <w:i/>
        </w:rPr>
        <w:t>Der Typ des Elements wird in gekürzter Form dem Elementnamen vorangestellt. Der Elementname wird mit Unterstrichen statt mit Leerzeichen notiert (z.B. DIA_Personalien_ändern).</w:t>
      </w:r>
      <w:bookmarkStart w:id="8" w:name="_Ref142972234"/>
      <w:r>
        <w:rPr>
          <w:i/>
        </w:rPr>
        <w:t xml:space="preserve"> Durch diese Schreibweise wird die spätere Durchsuchbarkeit und eindeutige Identifikation der Elemente gewährleistet</w:t>
      </w:r>
      <w:bookmarkEnd w:id="8"/>
      <w:r>
        <w:rPr>
          <w:i/>
        </w:rPr>
        <w:t>.</w:t>
      </w:r>
    </w:p>
    <w:p>
      <w:pPr>
        <w:jc w:val="left"/>
        <w:rPr>
          <w:i/>
        </w:rPr>
      </w:pPr>
      <w:r>
        <w:rPr>
          <w:i/>
        </w:rPr>
        <w:t>Jedes Element wird im Spezifikationsdokument in einem Kapitel mit einer Überschrift im folgenden Format notiert:</w:t>
      </w:r>
    </w:p>
    <w:p>
      <w:pPr>
        <w:jc w:val="left"/>
        <w:rPr>
          <w:i/>
        </w:rPr>
      </w:pPr>
      <w:r>
        <w:rPr>
          <w:i/>
        </w:rPr>
        <w:t>&lt;Elementtyp&gt; &lt;Elementtypkürzel&gt;_&lt;Name_des_Elements&gt;</w:t>
      </w:r>
    </w:p>
    <w:p>
      <w:pPr>
        <w:jc w:val="left"/>
        <w:rPr>
          <w:i/>
        </w:rPr>
      </w:pPr>
      <w:r>
        <w:rPr>
          <w:i/>
        </w:rPr>
        <w:t>Zum Beispiel „Dialog DIA_Personalien_ändern“.</w:t>
      </w:r>
    </w:p>
    <w:p>
      <w:pPr>
        <w:jc w:val="left"/>
        <w:rPr>
          <w:i/>
        </w:rPr>
      </w:pPr>
      <w:r>
        <w:rPr>
          <w:i/>
        </w:rPr>
        <w:t>Die Gliederung der Überschriften soll dem Muster aus diesem Dokument entsprechen. Die Inhalte der jeweiligen Kapitel werden nachfolgend beschrieben.</w:t>
      </w:r>
    </w:p>
    <w:p>
      <w:pPr>
        <w:jc w:val="left"/>
        <w:rPr>
          <w:i/>
        </w:rPr>
      </w:pPr>
    </w:p>
    <w:p>
      <w:pPr>
        <w:pStyle w:val="EA-Beschreibung"/>
      </w:pPr>
      <w:r>
        <w:t>Für die Erstellung der UML- Diagramme, die in diesem Dokument als Beispiele aufgeführt sind, wurde das Werkzeug „Enterprise Architect“ der Firma SparxSystems verwendet. Abschnitte in dieser Darstellung erklären, wie das jeweils davor abgebildete Diagramm im Enterprise Architect zu erstellen ist.</w:t>
      </w:r>
    </w:p>
    <w:p>
      <w:pPr>
        <w:pStyle w:val="EA-Beschreibung"/>
        <w:rPr>
          <w:b/>
        </w:rPr>
      </w:pPr>
      <w:r>
        <w:rPr>
          <w:b/>
        </w:rPr>
        <w:t>Anstelle des Enterprise Architect kann auch jedes andere Modellierungswerkzeug eingesetzt werden, dass den Sprachumfang von UML in hinreichender Breite abdeckt.</w:t>
      </w:r>
    </w:p>
    <w:p>
      <w:pPr>
        <w:pStyle w:val="EA-Beschreibung"/>
      </w:pPr>
      <w:r>
        <w:t xml:space="preserve">Falls Sie den Enterprise Architect einsetzen, können Sie Kapitel </w:t>
      </w:r>
      <w:r>
        <w:fldChar w:fldCharType="begin"/>
      </w:r>
      <w:r>
        <w:instrText xml:space="preserve"> REF _Ref317361861 \r \h </w:instrText>
      </w:r>
      <w:r>
        <w:fldChar w:fldCharType="separate"/>
      </w:r>
      <w:r>
        <w:t>14</w:t>
      </w:r>
      <w:r>
        <w:fldChar w:fldCharType="end"/>
      </w:r>
      <w:r>
        <w:t xml:space="preserve"> generelle Hinweise entnehmen, wie dieser zu verwenden ist. </w:t>
      </w:r>
      <w:r>
        <w:rPr>
          <w:b/>
        </w:rPr>
        <w:t>Bitte dieses Kapitel zuerst lesen!</w:t>
      </w:r>
      <w:r>
        <w:t xml:space="preserve"> Wichtig sind insbesondere die zu verwendenden UML-Profile, die zu verwendende Paket-Struktur und die Tipps zum Umgang.</w:t>
      </w:r>
    </w:p>
    <w:p>
      <w:pPr>
        <w:jc w:val="left"/>
        <w:rPr>
          <w:i/>
        </w:rPr>
      </w:pPr>
    </w:p>
    <w:p>
      <w:pPr>
        <w:jc w:val="left"/>
        <w:rPr>
          <w:i/>
        </w:rPr>
        <w:sectPr>
          <w:footerReference w:type="default" r:id="rId24"/>
          <w:footerReference w:type="first" r:id="rId25"/>
          <w:pgSz w:w="11907" w:h="16840" w:code="9"/>
          <w:pgMar w:top="2778" w:right="1304" w:bottom="907" w:left="1191" w:header="1446" w:footer="454" w:gutter="0"/>
          <w:cols w:space="720"/>
          <w:docGrid w:linePitch="326"/>
        </w:sectPr>
      </w:pPr>
    </w:p>
    <w:p>
      <w:pPr>
        <w:pStyle w:val="berschrift1"/>
      </w:pPr>
      <w:bookmarkStart w:id="9" w:name="_Ref144882476"/>
      <w:bookmarkStart w:id="10" w:name="_Toc488819194"/>
      <w:r>
        <w:t>Allgemeines</w:t>
      </w:r>
      <w:bookmarkEnd w:id="9"/>
      <w:bookmarkEnd w:id="10"/>
    </w:p>
    <w:p>
      <w:pPr>
        <w:pStyle w:val="berschrift2"/>
      </w:pPr>
      <w:bookmarkStart w:id="11" w:name="_Toc488819195"/>
      <w:r>
        <w:t>Zusammenfassung (Management-Summary)</w:t>
      </w:r>
      <w:bookmarkEnd w:id="11"/>
    </w:p>
    <w:p>
      <w:pPr>
        <w:rPr>
          <w:i/>
          <w:iCs/>
        </w:rPr>
      </w:pPr>
      <w:r>
        <w:rPr>
          <w:i/>
          <w:iCs/>
        </w:rPr>
        <w:t>Unter diesem Kapitel soll eine Zusammenfassung des Dokuments auf wenigen Seiten erfolgen.</w:t>
      </w:r>
    </w:p>
    <w:p>
      <w:pPr>
        <w:rPr>
          <w:i/>
          <w:iCs/>
        </w:rPr>
      </w:pPr>
      <w:r>
        <w:rPr>
          <w:i/>
          <w:iCs/>
          <w:u w:val="single"/>
        </w:rPr>
        <w:t>Beispiel:</w:t>
      </w:r>
      <w:r>
        <w:rPr>
          <w:i/>
          <w:iCs/>
        </w:rPr>
        <w:t xml:space="preserve"> Dieses Dokument enthält Ausfüllhinweise für die Erarbeitung von Systemspezifikationen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w:instrText>
      </w:r>
      <w:r>
        <w:rPr>
          <w:i/>
          <w:iCs/>
        </w:rPr>
      </w:r>
      <w:r>
        <w:rPr>
          <w:i/>
          <w:iCs/>
        </w:rPr>
        <w:fldChar w:fldCharType="separate"/>
      </w:r>
      <w:r>
        <w:rPr>
          <w:i/>
          <w:iCs/>
        </w:rPr>
        <w:t>1.2</w:t>
      </w:r>
      <w:r>
        <w:rPr>
          <w:i/>
          <w:iCs/>
        </w:rPr>
        <w:fldChar w:fldCharType="end"/>
      </w:r>
      <w:r>
        <w:rPr>
          <w:i/>
          <w:iCs/>
        </w:rPr>
        <w:t xml:space="preserve"> anzugeben und mit einer Begründung zu versehen.</w:t>
      </w:r>
    </w:p>
    <w:p>
      <w:pPr>
        <w:pStyle w:val="berschrift2"/>
      </w:pPr>
      <w:bookmarkStart w:id="12" w:name="_Ref142995201"/>
      <w:bookmarkStart w:id="13" w:name="_Toc488819196"/>
      <w:r>
        <w:t>Leseanleitung</w:t>
      </w:r>
      <w:bookmarkEnd w:id="12"/>
      <w:bookmarkEnd w:id="13"/>
    </w:p>
    <w:p>
      <w:pPr>
        <w:rPr>
          <w:i/>
          <w:iCs/>
        </w:rPr>
      </w:pPr>
      <w:r>
        <w:rPr>
          <w:i/>
          <w:iCs/>
        </w:rPr>
        <w:t>Die Leseanleitung enthält Hilfen für den Leserkreis. Inhalte sind zum Beispiel</w:t>
      </w:r>
    </w:p>
    <w:p>
      <w:pPr>
        <w:numPr>
          <w:ilvl w:val="0"/>
          <w:numId w:val="12"/>
        </w:numPr>
        <w:jc w:val="left"/>
        <w:rPr>
          <w:i/>
          <w:iCs/>
        </w:rPr>
      </w:pPr>
      <w:r>
        <w:rPr>
          <w:i/>
          <w:iCs/>
        </w:rPr>
        <w:t>Aufbau der Dokumentation (Aufteilung in Dokumente, interne Struktur)</w:t>
      </w:r>
    </w:p>
    <w:p>
      <w:pPr>
        <w:numPr>
          <w:ilvl w:val="0"/>
          <w:numId w:val="12"/>
        </w:numPr>
        <w:jc w:val="left"/>
        <w:rPr>
          <w:i/>
          <w:iCs/>
        </w:rPr>
      </w:pPr>
      <w:r>
        <w:rPr>
          <w:i/>
          <w:iCs/>
        </w:rPr>
        <w:t>Beschreibung der verwendeten Methodik</w:t>
      </w:r>
    </w:p>
    <w:p>
      <w:pPr>
        <w:numPr>
          <w:ilvl w:val="0"/>
          <w:numId w:val="12"/>
        </w:numPr>
        <w:jc w:val="left"/>
        <w:rPr>
          <w:i/>
          <w:iCs/>
        </w:rPr>
      </w:pPr>
      <w:r>
        <w:rPr>
          <w:i/>
          <w:iCs/>
        </w:rPr>
        <w:t>Empfehlungen für verschiedene Lesergruppen</w:t>
      </w:r>
    </w:p>
    <w:p>
      <w:pPr>
        <w:numPr>
          <w:ilvl w:val="0"/>
          <w:numId w:val="12"/>
        </w:numPr>
        <w:jc w:val="left"/>
        <w:rPr>
          <w:i/>
          <w:iCs/>
        </w:rPr>
      </w:pPr>
      <w:r>
        <w:rPr>
          <w:i/>
          <w:iCs/>
        </w:rPr>
        <w:t>Leseanleitung zu verwendeten Notationen (z.B. UML 2.0)</w:t>
      </w:r>
    </w:p>
    <w:p>
      <w:pPr>
        <w:pStyle w:val="berschrift1"/>
      </w:pPr>
      <w:bookmarkStart w:id="14" w:name="_Toc488819197"/>
      <w:r>
        <w:t>Projektgrundlagen</w:t>
      </w:r>
      <w:bookmarkEnd w:id="14"/>
    </w:p>
    <w:p>
      <w:pPr>
        <w:pStyle w:val="berschrift2"/>
      </w:pPr>
      <w:bookmarkStart w:id="15" w:name="_Toc488819198"/>
      <w:r>
        <w:t>Ziele und Rahmenbedingungen</w:t>
      </w:r>
      <w:bookmarkEnd w:id="15"/>
    </w:p>
    <w:p>
      <w:pPr>
        <w:rPr>
          <w:i/>
          <w:iCs/>
        </w:rPr>
      </w:pPr>
      <w:r>
        <w:rPr>
          <w:i/>
          <w:iCs/>
        </w:rPr>
        <w:t>Die zentralen Ziele und Rahmenbedingungen bilden das einleitende Kapitel einer Spezifikation. Damit wird ein inhaltlicher Einstieg in die Spezifikation gegeben. Es werden die folgenden Themen behandelt:</w:t>
      </w:r>
    </w:p>
    <w:p>
      <w:pPr>
        <w:numPr>
          <w:ilvl w:val="0"/>
          <w:numId w:val="3"/>
        </w:numPr>
        <w:rPr>
          <w:i/>
          <w:iCs/>
        </w:rPr>
      </w:pPr>
      <w:r>
        <w:rPr>
          <w:i/>
          <w:iCs/>
        </w:rPr>
        <w:t>Zweck und Ziele des Systems bzw. des Projektes</w:t>
      </w:r>
    </w:p>
    <w:p>
      <w:pPr>
        <w:numPr>
          <w:ilvl w:val="0"/>
          <w:numId w:val="3"/>
        </w:numPr>
        <w:rPr>
          <w:i/>
          <w:iCs/>
        </w:rPr>
      </w:pPr>
      <w:r>
        <w:rPr>
          <w:i/>
          <w:iCs/>
        </w:rPr>
        <w:t>Ausgrenzungen bezüglich des Projektumfangs</w:t>
      </w:r>
    </w:p>
    <w:p>
      <w:pPr>
        <w:numPr>
          <w:ilvl w:val="0"/>
          <w:numId w:val="3"/>
        </w:numPr>
        <w:rPr>
          <w:i/>
          <w:iCs/>
        </w:rPr>
      </w:pPr>
      <w:r>
        <w:rPr>
          <w:i/>
          <w:iCs/>
        </w:rPr>
        <w:t>Projektbeteiligte und Nutzer des Systems</w:t>
      </w:r>
    </w:p>
    <w:p>
      <w:pPr>
        <w:numPr>
          <w:ilvl w:val="0"/>
          <w:numId w:val="3"/>
        </w:numPr>
        <w:rPr>
          <w:i/>
          <w:iCs/>
        </w:rPr>
      </w:pPr>
      <w:r>
        <w:rPr>
          <w:i/>
          <w:iCs/>
        </w:rPr>
        <w:t>Vorgaben und Rahmenbedingungen des Projektes (fachlich, technologisch, organisatorisch, politisch, gesetzlich, etc.)</w:t>
      </w:r>
    </w:p>
    <w:p>
      <w:pPr>
        <w:numPr>
          <w:ilvl w:val="0"/>
          <w:numId w:val="3"/>
        </w:numPr>
        <w:rPr>
          <w:i/>
          <w:iCs/>
        </w:rPr>
      </w:pPr>
      <w:r>
        <w:rPr>
          <w:i/>
          <w:iCs/>
        </w:rPr>
        <w:t>Kurzer Abriss der Projekthistorie</w:t>
      </w:r>
    </w:p>
    <w:p>
      <w:pPr>
        <w:numPr>
          <w:ilvl w:val="0"/>
          <w:numId w:val="3"/>
        </w:numPr>
        <w:rPr>
          <w:i/>
          <w:iCs/>
        </w:rPr>
      </w:pPr>
      <w:r>
        <w:rPr>
          <w:i/>
          <w:iCs/>
        </w:rPr>
        <w:t>Bedeutende Projektrisiken</w:t>
      </w:r>
    </w:p>
    <w:p>
      <w:pPr>
        <w:pStyle w:val="berschrift2"/>
      </w:pPr>
      <w:bookmarkStart w:id="16" w:name="_Toc140468014"/>
      <w:bookmarkStart w:id="17" w:name="_Toc140468087"/>
      <w:bookmarkStart w:id="18" w:name="_Toc140468172"/>
      <w:bookmarkStart w:id="19" w:name="_Toc140468274"/>
      <w:bookmarkStart w:id="20" w:name="_Toc140468398"/>
      <w:bookmarkStart w:id="21" w:name="_Toc140476557"/>
      <w:bookmarkStart w:id="22" w:name="_Toc140476677"/>
      <w:bookmarkStart w:id="23" w:name="_Toc140468015"/>
      <w:bookmarkStart w:id="24" w:name="_Toc140468088"/>
      <w:bookmarkStart w:id="25" w:name="_Toc140468173"/>
      <w:bookmarkStart w:id="26" w:name="_Toc140468275"/>
      <w:bookmarkStart w:id="27" w:name="_Toc140468399"/>
      <w:bookmarkStart w:id="28" w:name="_Toc140476558"/>
      <w:bookmarkStart w:id="29" w:name="_Toc140476678"/>
      <w:bookmarkStart w:id="30" w:name="_Ref143048866"/>
      <w:bookmarkStart w:id="31" w:name="_Toc488819199"/>
      <w:bookmarkEnd w:id="16"/>
      <w:bookmarkEnd w:id="17"/>
      <w:bookmarkEnd w:id="18"/>
      <w:bookmarkEnd w:id="19"/>
      <w:bookmarkEnd w:id="20"/>
      <w:bookmarkEnd w:id="21"/>
      <w:bookmarkEnd w:id="22"/>
      <w:bookmarkEnd w:id="23"/>
      <w:bookmarkEnd w:id="24"/>
      <w:bookmarkEnd w:id="25"/>
      <w:bookmarkEnd w:id="26"/>
      <w:bookmarkEnd w:id="27"/>
      <w:bookmarkEnd w:id="28"/>
      <w:bookmarkEnd w:id="29"/>
      <w:r>
        <w:t>Fachlicher Architekturüberblick</w:t>
      </w:r>
      <w:bookmarkEnd w:id="30"/>
      <w:bookmarkEnd w:id="31"/>
    </w:p>
    <w:p>
      <w:pPr>
        <w:rPr>
          <w:i/>
          <w:iCs/>
        </w:rPr>
      </w:pPr>
      <w:r>
        <w:rPr>
          <w:i/>
          <w:iCs/>
        </w:rPr>
        <w:t>Der Architekturüberblick beschreibt die Einordnung des zu entwickelnden Anwendungssystems in die Anwendungslandschaft des Auftraggebers aus fachlicher Sicht. Er identifiziert die Nachbarsysteme und stellt deren Schnittstellen dar. Das Anwendungssystem wird grob in Anwendungskomponenten gegliedert, wobei sich diese Gliederung hier ausschließlich an der Fachlichkeit orientiert.</w:t>
      </w:r>
    </w:p>
    <w:p>
      <w:pPr>
        <w:rPr>
          <w:i/>
          <w:iCs/>
        </w:rPr>
      </w:pPr>
      <w:r>
        <w:rPr>
          <w:i/>
          <w:iCs/>
        </w:rPr>
        <w:t>Der Architekturüberblick sollte knapp und klar gestaltet werden. Ein gutes Übersichtsbild zeigt die Einordnung des Anwendungssystems in die bestehende Anwendungslandschaft und kann einen Eindruck von der Komplexität des Vorhabens aufzeigen.</w:t>
      </w:r>
    </w:p>
    <w:p>
      <w:pPr>
        <w:rPr>
          <w:i/>
          <w:iCs/>
        </w:rPr>
      </w:pPr>
      <w:r>
        <w:rPr>
          <w:i/>
          <w:iCs/>
        </w:rPr>
        <w:t>Im Rahmen der Masterspezifikation wird ein Architekturüberblick der gesamten Anwendungslandschaft gepflegt, in die sich die Anwendung einordnet. Dieser ist nach Inbetriebnahme zu aktualisieren.</w:t>
      </w:r>
    </w:p>
    <w:p>
      <w:pPr>
        <w:rPr>
          <w:i/>
          <w:iCs/>
        </w:rPr>
      </w:pPr>
    </w:p>
    <w:p>
      <w:pPr>
        <w:pStyle w:val="berschrift1"/>
      </w:pPr>
      <w:bookmarkStart w:id="32" w:name="_Toc317363719"/>
      <w:bookmarkStart w:id="33" w:name="_Toc317364547"/>
      <w:bookmarkStart w:id="34" w:name="_Toc317368482"/>
      <w:bookmarkStart w:id="35" w:name="_Ref144880499"/>
      <w:bookmarkStart w:id="36" w:name="_Toc488819200"/>
      <w:bookmarkEnd w:id="32"/>
      <w:bookmarkEnd w:id="33"/>
      <w:bookmarkEnd w:id="34"/>
      <w:r>
        <w:t>Geschäftsprozesse</w:t>
      </w:r>
      <w:bookmarkEnd w:id="35"/>
      <w:bookmarkEnd w:id="36"/>
    </w:p>
    <w:p>
      <w:pPr>
        <w:rPr>
          <w:i/>
          <w:iCs/>
        </w:rPr>
      </w:pPr>
      <w:r>
        <w:rPr>
          <w:i/>
          <w:iCs/>
        </w:rPr>
        <w:t>Die Spezifikation der Geschäftsprozesse beschreibt die fachlichen Abläufe, in die das zu erstellende Anwendungssystem eingebettet ist. Sie dienen dazu, die Systemgrenzen festzulegen, sowie den Kontext der Systembenutzung zu identifizieren und zu verstehen. Ein Geschäftsprozess wird oft nicht durch ein einzelnes Anwendungssystem, sondern erst durch das Zusammenspiel verschiedener Anwendungssysteme beim Kunden und den an seine Anwendungssysteme angeschlossenen externen Anwendungen umgesetzt. Entsprechend kann es sinnvoll sein, das Geschäftsprozessmodell als eigenes Dokument unabhängig von der restlichen Systemspezifikation zu notieren.</w:t>
      </w:r>
    </w:p>
    <w:p>
      <w:pPr>
        <w:rPr>
          <w:i/>
          <w:iCs/>
        </w:rPr>
      </w:pPr>
      <w:r>
        <w:rPr>
          <w:i/>
          <w:iCs/>
        </w:rPr>
        <w:t>Geschäftsprozessmodelle helfen dem Auftragnehmer, den geschäftlichen Kontext des Auftraggebers zu verstehen. Für den Auftraggeber sind sie eine gute Basis, um Chancen für Prozessoptimierungen zu erkennen. Dieses Verständnis ist besonders dann wichtig, wenn bei einem Ablauf Objekte (d.h. physische Dinge und Daten) zwischen Personen und Organisationseinheiten weitergegeben werden sollen und dieser Ablauf durch ein Anwendungssystem unterstützt wird. Ist das Verständnis über diesen Ablauf bisher nicht vorhanden (im Team des Auftragnehmers und beim Auftraggeber), dient die Geschäftsprozessmodellierung dem Erkenntnisgewinn. Sind die Geschäftsprozesse bereits an anderer Stelle modelliert und beschrieben, wird hier diese Stelle referenziert.</w:t>
      </w:r>
    </w:p>
    <w:p>
      <w:pPr>
        <w:rPr>
          <w:i/>
          <w:iCs/>
        </w:rPr>
      </w:pPr>
      <w:r>
        <w:rPr>
          <w:i/>
          <w:iCs/>
        </w:rPr>
        <w:t>Die wesentlichen Bestandteile der Spezifikation der Geschäftsprozesse sind Organigramm und Prozessbeschreibung. Ist- und Soll-Prozesse sollen getrennt beschrieben werden.</w:t>
      </w:r>
    </w:p>
    <w:p>
      <w:pPr>
        <w:rPr>
          <w:i/>
          <w:iCs/>
        </w:rPr>
      </w:pPr>
      <w:r>
        <w:rPr>
          <w:i/>
          <w:iCs/>
        </w:rPr>
        <w:t>Die folgenden Fehler beim Einsatz der Geschäftsprozessmodellierung müssen vermieden werden:</w:t>
      </w:r>
    </w:p>
    <w:p>
      <w:pPr>
        <w:numPr>
          <w:ilvl w:val="0"/>
          <w:numId w:val="4"/>
        </w:numPr>
        <w:jc w:val="left"/>
        <w:rPr>
          <w:i/>
          <w:iCs/>
        </w:rPr>
      </w:pPr>
      <w:r>
        <w:rPr>
          <w:i/>
          <w:iCs/>
        </w:rPr>
        <w:t>Falscher Einsatzbereich</w:t>
      </w:r>
      <w:r>
        <w:rPr>
          <w:i/>
          <w:iCs/>
        </w:rPr>
        <w:br/>
        <w:t>Für isolierte "Trivialanwendungen" (Datenpflege, Reporting) bringen Geschäftsprozessmodelle keine weiteren Erkenntnisse. Hier reicht es aus, die Schritte zu benennen und (später) als Anwendungsfälle kurz zu beschreiben. Eine grafische Darstellung des Ablaufes in Form von Geschäftsprozessmodellen ist überflüssig.</w:t>
      </w:r>
    </w:p>
    <w:p>
      <w:pPr>
        <w:numPr>
          <w:ilvl w:val="0"/>
          <w:numId w:val="4"/>
        </w:numPr>
        <w:jc w:val="left"/>
        <w:rPr>
          <w:i/>
          <w:iCs/>
        </w:rPr>
      </w:pPr>
      <w:r>
        <w:rPr>
          <w:i/>
          <w:iCs/>
        </w:rPr>
        <w:t>Zu große Detaillierung</w:t>
      </w:r>
      <w:r>
        <w:rPr>
          <w:i/>
          <w:iCs/>
        </w:rPr>
        <w:br/>
        <w:t>Die Abfolge von Eingaben und Masken an der Benutzeroberfläche sollte kein Inhalt des Geschäftsprozessmodells sein. Sie wird im Baustein Dialogspezifikation textuell oder als Interaktionsdiagramm beschrieben.</w:t>
      </w:r>
    </w:p>
    <w:p>
      <w:pPr>
        <w:numPr>
          <w:ilvl w:val="0"/>
          <w:numId w:val="4"/>
        </w:numPr>
        <w:jc w:val="left"/>
        <w:rPr>
          <w:i/>
          <w:iCs/>
        </w:rPr>
      </w:pPr>
      <w:r>
        <w:rPr>
          <w:i/>
          <w:iCs/>
        </w:rPr>
        <w:t>Überspezifikation</w:t>
      </w:r>
      <w:r>
        <w:rPr>
          <w:i/>
          <w:iCs/>
        </w:rPr>
        <w:br/>
        <w:t>Beschreibung von explizit modellierten Sachverhalten in Beschreibungstexten oder umgekehrt. Ein häufiges Beispiel für Überspezifikation (und Verletzung der Unabhängigkeit von der Implementierung) sind Bezeichner für Aktivitäten, die die assoziierten Anwendungssysteme enthalten.</w:t>
      </w:r>
    </w:p>
    <w:p>
      <w:pPr>
        <w:numPr>
          <w:ilvl w:val="0"/>
          <w:numId w:val="4"/>
        </w:numPr>
        <w:jc w:val="left"/>
        <w:rPr>
          <w:i/>
          <w:iCs/>
        </w:rPr>
      </w:pPr>
      <w:r>
        <w:rPr>
          <w:i/>
          <w:iCs/>
        </w:rPr>
        <w:t>Mangelnde Fokussierung</w:t>
      </w:r>
      <w:r>
        <w:rPr>
          <w:i/>
          <w:iCs/>
        </w:rPr>
        <w:br/>
        <w:t>Fachbereiche können den Anspruch haben, sämtliche Stützprozesse detailliert zu modellieren. Dies bringt aber für die Analyse der Kernprozesse häufig keinen Mehrwert, sondern im Gegenteil, die Stützprozesse machen das Prozessmodell unübersichtlicher. Zum Beispiel lohnt es sich nicht, die Aktivitäten für Posteingang, Hauspost und Aktenhaltung mit zu modellieren – es sein denn, es geht um die Einführung eines Dokumenten-Management-Systems.</w:t>
      </w:r>
    </w:p>
    <w:p>
      <w:pPr>
        <w:jc w:val="left"/>
        <w:rPr>
          <w:i/>
          <w:iCs/>
        </w:rPr>
      </w:pPr>
      <w:r>
        <w:rPr>
          <w:i/>
          <w:iCs/>
        </w:rPr>
        <w:t>Die Modellierung von Geschäftsprozessen verfolgt immer ein konkretes Ziel. Dies ist meist die Feststellung von Optimierungsbedarfen bzgl. der Organisation der Abläufe oder der IT-Unterstützung. Je nach Ziel des Projekts muss im Vorfeld festgelegt werden, welche Elemente im Modell enthalten sein müssen und welche nicht für die Erreichung des Ziels notwendig sind. So ist für die Feststellung eines IT-Optimierungspotenzials die Modellierung von Anwendungssystemen essentiell, weniger aber die Modellierung von Akteuren oder Wahrscheinlichkeiten für das Durchlaufen einzelner Zweige im Modell.</w:t>
      </w:r>
    </w:p>
    <w:p>
      <w:pPr>
        <w:jc w:val="left"/>
        <w:rPr>
          <w:i/>
          <w:iCs/>
        </w:rPr>
      </w:pPr>
      <w:r>
        <w:rPr>
          <w:i/>
          <w:iCs/>
        </w:rPr>
        <w:t>Die Abläufe innerhalb eines Geschäftsprozesses unterteilen sich in Geschäftsvorfälle, die wiederum aus einzelnen Aktivitäten bestehen. Daraus ergibt sich für die Beschreibung die folgende Struktur des Dokuments. Auch hier muss bei der Festlegung der Ziele für die Prozessmodellierung festgelegt werden, bis zu welchem Detaillierungsgrad die Modellierung sinnvoll ist. Z.B. kann es genügen, die Geschäftsprozesse  und –vorfälle textuell und grafisch zu beschreiben, die Aktivitäten hingegen nur textuell in der Beschreibung der Geschäftsvorfälle zu definieren.</w:t>
      </w:r>
    </w:p>
    <w:p>
      <w:pPr>
        <w:jc w:val="left"/>
        <w:rPr>
          <w:i/>
          <w:iCs/>
        </w:rPr>
      </w:pPr>
      <w:r>
        <w:rPr>
          <w:i/>
          <w:iCs/>
        </w:rPr>
        <w:t>Die Geschäftsprozesse werden in der Masterspezifikation als eigenes Dokument gepflegt. Änderungen an den Geschäftsprozessen werden spätestens mit der Übernahme der Systemspezifikation in die Masterspezifikation nachgepflegt.</w:t>
      </w:r>
    </w:p>
    <w:p>
      <w:pPr>
        <w:pStyle w:val="berschrift2"/>
      </w:pPr>
      <w:bookmarkStart w:id="37" w:name="_Toc488819201"/>
      <w:r>
        <w:t>Gesamtverfahren &lt;Name des Gesamtverfahrens&gt;</w:t>
      </w:r>
      <w:bookmarkEnd w:id="37"/>
    </w:p>
    <w:p>
      <w:pPr>
        <w:keepNext/>
        <w:keepLines/>
        <w:rPr>
          <w:i/>
          <w:iCs/>
        </w:rPr>
      </w:pPr>
      <w:r>
        <w:rPr>
          <w:i/>
          <w:iCs/>
        </w:rPr>
        <w:t>Ein Kontextdiagramm zeigt alle Geschäftsprozesse mit beteiligten Organisationseinheiten und Anwendungssystemen (UML-Aktivitätendiagramm).</w:t>
      </w:r>
    </w:p>
    <w:p>
      <w:pPr>
        <w:pageBreakBefore/>
        <w:jc w:val="center"/>
      </w:pPr>
      <w:r>
        <w:rPr>
          <w:noProof/>
        </w:rPr>
        <w:drawing>
          <wp:inline distT="0" distB="0" distL="0" distR="0">
            <wp:extent cx="5971540" cy="3124835"/>
            <wp:effectExtent l="0" t="0" r="0" b="0"/>
            <wp:docPr id="3"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971540" cy="312483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w:t>
        </w:r>
      </w:fldSimple>
      <w:r>
        <w:t>: Beispiel-Gesamtverfahren</w:t>
      </w:r>
    </w:p>
    <w:p>
      <w:pPr>
        <w:pStyle w:val="EA-Beschreibung"/>
      </w:pPr>
      <w:r>
        <w:t>Erstellung des Diagramms im Enterprise Architect:</w:t>
      </w:r>
    </w:p>
    <w:p>
      <w:pPr>
        <w:pStyle w:val="EA-Beschreibung"/>
      </w:pPr>
      <w:r>
        <w:t>Man zieht Organisationseinheiten aus dem UML-Profil „Organisation“ in ein Analysis-Diagramm und benennt sie mit Präfix „ORG_“. Dann zieht man den Ordner des Gesamtverfahrens in das Diagramm und blendet seine Inhalte aus. Man zieht neue Geschäftsprozesse und Anwendungssysteme aus dem UML-Profil „Prozesse“ in das Diagramm und benennt sie mit Präfix „GEP_“ bzw. „SYS_“. Schließlich nutzt man den Verbinder IstBeteiligtAn, um die Organisationseinheiten und die Systeme mit den Geschäftsprozessen zu verbinden.</w:t>
      </w:r>
    </w:p>
    <w:p>
      <w:pPr>
        <w:pStyle w:val="berschrift3"/>
      </w:pPr>
      <w:bookmarkStart w:id="38" w:name="_Toc140468020"/>
      <w:bookmarkStart w:id="39" w:name="_Toc140468093"/>
      <w:bookmarkStart w:id="40" w:name="_Toc140468178"/>
      <w:bookmarkStart w:id="41" w:name="_Toc140468280"/>
      <w:bookmarkStart w:id="42" w:name="_Toc140468404"/>
      <w:bookmarkStart w:id="43" w:name="_Toc140476563"/>
      <w:bookmarkStart w:id="44" w:name="_Toc140476683"/>
      <w:bookmarkStart w:id="45" w:name="_Toc488819202"/>
      <w:bookmarkEnd w:id="38"/>
      <w:bookmarkEnd w:id="39"/>
      <w:bookmarkEnd w:id="40"/>
      <w:bookmarkEnd w:id="41"/>
      <w:bookmarkEnd w:id="42"/>
      <w:bookmarkEnd w:id="43"/>
      <w:bookmarkEnd w:id="44"/>
      <w:r>
        <w:t>Geschäftsprozess GEP_&lt;Bezeichnung des Geschäftsprozesses&gt;</w:t>
      </w:r>
      <w:bookmarkEnd w:id="45"/>
    </w:p>
    <w:p>
      <w:pPr>
        <w:rPr>
          <w:i/>
          <w:iCs/>
        </w:rPr>
      </w:pPr>
      <w:r>
        <w:rPr>
          <w:i/>
          <w:iCs/>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 Diese Aktivitäten werden zu Geschäftsvorfällen zusammengefasst, welche die Bestandteile des Geschäftsprozesses bilden.</w:t>
      </w:r>
    </w:p>
    <w:p>
      <w:pPr>
        <w:rPr>
          <w:i/>
          <w:iCs/>
        </w:rPr>
      </w:pPr>
      <w:r>
        <w:rPr>
          <w:i/>
          <w:iCs/>
        </w:rPr>
        <w:t>Als zu verwendende Namenskonvention beginnen alle Geschäftsprozessnamen mit dem Präfix „GEP_“, gefolgt von einem Substantiv und ggf. einem Unterstrich und einem Verb. Bei der Wahl des Namens ist darauf zu achten, dass dieser kurz und prägnant ist.</w:t>
      </w:r>
    </w:p>
    <w:p>
      <w:pPr>
        <w:rPr>
          <w:i/>
          <w:iCs/>
        </w:rPr>
      </w:pPr>
      <w:r>
        <w:rPr>
          <w:i/>
          <w:iCs/>
        </w:rPr>
        <w:t>Der Geschäftsprozess wird textuell beschrieben, wobei das Ziel, die beteiligten Organisationseinheiten und der Ablauf benannt werden. Der Ablauf wird zusätzlich grafisch in einem Geschäftsprozessdiagramm (engl. Business Process Diagram - BPD) in der Geschäftsprozessmodellierungsnotation (engl. Business Process Modeling Notation - BPMN) dargestellt.</w:t>
      </w:r>
    </w:p>
    <w:p>
      <w:pPr>
        <w:jc w:val="center"/>
        <w:rPr>
          <w:i/>
          <w:iCs/>
        </w:rPr>
      </w:pPr>
      <w:r>
        <w:rPr>
          <w:noProof/>
        </w:rPr>
        <w:drawing>
          <wp:inline distT="0" distB="0" distL="0" distR="0">
            <wp:extent cx="4357370" cy="2282190"/>
            <wp:effectExtent l="0" t="0" r="0" b="0"/>
            <wp:docPr id="4"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357370" cy="2282190"/>
                    </a:xfrm>
                    <a:prstGeom prst="rect">
                      <a:avLst/>
                    </a:prstGeom>
                    <a:noFill/>
                    <a:ln>
                      <a:noFill/>
                    </a:ln>
                  </pic:spPr>
                </pic:pic>
              </a:graphicData>
            </a:graphic>
          </wp:inline>
        </w:drawing>
      </w:r>
      <w:r>
        <w:t xml:space="preserve"> </w:t>
      </w:r>
    </w:p>
    <w:p>
      <w:pPr>
        <w:pStyle w:val="Beschriftung"/>
        <w:outlineLvl w:val="0"/>
      </w:pPr>
      <w:r>
        <w:t xml:space="preserve">Abbildung </w:t>
      </w:r>
      <w:fldSimple w:instr=" SEQ Abbildung \* ARABIC ">
        <w:r>
          <w:rPr>
            <w:noProof/>
          </w:rPr>
          <w:t>3</w:t>
        </w:r>
      </w:fldSimple>
      <w:r>
        <w:t>: GEP_Meldung</w:t>
      </w:r>
    </w:p>
    <w:p>
      <w:pPr>
        <w:pStyle w:val="EA-Beschreibung"/>
      </w:pPr>
      <w:r>
        <w:t>Erstellung des Diagramms im Enterprise Architect:</w:t>
      </w:r>
    </w:p>
    <w:p>
      <w:pPr>
        <w:pStyle w:val="EA-Beschreibung"/>
      </w:pPr>
      <w:r>
        <w:t>Die am Geschäftsprozess beteiligten Organisationseinheiten zieht man als „Pools“ aus dem UML-Profil „Prozesse“. Die Geschäftsvorfälle, Start-, Ende- und Verzweigungselemente stammen aus demselben UML-Profil. Die Verbindung „Ablauf“ nutzt man zur Darstellung des Ablaufs der Geschäftsvorfälle je Organisationseinheit. Den Verbinder „Nachricht“ nutzt man, um zu zeigen, welche Nachrichten zwischen den Organisationseinheiten ausgetauscht werden. Falls ein Geschäftsvorfall nur unter bestimmten Bedingungen ausgeführt wird, zeigt man dies durch Auswahl von „Source Role &gt; Aggregation &gt; Shared“ und Angabe eines Namens in dessen Eigenschaften. Bei Bedarf kann man zusätzlich Verzweigungs-Elemente nutzen.</w:t>
      </w:r>
    </w:p>
    <w:p>
      <w:pPr>
        <w:pStyle w:val="berschrift4"/>
      </w:pPr>
      <w:bookmarkStart w:id="46" w:name="_Ref144880428"/>
      <w:bookmarkStart w:id="47" w:name="_Toc488819203"/>
      <w:r>
        <w:t>Geschäftsvorfall GVF_&lt;Bezeichnung des Geschäftsvorfalls&gt;</w:t>
      </w:r>
      <w:bookmarkEnd w:id="46"/>
      <w:bookmarkEnd w:id="47"/>
    </w:p>
    <w:p>
      <w:pPr>
        <w:rPr>
          <w:i/>
          <w:iCs/>
        </w:rPr>
      </w:pPr>
      <w:r>
        <w:rPr>
          <w:i/>
          <w:iCs/>
        </w:rPr>
        <w:t>Ein Geschäftsvorfall ist die Bündelung elementarer Tätigkeiten (Aktivitäten) innerhalb eines Geschäftsprozesses, die durch ein Ereignis ausgelöst und dann lückenlos innerhalb einer Organisationseinheit bearbeitet werden.</w:t>
      </w:r>
    </w:p>
    <w:p>
      <w:pPr>
        <w:rPr>
          <w:i/>
          <w:iCs/>
        </w:rPr>
      </w:pPr>
      <w:r>
        <w:rPr>
          <w:i/>
          <w:iCs/>
        </w:rPr>
        <w:t>Als zu verwendende Namenskonvention beginnen alle Geschäftsvorfallnamen mit dem Präfix „GVF_“, gefolgt von einem Substantiv, einem Unterstrich und einem Verb. Bei der Wahl des Namens ist darauf zu achten, dass dieser kurz und prägnant ist.</w:t>
      </w:r>
    </w:p>
    <w:p>
      <w:pPr>
        <w:rPr>
          <w:i/>
          <w:iCs/>
        </w:rPr>
      </w:pPr>
      <w:r>
        <w:rPr>
          <w:i/>
          <w:iCs/>
        </w:rPr>
        <w:t>Der Geschäftsvorfall wird textuell beschrieben, wobei das Ziel, die beteiligten Organisationseinheiten und der Ablauf benannt werden. Der Ablauf wird zusätzlich grafisch in einem Geschäftsprozessdiagramm in der Geschäftsprozessmodellierungsnotation dargestellt.</w:t>
      </w:r>
    </w:p>
    <w:p>
      <w:pPr>
        <w:rPr>
          <w:i/>
          <w:iCs/>
        </w:rPr>
      </w:pPr>
      <w:r>
        <w:rPr>
          <w:i/>
          <w:iCs/>
        </w:rPr>
        <w:t>Es werden nur diejenigen Geschäftsvorfälle  beschrieben, die mindestens teilweise vom Auftraggeber durchgeführt werden.</w:t>
      </w:r>
    </w:p>
    <w:p>
      <w:pPr>
        <w:spacing w:after="120"/>
        <w:jc w:val="center"/>
      </w:pPr>
      <w:r>
        <w:rPr>
          <w:noProof/>
        </w:rPr>
        <w:drawing>
          <wp:inline distT="0" distB="0" distL="0" distR="0">
            <wp:extent cx="5963285" cy="1884680"/>
            <wp:effectExtent l="0" t="0" r="0" b="0"/>
            <wp:docPr id="5"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963285" cy="188468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4</w:t>
        </w:r>
      </w:fldSimple>
      <w:r>
        <w:t>: Geschäftsvorfall GVF_Meldung_durchführen</w:t>
      </w:r>
    </w:p>
    <w:p>
      <w:pPr>
        <w:pStyle w:val="EA-Beschreibung"/>
      </w:pPr>
      <w:r>
        <w:t>Erstellung des Diagramms im Enterprise Architect:</w:t>
      </w:r>
    </w:p>
    <w:p>
      <w:pPr>
        <w:pStyle w:val="EA-Beschreibung"/>
      </w:pPr>
      <w:r>
        <w:t>Man baut das Diagramm analog zum Geschäftsprozess-Diagramm auf, fügt aber Aktivitäten statt Geschäftsvorfälle hinzu. Die Pools stellt man vertikal dar über ihr Kontextmenü mit „Advanced &gt; Vertical Partition“. Persistente Daten und Dokumente fügt man aus dem UML-Profil „Prozesse“ hinzu.</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tc>
          <w:tcPr>
            <w:tcW w:w="2638" w:type="dxa"/>
            <w:shd w:val="clear" w:color="auto" w:fill="C0C0C0"/>
          </w:tcPr>
          <w:p>
            <w:pPr>
              <w:spacing w:before="60" w:after="60"/>
              <w:jc w:val="left"/>
              <w:rPr>
                <w:b/>
                <w:bCs/>
              </w:rPr>
            </w:pPr>
            <w:r>
              <w:rPr>
                <w:b/>
                <w:bCs/>
              </w:rPr>
              <w:t>Kurzbeschreibung</w:t>
            </w:r>
          </w:p>
        </w:tc>
        <w:tc>
          <w:tcPr>
            <w:tcW w:w="6914" w:type="dxa"/>
          </w:tcPr>
          <w:p>
            <w:pPr>
              <w:spacing w:before="60" w:after="60"/>
            </w:pPr>
            <w:r>
              <w:rPr>
                <w:i/>
                <w:iCs/>
              </w:rPr>
              <w:t>Zwei bis drei Sätze zur Beschreibung des Ziels, des Ablaufs und der beteiligten Organisationseinheiten (Rolle) des Geschäftsvorfalls.</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914" w:type="dxa"/>
          </w:tcPr>
          <w:p>
            <w:pPr>
              <w:spacing w:before="60" w:after="60"/>
              <w:rPr>
                <w:i/>
                <w:iCs/>
              </w:rPr>
            </w:pPr>
            <w:r>
              <w:rPr>
                <w:i/>
                <w:iCs/>
              </w:rPr>
              <w:t>Die Vorbedingungen beschreiben den Zustand aller relevanten und nichttrivialen Voraussetzungen, die erfüllt sein müssen, damit der Geschäftsvorfall durchgeführt werden kann. Sie werden als Punkte-Liste beschrieben. Jeder Punkt beschreibt ein Set an Vorbedingungen, welche vollständig gelten müssen.</w:t>
            </w:r>
          </w:p>
          <w:p>
            <w:pPr>
              <w:spacing w:before="60" w:after="60"/>
            </w:pPr>
            <w:r>
              <w:rPr>
                <w:i/>
                <w:iCs/>
              </w:rPr>
              <w:t>Auslöser für den Geschäftsvorfall sind Ereignisse wie auslösende Handlungen anderer Akteure oder Zeitpunkte.</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914" w:type="dxa"/>
          </w:tcPr>
          <w:p>
            <w:pPr>
              <w:spacing w:before="60" w:after="60"/>
            </w:pPr>
            <w:r>
              <w:rPr>
                <w:i/>
                <w:iCs/>
              </w:rPr>
              <w:t>Beschreibung des erwarteten Zustandes nach Ausführung des Geschäftsvorfalls. Es kann hier auch mehrere Nachbedingungen geben, wenn es alternative Zustände nach der Ausführung gibt, z.B. Erfolg oder Fehler.</w:t>
            </w:r>
          </w:p>
        </w:tc>
      </w:tr>
    </w:tbl>
    <w:p>
      <w:pPr>
        <w:pStyle w:val="berschrift5"/>
      </w:pPr>
      <w:bookmarkStart w:id="48" w:name="_Toc140468023"/>
      <w:bookmarkStart w:id="49" w:name="_Toc140468096"/>
      <w:bookmarkStart w:id="50" w:name="_Toc140468181"/>
      <w:bookmarkStart w:id="51" w:name="_Toc140468283"/>
      <w:bookmarkStart w:id="52" w:name="_Toc140468407"/>
      <w:bookmarkStart w:id="53" w:name="_Toc140476566"/>
      <w:bookmarkStart w:id="54" w:name="_Toc140476686"/>
      <w:bookmarkStart w:id="55" w:name="_Toc140468024"/>
      <w:bookmarkStart w:id="56" w:name="_Toc140468097"/>
      <w:bookmarkStart w:id="57" w:name="_Toc140468182"/>
      <w:bookmarkStart w:id="58" w:name="_Toc140468284"/>
      <w:bookmarkStart w:id="59" w:name="_Toc140468408"/>
      <w:bookmarkStart w:id="60" w:name="_Toc140476567"/>
      <w:bookmarkStart w:id="61" w:name="_Toc140476687"/>
      <w:bookmarkStart w:id="62" w:name="_Ref144880365"/>
      <w:bookmarkStart w:id="63" w:name="_Toc488819204"/>
      <w:bookmarkEnd w:id="48"/>
      <w:bookmarkEnd w:id="49"/>
      <w:bookmarkEnd w:id="50"/>
      <w:bookmarkEnd w:id="51"/>
      <w:bookmarkEnd w:id="52"/>
      <w:bookmarkEnd w:id="53"/>
      <w:bookmarkEnd w:id="54"/>
      <w:bookmarkEnd w:id="55"/>
      <w:bookmarkEnd w:id="56"/>
      <w:bookmarkEnd w:id="57"/>
      <w:bookmarkEnd w:id="58"/>
      <w:bookmarkEnd w:id="59"/>
      <w:bookmarkEnd w:id="60"/>
      <w:bookmarkEnd w:id="61"/>
      <w:r>
        <w:t>Aktivität AKT_&lt;Bezeichung der Aktivität&gt;</w:t>
      </w:r>
      <w:bookmarkEnd w:id="62"/>
      <w:bookmarkEnd w:id="63"/>
    </w:p>
    <w:p>
      <w:pPr>
        <w:spacing w:after="120"/>
        <w:rPr>
          <w:i/>
          <w:iCs/>
        </w:rPr>
      </w:pPr>
      <w:r>
        <w:rPr>
          <w:i/>
          <w:iCs/>
        </w:rPr>
        <w:t>Eine Aktivität ist eine Tätigkeit, die einen elementaren, logischen Schritt innerhalb eines Geschäftsvorfalls bildet. Sie wird unterbrechungsfrei von einem Akteur ausgeführt. Eine Aktivität kann sowohl manuell als auch teilweise oder vollständig automatisiert (Computer-unterstützt) ablaufen (z.B. „Meldung prüfen“).</w:t>
      </w:r>
    </w:p>
    <w:p>
      <w:pPr>
        <w:rPr>
          <w:i/>
          <w:iCs/>
        </w:rPr>
      </w:pPr>
      <w:r>
        <w:rPr>
          <w:i/>
          <w:iCs/>
        </w:rPr>
        <w:t>Als zu verwendende Namenskonvention beginnen alle Aktivitätennamen mit dem Präfix „AKT_“, gefolgt von einem Substantiv, einem Unterstrich und einem Verb.</w:t>
      </w:r>
    </w:p>
    <w:p>
      <w:pPr>
        <w:spacing w:after="120"/>
        <w:rPr>
          <w:i/>
          <w:iCs/>
        </w:rPr>
      </w:pPr>
      <w:r>
        <w:rPr>
          <w:i/>
          <w:iCs/>
        </w:rPr>
        <w:t>Die Aktivität wird gemäß der nachfolgenden Tabelle textuell beschrieben.</w:t>
      </w:r>
    </w:p>
    <w:p>
      <w:pPr>
        <w:rPr>
          <w:i/>
          <w:iCs/>
        </w:rPr>
      </w:pPr>
      <w:r>
        <w:rPr>
          <w:i/>
          <w:iCs/>
        </w:rPr>
        <w:t>Es werden nur diejenigen Aktivitäten beschrieben, die vom Auftraggeber durchgeführt werden.</w:t>
      </w:r>
    </w:p>
    <w:p>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tc>
          <w:tcPr>
            <w:tcW w:w="2638" w:type="dxa"/>
            <w:shd w:val="clear" w:color="auto" w:fill="C0C0C0"/>
          </w:tcPr>
          <w:p>
            <w:pPr>
              <w:spacing w:before="60" w:after="60"/>
              <w:jc w:val="left"/>
              <w:rPr>
                <w:b/>
                <w:bCs/>
              </w:rPr>
            </w:pPr>
            <w:r>
              <w:rPr>
                <w:b/>
                <w:bCs/>
              </w:rPr>
              <w:t>Organisationseinheit</w:t>
            </w:r>
          </w:p>
        </w:tc>
        <w:tc>
          <w:tcPr>
            <w:tcW w:w="6914" w:type="dxa"/>
          </w:tcPr>
          <w:p>
            <w:pPr>
              <w:spacing w:before="60" w:after="60"/>
              <w:rPr>
                <w:i/>
                <w:iCs/>
              </w:rPr>
            </w:pPr>
            <w:r>
              <w:rPr>
                <w:i/>
                <w:iCs/>
              </w:rPr>
              <w:t>Beteiligte Organisationseinheit oder Rolle.</w:t>
            </w:r>
          </w:p>
        </w:tc>
      </w:tr>
      <w:tr>
        <w:tc>
          <w:tcPr>
            <w:tcW w:w="2638" w:type="dxa"/>
            <w:shd w:val="clear" w:color="auto" w:fill="C0C0C0"/>
          </w:tcPr>
          <w:p>
            <w:pPr>
              <w:spacing w:before="60" w:after="60"/>
              <w:jc w:val="left"/>
              <w:rPr>
                <w:b/>
                <w:bCs/>
              </w:rPr>
            </w:pPr>
            <w:r>
              <w:rPr>
                <w:b/>
                <w:bCs/>
              </w:rPr>
              <w:t>Kurzbeschreibung</w:t>
            </w:r>
          </w:p>
        </w:tc>
        <w:tc>
          <w:tcPr>
            <w:tcW w:w="6914" w:type="dxa"/>
          </w:tcPr>
          <w:p>
            <w:pPr>
              <w:spacing w:before="60" w:after="60"/>
              <w:rPr>
                <w:i/>
                <w:iCs/>
              </w:rPr>
            </w:pPr>
            <w:r>
              <w:rPr>
                <w:i/>
                <w:iCs/>
              </w:rPr>
              <w:t>Zwei bis drei Sätze zur Beschreibung des Ziels und des Ablaufs der Aktivität.</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914" w:type="dxa"/>
          </w:tcPr>
          <w:p>
            <w:pPr>
              <w:spacing w:before="60" w:after="60"/>
              <w:rPr>
                <w:i/>
                <w:iCs/>
              </w:rPr>
            </w:pPr>
            <w:r>
              <w:rPr>
                <w:i/>
                <w:iCs/>
              </w:rPr>
              <w:t>Die Vorbedingungen beschreiben den Zustand aller relevanten und nichttrivialen Voraussetzungen, die erfüllt sein müssen, damit die Aktivität durchgeführt werden kann. Sie werden als Punkte-Liste beschrieben. Jeder Punkt beschreibt einen Satz an Vorbedingungen, der vollständig gelten muss.</w:t>
            </w:r>
          </w:p>
          <w:p>
            <w:pPr>
              <w:spacing w:before="60" w:after="60"/>
              <w:rPr>
                <w:i/>
                <w:iCs/>
              </w:rPr>
            </w:pPr>
            <w:r>
              <w:rPr>
                <w:i/>
                <w:iCs/>
              </w:rPr>
              <w:t>Auslöser für die Durchführung der Aktivität sind Ereignisse wie auslösende Handlungen anderer Akteure oder Zeitpunkte.</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914" w:type="dxa"/>
          </w:tcPr>
          <w:p>
            <w:pPr>
              <w:spacing w:before="60" w:after="60"/>
              <w:rPr>
                <w:i/>
                <w:iCs/>
              </w:rPr>
            </w:pPr>
            <w:r>
              <w:rPr>
                <w:i/>
                <w:iCs/>
              </w:rPr>
              <w:t>Beschreibung des erwarteten Zustandes nach Ausführung der Aktivität. Wenn möglich Verweise auf erzeugte persistente Daten oder Dokumente. Es kann hier auch mehrere Nachbedingungen geben, wenn es alternative Zustände nach der Ausführung gibt, z.B. Erfolg oder Fehler.</w:t>
            </w:r>
          </w:p>
        </w:tc>
      </w:tr>
      <w:tr>
        <w:tc>
          <w:tcPr>
            <w:tcW w:w="2638" w:type="dxa"/>
            <w:shd w:val="clear" w:color="auto" w:fill="C0C0C0"/>
          </w:tcPr>
          <w:p>
            <w:pPr>
              <w:spacing w:before="60" w:after="60"/>
              <w:jc w:val="left"/>
              <w:rPr>
                <w:b/>
                <w:bCs/>
              </w:rPr>
            </w:pPr>
            <w:r>
              <w:rPr>
                <w:b/>
              </w:rPr>
              <w:t>Automatisierungsgrad</w:t>
            </w:r>
          </w:p>
        </w:tc>
        <w:tc>
          <w:tcPr>
            <w:tcW w:w="6914" w:type="dxa"/>
          </w:tcPr>
          <w:p>
            <w:pPr>
              <w:spacing w:before="60" w:after="60"/>
              <w:rPr>
                <w:i/>
                <w:iCs/>
              </w:rPr>
            </w:pPr>
            <w:r>
              <w:rPr>
                <w:i/>
                <w:iCs/>
              </w:rPr>
              <w:t>Inwieweit wird die Aktivität durch Anwendungssysteme unterstützt? Mögliche Ausprägungen sind „vollautomatisiert“, „teilautomatisiert“ und „manuell“.</w:t>
            </w:r>
          </w:p>
        </w:tc>
      </w:tr>
      <w:tr>
        <w:tc>
          <w:tcPr>
            <w:tcW w:w="2638" w:type="dxa"/>
            <w:shd w:val="clear" w:color="auto" w:fill="C0C0C0"/>
          </w:tcPr>
          <w:p>
            <w:pPr>
              <w:spacing w:before="60" w:after="60"/>
              <w:jc w:val="left"/>
              <w:rPr>
                <w:b/>
                <w:bCs/>
              </w:rPr>
            </w:pPr>
            <w:r>
              <w:rPr>
                <w:b/>
                <w:bCs/>
              </w:rPr>
              <w:t>Beteiligte Systeme</w:t>
            </w:r>
          </w:p>
        </w:tc>
        <w:tc>
          <w:tcPr>
            <w:tcW w:w="6914" w:type="dxa"/>
          </w:tcPr>
          <w:p>
            <w:pPr>
              <w:spacing w:before="60" w:after="60"/>
              <w:rPr>
                <w:i/>
                <w:iCs/>
              </w:rPr>
            </w:pPr>
            <w:r>
              <w:rPr>
                <w:i/>
                <w:iCs/>
              </w:rPr>
              <w:t>Beteiligte Anwendungssysteme, wenn die Aktivität nicht manuell durchgeführt wird.</w:t>
            </w:r>
          </w:p>
        </w:tc>
      </w:tr>
      <w:tr>
        <w:tc>
          <w:tcPr>
            <w:tcW w:w="2638" w:type="dxa"/>
            <w:shd w:val="clear" w:color="auto" w:fill="C0C0C0"/>
          </w:tcPr>
          <w:p>
            <w:pPr>
              <w:spacing w:before="60" w:after="60"/>
              <w:jc w:val="left"/>
              <w:rPr>
                <w:b/>
                <w:bCs/>
              </w:rPr>
            </w:pPr>
            <w:r>
              <w:rPr>
                <w:b/>
                <w:bCs/>
              </w:rPr>
              <w:t>Verwendete</w:t>
            </w:r>
            <w:r>
              <w:rPr>
                <w:b/>
                <w:bCs/>
              </w:rPr>
              <w:br/>
              <w:t>Anwendungsfälle</w:t>
            </w:r>
          </w:p>
        </w:tc>
        <w:tc>
          <w:tcPr>
            <w:tcW w:w="6914" w:type="dxa"/>
          </w:tcPr>
          <w:p>
            <w:pPr>
              <w:spacing w:before="60" w:after="60"/>
              <w:rPr>
                <w:i/>
                <w:iCs/>
              </w:rPr>
            </w:pPr>
            <w:r>
              <w:rPr>
                <w:i/>
                <w:iCs/>
              </w:rPr>
              <w:t>Hier werden alle Anwendungsfälle als Spiegelstrichaufzählung aufgelistet, die die Aktivität umsetzen. Bei Beteiligung mehrerer Anwendungssysteme werden die Anwendungsfälle den Systemen zugeordnet.</w:t>
            </w:r>
          </w:p>
        </w:tc>
      </w:tr>
    </w:tbl>
    <w:p>
      <w:pPr>
        <w:pStyle w:val="berschrift5"/>
      </w:pPr>
      <w:bookmarkStart w:id="64" w:name="_Toc140468026"/>
      <w:bookmarkStart w:id="65" w:name="_Toc140468099"/>
      <w:bookmarkStart w:id="66" w:name="_Toc140468184"/>
      <w:bookmarkStart w:id="67" w:name="_Toc140468286"/>
      <w:bookmarkStart w:id="68" w:name="_Toc140468410"/>
      <w:bookmarkStart w:id="69" w:name="_Toc140476569"/>
      <w:bookmarkStart w:id="70" w:name="_Toc140476689"/>
      <w:bookmarkStart w:id="71" w:name="_Toc488819205"/>
      <w:bookmarkEnd w:id="64"/>
      <w:bookmarkEnd w:id="65"/>
      <w:bookmarkEnd w:id="66"/>
      <w:bookmarkEnd w:id="67"/>
      <w:bookmarkEnd w:id="68"/>
      <w:bookmarkEnd w:id="69"/>
      <w:bookmarkEnd w:id="70"/>
      <w:r>
        <w:t>Aktivität AKT_&lt;Bezeichnung der Aktivität&gt;</w:t>
      </w:r>
      <w:bookmarkEnd w:id="71"/>
    </w:p>
    <w:p>
      <w:pPr>
        <w:rPr>
          <w:i/>
        </w:rPr>
      </w:pPr>
      <w:r>
        <w:rPr>
          <w:i/>
        </w:rPr>
        <w:t>Dieser Abschnitt ist ein Platzhalter, um zu verdeutlichen, dass ab hier weitere Aktivitäten des Geschäftsvorfalls zu beschreiben sind.</w:t>
      </w:r>
    </w:p>
    <w:p>
      <w:pPr>
        <w:pStyle w:val="berschrift4"/>
      </w:pPr>
      <w:bookmarkStart w:id="72" w:name="_Toc488819206"/>
      <w:r>
        <w:t>Geschäftsvorfall GVF_&lt;Bezeichnung des Geschäftsvorfalls&gt;</w:t>
      </w:r>
      <w:bookmarkEnd w:id="72"/>
    </w:p>
    <w:p>
      <w:pPr>
        <w:rPr>
          <w:i/>
        </w:rPr>
      </w:pPr>
      <w:r>
        <w:rPr>
          <w:i/>
        </w:rPr>
        <w:t>Dieser Abschnitt ist ein Platzhalter, um zu verdeutlichen, dass ab hier weitere Geschäftsvorfälle und dazu gehörende Aktivitäten des Geschäftsprozesses zu beschreiben sind.</w:t>
      </w:r>
    </w:p>
    <w:p>
      <w:pPr>
        <w:pStyle w:val="berschrift3"/>
      </w:pPr>
      <w:bookmarkStart w:id="73" w:name="_Toc488819207"/>
      <w:r>
        <w:t>Geschäftsprozess GEP_&lt;Bezeichnung des Geschäftsprozesses&gt;</w:t>
      </w:r>
      <w:bookmarkEnd w:id="73"/>
    </w:p>
    <w:p>
      <w:pPr>
        <w:rPr>
          <w:i/>
        </w:rPr>
      </w:pPr>
      <w:r>
        <w:rPr>
          <w:i/>
        </w:rPr>
        <w:t>Dieser Abschnitt ist ein Platzhalter, um zu verdeutlichen, dass ab hier weitere Geschäftsprozesse und dazu gehörende Geschäftsvorfälle und Aktivitäten zu beschreiben sind.</w:t>
      </w:r>
    </w:p>
    <w:p>
      <w:pPr>
        <w:pStyle w:val="berschrift3"/>
      </w:pPr>
      <w:bookmarkStart w:id="74" w:name="_Toc488819208"/>
      <w:r>
        <w:t>Dokumente</w:t>
      </w:r>
      <w:bookmarkEnd w:id="74"/>
    </w:p>
    <w:p>
      <w:pPr>
        <w:rPr>
          <w:i/>
        </w:rPr>
      </w:pPr>
      <w:r>
        <w:rPr>
          <w:i/>
        </w:rPr>
        <w:t>Ein Dokument ist ein in Papierform oder elektronisch vorliegendes Schriftstück, das innerhalb der Geschäftsprozesse des Gesamtverfahrens genutzt oder erstellt wird.</w:t>
      </w:r>
    </w:p>
    <w:p>
      <w:pPr>
        <w:pStyle w:val="berschrift4"/>
      </w:pPr>
      <w:bookmarkStart w:id="75" w:name="_Toc488819209"/>
      <w:r>
        <w:t>Dokument DOK_&lt;Bezeichnung des Dokuments&gt;</w:t>
      </w:r>
      <w:bookmarkEnd w:id="75"/>
    </w:p>
    <w:p>
      <w:pPr>
        <w:rPr>
          <w:i/>
        </w:rPr>
      </w:pPr>
      <w:r>
        <w:rPr>
          <w:i/>
        </w:rPr>
        <w:t>In diesem Abschnitt wird ein Dokument  des Gesamtverfahrens beschrieben.</w:t>
      </w:r>
    </w:p>
    <w:p>
      <w:pPr>
        <w:pStyle w:val="berschrift4"/>
      </w:pPr>
      <w:bookmarkStart w:id="76" w:name="_Toc488819210"/>
      <w:r>
        <w:t>Dokument DOK_&lt;Bezeichnung des Dokuments&gt;</w:t>
      </w:r>
      <w:bookmarkEnd w:id="76"/>
    </w:p>
    <w:p>
      <w:pPr>
        <w:rPr>
          <w:i/>
        </w:rPr>
      </w:pPr>
      <w:r>
        <w:rPr>
          <w:i/>
        </w:rPr>
        <w:t>Dieser Abschnitt ist ein Platzhalter, um zu verdeutlichen, dass ab hier weitere Dokumente des Gesamtverfahrens zu beschreiben sind.</w:t>
      </w:r>
    </w:p>
    <w:p>
      <w:pPr>
        <w:pStyle w:val="berschrift3"/>
      </w:pPr>
      <w:bookmarkStart w:id="77" w:name="_Toc488819211"/>
      <w:r>
        <w:t>Persistente Datenhaltung</w:t>
      </w:r>
      <w:bookmarkEnd w:id="77"/>
    </w:p>
    <w:p>
      <w:pPr>
        <w:rPr>
          <w:i/>
        </w:rPr>
      </w:pPr>
      <w:r>
        <w:rPr>
          <w:i/>
        </w:rPr>
        <w:t>Die verschiedenen Datenbestände des Gesamtverfahrens enthalten die Daten, die zur Ausführung der Geschäftsprozesse dauerhaft gespeichert werden. Eine Trennung der Daten in verschiedene Datenbestände kann durch die Aufteilung in verschiedene Organisationseinheiten oder unterschiedliche Zwecke der Datenhaltung begründet sein. Hier sollte neben der Beschreibung jedes Datenbestands auch eine grobe Mengenabschätzung der Größe des Datenbestands notiert werden.</w:t>
      </w:r>
    </w:p>
    <w:p>
      <w:pPr>
        <w:pStyle w:val="berschrift4"/>
      </w:pPr>
      <w:bookmarkStart w:id="78" w:name="_Toc488819212"/>
      <w:r>
        <w:t>Persistente Daten DAT_&lt;Bezeichnung des Datenbestands&gt;</w:t>
      </w:r>
      <w:bookmarkEnd w:id="78"/>
    </w:p>
    <w:p>
      <w:pPr>
        <w:rPr>
          <w:i/>
        </w:rPr>
      </w:pPr>
      <w:r>
        <w:rPr>
          <w:i/>
        </w:rPr>
        <w:t>In diesem Abschnitt wird ein Datenbestand des Gesamtverfahrens beschrieben.</w:t>
      </w:r>
    </w:p>
    <w:p>
      <w:pPr>
        <w:pStyle w:val="berschrift4"/>
      </w:pPr>
      <w:bookmarkStart w:id="79" w:name="_Toc488819213"/>
      <w:r>
        <w:t>Persistente Daten DAT_&lt;Bezeichnung des Datenbestands&gt;</w:t>
      </w:r>
      <w:bookmarkEnd w:id="79"/>
    </w:p>
    <w:p>
      <w:pPr>
        <w:rPr>
          <w:i/>
        </w:rPr>
      </w:pPr>
      <w:r>
        <w:rPr>
          <w:i/>
        </w:rPr>
        <w:t>Dieser Abschnitt ist ein Platzhalter, um zu verdeutlichen, dass ab hier weitere Persistente Daten des Gesamtverfahrens zu beschreiben sind.</w:t>
      </w:r>
    </w:p>
    <w:p>
      <w:pPr>
        <w:pStyle w:val="berschrift2"/>
      </w:pPr>
      <w:bookmarkStart w:id="80" w:name="_Toc488819214"/>
      <w:r>
        <w:t>Organisationseinheiten</w:t>
      </w:r>
      <w:bookmarkEnd w:id="80"/>
    </w:p>
    <w:p>
      <w:pPr>
        <w:rPr>
          <w:i/>
        </w:rPr>
      </w:pPr>
      <w:r>
        <w:rPr>
          <w:i/>
        </w:rPr>
        <w:t>Verschiedene Organisationseinheiten nehmen verschiedene Rollen im Ablauf eines Geschäftsprozesses wahr. Aktivitäten eines Geschäftsprozesses können von den beteiligten Organisationseinheiten manuell (d.h. durch Personen), automatisiert (d.h. im Auftrag der Organisationseinheiten durch Anwendungssysteme) oder teilautomatisiert durchgeführt werden. Dieselbe Organisationseinheit kann in verschiedenen Gesamtverfahren auftreten. Hier werden diese Organisationseinheiten mit ihren Aufgaben im Verfahren sowie ihrer Rolle im Geschäftsprozess beschrieben.</w:t>
      </w:r>
    </w:p>
    <w:p>
      <w:pPr>
        <w:keepNext/>
        <w:keepLines/>
        <w:rPr>
          <w:i/>
          <w:iCs/>
        </w:rPr>
      </w:pPr>
      <w:r>
        <w:rPr>
          <w:i/>
          <w:iCs/>
        </w:rPr>
        <w:t>Ein Organigramm (UML-Komponentendiagramm) und eine textuelle Beschreibung geben einen Überblick über die beteiligten Organisationseinheiten (Rollen).</w:t>
      </w:r>
    </w:p>
    <w:p>
      <w:pPr>
        <w:keepNext/>
        <w:keepLines/>
        <w:jc w:val="center"/>
      </w:pPr>
      <w:r>
        <w:rPr>
          <w:noProof/>
        </w:rPr>
        <w:drawing>
          <wp:inline distT="0" distB="0" distL="0" distR="0">
            <wp:extent cx="4007485" cy="5080635"/>
            <wp:effectExtent l="0" t="0" r="0" b="0"/>
            <wp:docPr id="6"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007485" cy="5080635"/>
                    </a:xfrm>
                    <a:prstGeom prst="rect">
                      <a:avLst/>
                    </a:prstGeom>
                    <a:noFill/>
                    <a:ln>
                      <a:noFill/>
                    </a:ln>
                  </pic:spPr>
                </pic:pic>
              </a:graphicData>
            </a:graphic>
          </wp:inline>
        </w:drawing>
      </w:r>
    </w:p>
    <w:p>
      <w:pPr>
        <w:keepNext/>
        <w:keepLines/>
        <w:jc w:val="center"/>
        <w:outlineLvl w:val="0"/>
      </w:pPr>
      <w:r>
        <w:t xml:space="preserve">Abbildung </w:t>
      </w:r>
      <w:fldSimple w:instr=" SEQ Abbildung \* ARABIC ">
        <w:r>
          <w:rPr>
            <w:noProof/>
          </w:rPr>
          <w:t>5</w:t>
        </w:r>
      </w:fldSimple>
      <w:r>
        <w:t>: Organigramm</w:t>
      </w:r>
    </w:p>
    <w:p>
      <w:pPr>
        <w:pStyle w:val="EA-Beschreibung"/>
      </w:pPr>
      <w:r>
        <w:t xml:space="preserve">Erstellung des Diagramms im Enterprise Architect: </w:t>
      </w:r>
    </w:p>
    <w:p>
      <w:pPr>
        <w:pStyle w:val="EA-Beschreibung"/>
      </w:pPr>
      <w:r>
        <w:t>Man fügt alle Organisationseinheiten aus dem UML-Profil „Organisation“ in ein Use Case Diagramm ein und ordnet sie an. Zusammengehörige Organisationseinheiten erhalten eine gemeinsame Boundary mit passendem Namen und Schriftart Arial Bold 14. Man nutzt die Verbinder aus demselben UML-Profil, um Organisationsstrukturen darzustellen.</w:t>
      </w:r>
    </w:p>
    <w:p>
      <w:pPr>
        <w:pStyle w:val="berschrift3"/>
      </w:pPr>
      <w:bookmarkStart w:id="81" w:name="_Toc488819215"/>
      <w:r>
        <w:t>Organisationseinheit ORG_&lt;Bezeichnung der Organisationseinheit&gt;</w:t>
      </w:r>
      <w:bookmarkEnd w:id="81"/>
    </w:p>
    <w:p>
      <w:pPr>
        <w:rPr>
          <w:i/>
        </w:rPr>
      </w:pPr>
      <w:r>
        <w:rPr>
          <w:i/>
        </w:rPr>
        <w:t>In diesem Abschnitt wird eine Organisationseinheit mit ihren Aufgaben im Verfahren sowie ihrer Rolle im Geschäftsprozess beschrieben.</w:t>
      </w:r>
    </w:p>
    <w:p>
      <w:pPr>
        <w:pStyle w:val="berschrift3"/>
      </w:pPr>
      <w:bookmarkStart w:id="82" w:name="_Toc488819216"/>
      <w:r>
        <w:t>Organisationseinheit ORG_&lt;Bezeichnung der Organisationseinheit&gt;</w:t>
      </w:r>
      <w:bookmarkEnd w:id="82"/>
    </w:p>
    <w:p>
      <w:pPr>
        <w:rPr>
          <w:i/>
        </w:rPr>
      </w:pPr>
      <w:r>
        <w:rPr>
          <w:i/>
        </w:rPr>
        <w:t>Dieser Abschnitt ist ein Platzhalter, um zu verdeutlichen, dass ab hier weitere Organisationseinheiten zu beschreiben sind.</w:t>
      </w:r>
    </w:p>
    <w:p>
      <w:pPr>
        <w:pStyle w:val="berschrift2"/>
      </w:pPr>
      <w:bookmarkStart w:id="83" w:name="_Toc488819217"/>
      <w:r>
        <w:t>Anwendungssysteme</w:t>
      </w:r>
      <w:bookmarkEnd w:id="83"/>
    </w:p>
    <w:p>
      <w:pPr>
        <w:rPr>
          <w:i/>
        </w:rPr>
      </w:pPr>
      <w:r>
        <w:rPr>
          <w:i/>
        </w:rPr>
        <w:t>Anwendungssysteme unterstützen teilautomatisierte und automatisierte Aktivitäten. Anwendungssysteme werden in fachliche Anwendungsdomänen unterteilt, die z.B. nach den Zuständigkeiten der Fachbereiche geordnet sein können. In diesem Abschnitt werden die Domänen textuell erklärt und grafisch die Anwendungssysteme in die Domänen eingeordnet.</w:t>
      </w:r>
    </w:p>
    <w:p>
      <w:pPr>
        <w:keepNext/>
        <w:jc w:val="center"/>
      </w:pPr>
      <w:r>
        <w:rPr>
          <w:noProof/>
        </w:rPr>
        <w:drawing>
          <wp:inline distT="0" distB="0" distL="0" distR="0">
            <wp:extent cx="4596130" cy="2345690"/>
            <wp:effectExtent l="0" t="0" r="0" b="0"/>
            <wp:docPr id="7"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6"/>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596130" cy="23456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6</w:t>
        </w:r>
      </w:fldSimple>
      <w:r>
        <w:t>: Anwendungssysteme und ihre Domänenzugehörigkeit</w:t>
      </w:r>
    </w:p>
    <w:p>
      <w:pPr>
        <w:pStyle w:val="EA-Beschreibung"/>
      </w:pPr>
      <w:r>
        <w:t>Erstellung des Diagramms im Enterprise Architect:</w:t>
      </w:r>
    </w:p>
    <w:p>
      <w:pPr>
        <w:pStyle w:val="EA-Beschreibung"/>
      </w:pPr>
      <w:r>
        <w:t>Man zieht alle Anwendungssysteme in ein Use Case Diagramm. Dann ordnet man sie nach Anwendungsdomänen und zeichnet jede Domäne als Boundary mit Namen ein.</w:t>
      </w:r>
    </w:p>
    <w:p>
      <w:pPr>
        <w:pStyle w:val="berschrift3"/>
      </w:pPr>
      <w:bookmarkStart w:id="84" w:name="_Toc488819218"/>
      <w:r>
        <w:t>Anwendungssystem SYS_&lt;Bezeichnung des Anwendungssystems&gt;</w:t>
      </w:r>
      <w:bookmarkEnd w:id="84"/>
    </w:p>
    <w:p>
      <w:pPr>
        <w:rPr>
          <w:i/>
        </w:rPr>
      </w:pPr>
      <w:r>
        <w:rPr>
          <w:i/>
        </w:rPr>
        <w:t>In diesem Abschnitt wird ein Anwendungssystem beschrieben. Seine fachliche Zielsetzung wird beschrieben.</w:t>
      </w:r>
    </w:p>
    <w:p>
      <w:pPr>
        <w:pStyle w:val="berschrift3"/>
      </w:pPr>
      <w:bookmarkStart w:id="85" w:name="_Toc488819219"/>
      <w:r>
        <w:t>Anwendungssystem SYS_&lt;Bezeichnung des Anwendungssystems&gt;</w:t>
      </w:r>
      <w:bookmarkEnd w:id="85"/>
    </w:p>
    <w:p>
      <w:pPr>
        <w:rPr>
          <w:i/>
        </w:rPr>
      </w:pPr>
      <w:r>
        <w:rPr>
          <w:i/>
        </w:rPr>
        <w:t>Dieser Abschnitt ist ein Platzhalter, um zu verdeutlichen, dass ab hier weitere Anwendungssysteme zu beschreiben sind.</w:t>
      </w:r>
    </w:p>
    <w:p>
      <w:pPr>
        <w:pStyle w:val="berschrift1"/>
      </w:pPr>
      <w:bookmarkStart w:id="86" w:name="_Toc488819220"/>
      <w:r>
        <w:t>Anwendungskomponenten</w:t>
      </w:r>
      <w:bookmarkEnd w:id="86"/>
    </w:p>
    <w:p>
      <w:pPr>
        <w:rPr>
          <w:i/>
          <w:iCs/>
        </w:rPr>
      </w:pPr>
      <w:r>
        <w:rPr>
          <w:i/>
          <w:iCs/>
        </w:rPr>
        <w:t>In einer Systemspezifikation wird ein fachliches Anwendungssystem spezifiziert. Die fachlichen Abläufe des Anwendungssystems werden in Form von Anwendungsfällen beschrieben. Die Anwendungsfälle werden zu Anwendungskomponenten gruppiert und in entsprechenden Abschnitten unterschieden. Vorab erfolgt hier ein Überblick über alle Anwendungskomponenten in einem UML-Komponentendiagramm mit einer kurzen textlichen Erläuterung, welche Abläufe von den gezeigten Komponenten unterstützt werden.</w:t>
      </w:r>
    </w:p>
    <w:p>
      <w:pPr>
        <w:jc w:val="center"/>
      </w:pPr>
      <w:r>
        <w:rPr>
          <w:noProof/>
        </w:rPr>
        <w:drawing>
          <wp:inline distT="0" distB="0" distL="0" distR="0">
            <wp:extent cx="5979160" cy="2440940"/>
            <wp:effectExtent l="0" t="0" r="0" b="0"/>
            <wp:docPr id="8"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7"/>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979160" cy="2440940"/>
                    </a:xfrm>
                    <a:prstGeom prst="rect">
                      <a:avLst/>
                    </a:prstGeom>
                    <a:noFill/>
                    <a:ln>
                      <a:noFill/>
                    </a:ln>
                  </pic:spPr>
                </pic:pic>
              </a:graphicData>
            </a:graphic>
          </wp:inline>
        </w:drawing>
      </w:r>
      <w:r>
        <w:t xml:space="preserve"> </w:t>
      </w:r>
    </w:p>
    <w:p>
      <w:pPr>
        <w:pStyle w:val="Beschriftung"/>
        <w:outlineLvl w:val="0"/>
      </w:pPr>
      <w:r>
        <w:t xml:space="preserve">Abbildung </w:t>
      </w:r>
      <w:fldSimple w:instr=" SEQ Abbildung \* ARABIC ">
        <w:r>
          <w:rPr>
            <w:noProof/>
          </w:rPr>
          <w:t>7</w:t>
        </w:r>
      </w:fldSimple>
      <w:r>
        <w:t>: Übersicht über die Anwendungskomponenten</w:t>
      </w:r>
    </w:p>
    <w:p>
      <w:pPr>
        <w:pStyle w:val="EA-Beschreibung"/>
      </w:pPr>
      <w:r>
        <w:t>Erstellung des Diagramms im Enterprise Architect:</w:t>
      </w:r>
    </w:p>
    <w:p>
      <w:pPr>
        <w:pStyle w:val="EA-Beschreibung"/>
      </w:pPr>
      <w:r>
        <w:t>Das Anwendungssystem wird mit dem UML-Profil-Element „Anwendungskomponente“ dargestellt. Hierzu wird der Stereotyp von „Anwendungskomponente“ auf „Anwendungssystem“ geändert. Im Diagramm wird die Schriftgröße auf Arial Bold 14 geändert. Das Anwendungssystem wird mit dem Präfix „SYS_“ benannt.</w:t>
      </w:r>
    </w:p>
    <w:p>
      <w:pPr>
        <w:pStyle w:val="EA-Beschreibung"/>
      </w:pPr>
      <w:r>
        <w:t>Die angebotenen Schnittstellen werden als „Provided Interface“ dargestellt, die genutzten als „Required Interface“. Hierzu wählt man im Kontextmenü des Anwendungssystem-Elements „Embedded Elements &gt; Add Provided Interface“ bzw. „Embedded Elements &gt; Add Required Interface“ aus. Die angebotenen Schnittstellen kann man farblich markieren: Solche, die ausschließlich innerhalb der Anwendungslandschaft des Kunden genutzt werden sind rot markiert, solche die auch oder nur von externen Anwendungssystemen aufgerufen werden sind grün markiert.</w:t>
      </w:r>
    </w:p>
    <w:p>
      <w:pPr>
        <w:pStyle w:val="EA-Beschreibung"/>
      </w:pPr>
      <w:r>
        <w:t>Angebotene Schnittstellen verknüpft man anschließend mit den Anwendungskomponenten, deren Anwendungsfälle aufgrund der Schnittstellen-Nutzung aufgerufen werden. Hierzu nutzt man die Verknüpfung „composite &gt; delegate“ aus der UML-Toolbox des EA. Genutzte Schnittstellen kann man mit den nutzenden Anwendungskomponenten verbinden. Für Schnittstellen, die querschnittlich von allen Anwendungskomponenten genutzt werden, ist dies nicht notwendig. Mit rechter Maustaste auf den Text &lt;&lt;delegate&gt;&gt; und anschließend „hide label“ versteckt man die Anzeige des Stereotypen.</w:t>
      </w:r>
    </w:p>
    <w:p>
      <w:pPr>
        <w:pStyle w:val="berschrift2"/>
      </w:pPr>
      <w:bookmarkStart w:id="87" w:name="_Toc488819221"/>
      <w:bookmarkStart w:id="88" w:name="_Ref144881490"/>
      <w:r>
        <w:t>Akteure</w:t>
      </w:r>
      <w:bookmarkEnd w:id="87"/>
    </w:p>
    <w:p>
      <w:pPr>
        <w:spacing w:after="120"/>
        <w:rPr>
          <w:i/>
          <w:iCs/>
        </w:rPr>
      </w:pPr>
      <w:r>
        <w:rPr>
          <w:i/>
          <w:iCs/>
        </w:rPr>
        <w:t>Das Kapitel enthält als Überblick ein Diagramm aller Akteure und deren Abhängigkeiten.</w:t>
      </w:r>
    </w:p>
    <w:p>
      <w:pPr>
        <w:spacing w:after="120"/>
        <w:jc w:val="center"/>
      </w:pPr>
      <w:r>
        <w:rPr>
          <w:noProof/>
        </w:rPr>
        <w:drawing>
          <wp:inline distT="0" distB="0" distL="0" distR="0">
            <wp:extent cx="3411220" cy="1955800"/>
            <wp:effectExtent l="0" t="0" r="0" b="0"/>
            <wp:docPr id="9"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411220" cy="195580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8</w:t>
        </w:r>
      </w:fldSimple>
      <w:r>
        <w:t>: Übersicht der Akteure</w:t>
      </w:r>
    </w:p>
    <w:p>
      <w:pPr>
        <w:spacing w:after="120"/>
        <w:rPr>
          <w:i/>
          <w:iCs/>
        </w:rPr>
      </w:pPr>
      <w:r>
        <w:rPr>
          <w:i/>
          <w:iCs/>
        </w:rPr>
        <w:t>Zusätzlich werden in einer Liste alle Akteure benannt und kurz in Stichworten beschrieben. Die Namen der Akteure sind so eng wie möglich angelehnt an die Bezeichnungen, die in den Fachbereichen etabliert sind. Oft ist es zweckmäßig, auch die Beziehungen zwischen den Akteuren zu verdeutlichen. Die Liste der Akteure muss vollständig sein, allerdings nur für das zu spezifizierende Anwendungssystem.</w:t>
      </w:r>
    </w:p>
    <w:p>
      <w:pPr>
        <w:rPr>
          <w:i/>
          <w:iCs/>
        </w:rPr>
      </w:pPr>
      <w:r>
        <w:rPr>
          <w:i/>
          <w:iCs/>
        </w:rPr>
        <w:t>Als Akteure können auftreten:</w:t>
      </w:r>
    </w:p>
    <w:p>
      <w:pPr>
        <w:numPr>
          <w:ilvl w:val="0"/>
          <w:numId w:val="25"/>
        </w:numPr>
        <w:rPr>
          <w:i/>
          <w:iCs/>
        </w:rPr>
      </w:pPr>
      <w:r>
        <w:rPr>
          <w:i/>
          <w:iCs/>
        </w:rPr>
        <w:t>Benutzer des Anwendungssystems, geordnet nach ihrer Organisationszugehörigkeit oder Rolle</w:t>
      </w:r>
    </w:p>
    <w:p>
      <w:pPr>
        <w:numPr>
          <w:ilvl w:val="0"/>
          <w:numId w:val="25"/>
        </w:numPr>
        <w:rPr>
          <w:i/>
          <w:iCs/>
        </w:rPr>
      </w:pPr>
      <w:r>
        <w:rPr>
          <w:i/>
          <w:iCs/>
        </w:rPr>
        <w:t>andere Anwendungssysteme, die angebotene Schnittstellen des Anwendungssystems nutzen</w:t>
      </w:r>
    </w:p>
    <w:p>
      <w:pPr>
        <w:numPr>
          <w:ilvl w:val="0"/>
          <w:numId w:val="25"/>
        </w:numPr>
        <w:rPr>
          <w:i/>
          <w:iCs/>
        </w:rPr>
      </w:pPr>
      <w:r>
        <w:rPr>
          <w:i/>
          <w:iCs/>
        </w:rPr>
        <w:t>das Anwendungssystem selbst, wenn es seine Batches oder andere automatisierte Prozesse ausführt</w:t>
      </w:r>
    </w:p>
    <w:p>
      <w:pPr>
        <w:rPr>
          <w:i/>
          <w:iCs/>
        </w:rPr>
      </w:pPr>
      <w:r>
        <w:rPr>
          <w:i/>
          <w:iCs/>
        </w:rPr>
        <w:t>Man sollte in der Wahl der Akteure menschliche Benutzer, die das Anwendungssystem indirekt nutzen bevorzugen gegenüber anderen, vorgeschalteten Anwendungssystemen.</w:t>
      </w:r>
    </w:p>
    <w:p>
      <w:pPr>
        <w:spacing w:after="120"/>
        <w:rPr>
          <w:i/>
          <w:iCs/>
        </w:rPr>
      </w:pPr>
      <w:r>
        <w:rPr>
          <w:i/>
          <w:iCs/>
        </w:rPr>
        <w:t>Namen von Akteuren beginnen mit dem Präfix „AKR_“ gefolgt vom Klarnamen mit Unterstrichen statt Leerzeichen.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8"/>
        <w:gridCol w:w="7260"/>
      </w:tblGrid>
      <w:tr>
        <w:tc>
          <w:tcPr>
            <w:tcW w:w="2198" w:type="dxa"/>
            <w:tcBorders>
              <w:bottom w:val="single" w:sz="4" w:space="0" w:color="auto"/>
            </w:tcBorders>
            <w:shd w:val="clear" w:color="auto" w:fill="C0C0C0"/>
          </w:tcPr>
          <w:p>
            <w:pPr>
              <w:spacing w:before="60" w:after="60"/>
              <w:jc w:val="left"/>
              <w:rPr>
                <w:b/>
                <w:bCs/>
              </w:rPr>
            </w:pPr>
            <w:r>
              <w:rPr>
                <w:b/>
                <w:bCs/>
              </w:rPr>
              <w:t>Name</w:t>
            </w:r>
          </w:p>
        </w:tc>
        <w:tc>
          <w:tcPr>
            <w:tcW w:w="7260" w:type="dxa"/>
            <w:shd w:val="clear" w:color="auto" w:fill="C0C0C0"/>
          </w:tcPr>
          <w:p>
            <w:pPr>
              <w:spacing w:before="60" w:after="60"/>
              <w:jc w:val="left"/>
              <w:rPr>
                <w:b/>
                <w:bCs/>
              </w:rPr>
            </w:pPr>
            <w:r>
              <w:rPr>
                <w:b/>
                <w:bCs/>
              </w:rPr>
              <w:t>Ziel</w:t>
            </w:r>
          </w:p>
        </w:tc>
      </w:tr>
      <w:tr>
        <w:tc>
          <w:tcPr>
            <w:tcW w:w="2198" w:type="dxa"/>
            <w:shd w:val="clear" w:color="auto" w:fill="auto"/>
          </w:tcPr>
          <w:p>
            <w:pPr>
              <w:spacing w:before="60" w:after="60"/>
              <w:rPr>
                <w:i/>
                <w:iCs/>
              </w:rPr>
            </w:pPr>
            <w:r>
              <w:rPr>
                <w:i/>
                <w:iCs/>
              </w:rPr>
              <w:t>Name des Akteurs</w:t>
            </w:r>
          </w:p>
        </w:tc>
        <w:tc>
          <w:tcPr>
            <w:tcW w:w="7260" w:type="dxa"/>
            <w:shd w:val="clear" w:color="auto" w:fill="auto"/>
          </w:tcPr>
          <w:p>
            <w:pPr>
              <w:spacing w:before="60" w:after="60"/>
              <w:rPr>
                <w:i/>
                <w:iCs/>
              </w:rPr>
            </w:pPr>
            <w:r>
              <w:rPr>
                <w:i/>
                <w:iCs/>
              </w:rPr>
              <w:t>Ziel des Akteurs</w:t>
            </w:r>
          </w:p>
        </w:tc>
      </w:tr>
    </w:tbl>
    <w:p>
      <w:pPr>
        <w:pStyle w:val="berschrift2"/>
      </w:pPr>
      <w:bookmarkStart w:id="89" w:name="_Toc488819222"/>
      <w:r>
        <w:t>Anwendungskomponente ANK_&lt;Bezeichnung der Anwendungskomponente&gt;</w:t>
      </w:r>
      <w:bookmarkEnd w:id="88"/>
      <w:bookmarkEnd w:id="89"/>
    </w:p>
    <w:p>
      <w:pPr>
        <w:rPr>
          <w:i/>
          <w:iCs/>
        </w:rPr>
      </w:pPr>
      <w:r>
        <w:rPr>
          <w:i/>
          <w:iCs/>
        </w:rPr>
        <w:t>Am Anfang jeder Anwendungskomponentenbeschreibung steht ein Überblick über die Anwendungsfälle. Er besteht aus der Liste der Anwendungsfälle und einem Anwendungsfalldiagramm.</w:t>
      </w:r>
    </w:p>
    <w:p>
      <w:pPr>
        <w:rPr>
          <w:i/>
          <w:iCs/>
        </w:rPr>
      </w:pPr>
      <w:r>
        <w:rPr>
          <w:i/>
          <w:iCs/>
        </w:rPr>
        <w:t xml:space="preserve">Das Anwendungsfalldiagramm ist ein grafischer Überblick über die Anwendungsfälle. Es bietet oft einen schnelleren Überblick als die Liste der Anwendungsfälle. Zur übersichtlichen Darstellung kann ein Anwendungsfalldiagramm ausschließlich mit den Akteuren verwendet werden. </w:t>
      </w:r>
    </w:p>
    <w:p>
      <w:pPr>
        <w:jc w:val="center"/>
      </w:pPr>
      <w:r>
        <w:rPr>
          <w:noProof/>
        </w:rPr>
        <w:drawing>
          <wp:inline distT="0" distB="0" distL="0" distR="0">
            <wp:extent cx="5303520" cy="5160645"/>
            <wp:effectExtent l="0" t="0" r="0" b="0"/>
            <wp:docPr id="10" name="Bild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9"/>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303520" cy="5160645"/>
                    </a:xfrm>
                    <a:prstGeom prst="rect">
                      <a:avLst/>
                    </a:prstGeom>
                    <a:noFill/>
                    <a:ln>
                      <a:noFill/>
                    </a:ln>
                  </pic:spPr>
                </pic:pic>
              </a:graphicData>
            </a:graphic>
          </wp:inline>
        </w:drawing>
      </w:r>
    </w:p>
    <w:p>
      <w:pPr>
        <w:jc w:val="center"/>
      </w:pPr>
      <w:r>
        <w:t>AKR_Beispiel-Anwendungssystem – AKR_Nutzer_Meldung - AWF_Erstmeldung durchführen – AWF_Folgemeldung_durchführen – BAT_Meldungsdatei_verarbeiten</w:t>
      </w:r>
    </w:p>
    <w:p>
      <w:pPr>
        <w:pStyle w:val="Beschriftung"/>
      </w:pPr>
      <w:r>
        <w:t xml:space="preserve">Abbildung </w:t>
      </w:r>
      <w:fldSimple w:instr=" SEQ Abbildung \* ARABIC ">
        <w:r>
          <w:rPr>
            <w:noProof/>
          </w:rPr>
          <w:t>9</w:t>
        </w:r>
      </w:fldSimple>
      <w:r>
        <w:t>: ANK_Meldung</w:t>
      </w:r>
    </w:p>
    <w:p>
      <w:pPr>
        <w:pStyle w:val="EA-Beschreibung"/>
      </w:pPr>
      <w:r>
        <w:t>Erstellung des Diagramms im Enterprise Architect: Die Klammer um alle Anwendungsfälle und Batches bildet die Anwendungskomponente. Deren Element zieht man aus dem UML-Profil „Anwendungsfälle“ ins Diagramm. Die Akteure ordnet man außerhalb der Komponente an und verknüpft sie über den Verbinder „FührtAnwendungsfallAus“ mit den Anwendungsfällen. Die Stereotypen an den Verbindern blendet man aus.</w:t>
      </w:r>
    </w:p>
    <w:p>
      <w:pPr>
        <w:pStyle w:val="EA-Beschreibung"/>
      </w:pPr>
      <w:r>
        <w:t>Die textuell aufgezählten Elemente sollen als Verweise dienen. Ihre Reihenfolge ist alphabetisch. Man muss sie in dieser und den nachfolgenden Stellen, und am besten auch im Text, mit Hyperlink auf die zugehörige Überschrift versehen. Hier könnte ein Word-Makro hilfreich sein.</w:t>
      </w:r>
    </w:p>
    <w:p>
      <w:pPr>
        <w:pStyle w:val="berschrift3"/>
      </w:pPr>
      <w:bookmarkStart w:id="90" w:name="_Toc140468031"/>
      <w:bookmarkStart w:id="91" w:name="_Toc140468104"/>
      <w:bookmarkStart w:id="92" w:name="_Toc140468189"/>
      <w:bookmarkStart w:id="93" w:name="_Toc140468291"/>
      <w:bookmarkStart w:id="94" w:name="_Toc140468415"/>
      <w:bookmarkStart w:id="95" w:name="_Toc140476574"/>
      <w:bookmarkStart w:id="96" w:name="_Toc140476694"/>
      <w:bookmarkStart w:id="97" w:name="_Ref144881414"/>
      <w:bookmarkStart w:id="98" w:name="_Toc488819223"/>
      <w:bookmarkEnd w:id="90"/>
      <w:bookmarkEnd w:id="91"/>
      <w:bookmarkEnd w:id="92"/>
      <w:bookmarkEnd w:id="93"/>
      <w:bookmarkEnd w:id="94"/>
      <w:bookmarkEnd w:id="95"/>
      <w:bookmarkEnd w:id="96"/>
      <w:r>
        <w:t>Anwendungsfall AWF_&lt;Bezeichnung des Anwendungsfalls&gt;</w:t>
      </w:r>
      <w:bookmarkEnd w:id="97"/>
      <w:bookmarkEnd w:id="98"/>
    </w:p>
    <w:p>
      <w:pPr>
        <w:rPr>
          <w:i/>
          <w:iCs/>
        </w:rPr>
      </w:pPr>
      <w:r>
        <w:rPr>
          <w:i/>
          <w:iCs/>
        </w:rPr>
        <w:t>Die Anwendungsfälle (engl. Use-Cases) spezifizieren die Funktionalität eines Anwendungssystems. Ein Anwendungsfall beschreibt das Verhalten und die Interaktion eines Anwendungssystems als Reaktion auf die zielgerichtete Anfrage oder Aktion eines Akteurs über eine Schnittstelle oder im Dialog. Anwendungsfälle enthalten eine textuelle Beschreibung der Außensicht des Anwendungssystems in Form von Abläufen. Die Beschreibung erfolgt in der Sprache der Anwender.</w:t>
      </w:r>
    </w:p>
    <w:p>
      <w:pPr>
        <w:rPr>
          <w:i/>
          <w:iCs/>
        </w:rPr>
      </w:pPr>
      <w:r>
        <w:rPr>
          <w:i/>
          <w:iCs/>
        </w:rPr>
        <w:t>Mögliche Fehlerquellen beim Schreiben von Anwendungsfällen sind:</w:t>
      </w:r>
    </w:p>
    <w:p>
      <w:pPr>
        <w:numPr>
          <w:ilvl w:val="0"/>
          <w:numId w:val="6"/>
        </w:numPr>
        <w:jc w:val="left"/>
        <w:rPr>
          <w:i/>
          <w:iCs/>
        </w:rPr>
      </w:pPr>
      <w:r>
        <w:rPr>
          <w:i/>
          <w:iCs/>
        </w:rPr>
        <w:t>Zu frühe Betrachtung von Sonderfällen:</w:t>
      </w:r>
      <w:r>
        <w:rPr>
          <w:i/>
          <w:iCs/>
        </w:rPr>
        <w:br/>
        <w:t>Es ist wichtig, dass der Standardablauf eines Anwendungsfalls deutlich erkennbar ist. Das kann man z.B. dadurch erreichen, dass man erst einmal nur diesen mit durchnummerierten Schritten beschreibt und in einem anschließenden Abschnitt "Alternative Abläufe" die Ausnahmen bezogen auf die einzelnen  Schritte des Standardablaufs beschreibt.</w:t>
      </w:r>
    </w:p>
    <w:p>
      <w:pPr>
        <w:numPr>
          <w:ilvl w:val="0"/>
          <w:numId w:val="6"/>
        </w:numPr>
        <w:jc w:val="left"/>
        <w:rPr>
          <w:i/>
          <w:iCs/>
        </w:rPr>
      </w:pPr>
      <w:r>
        <w:rPr>
          <w:i/>
          <w:iCs/>
        </w:rPr>
        <w:t>Zu detaillierte Beschreibung der Anwendungsfälle:</w:t>
      </w:r>
      <w:r>
        <w:rPr>
          <w:i/>
          <w:iCs/>
        </w:rPr>
        <w:br/>
        <w:t>Insbesondere die detaillierte Beschreibung des Ablaufes der Dialoge. Anwendungsfälle sollten das fachliche Verhalten des Anwendungssystems ohne konkrete Referenz auf die Benutzeroberfläche beschreiben.</w:t>
      </w:r>
      <w:r>
        <w:rPr>
          <w:i/>
          <w:iCs/>
        </w:rPr>
        <w:br/>
        <w:t>Beispiel:</w:t>
      </w:r>
      <w:r>
        <w:rPr>
          <w:i/>
          <w:iCs/>
        </w:rPr>
        <w:br/>
        <w:t>Nicht: „Der Anwender öffnet den Dialog ... Er erfasst ... Er betätigt die ok-Taste. Das Anwen</w:t>
      </w:r>
      <w:r>
        <w:rPr>
          <w:i/>
          <w:iCs/>
        </w:rPr>
        <w:softHyphen/>
        <w:t>dungssystem zeigt die Maske ... mit...“</w:t>
      </w:r>
      <w:r>
        <w:rPr>
          <w:i/>
          <w:iCs/>
        </w:rPr>
        <w:br/>
        <w:t>Sondern: „Der Anwender erfasst die Daten des Vertrages. Daraufhin berechnet das Anwendungs</w:t>
      </w:r>
      <w:r>
        <w:rPr>
          <w:i/>
          <w:iCs/>
        </w:rPr>
        <w:softHyphen/>
        <w:t>system die Raten und zeigt sie zur Kontrolle an“.</w:t>
      </w:r>
      <w:r>
        <w:rPr>
          <w:i/>
          <w:iCs/>
        </w:rPr>
        <w:br/>
      </w:r>
      <w:r>
        <w:rPr>
          <w:i/>
          <w:iCs/>
        </w:rPr>
        <w:br/>
        <w:t>Die Dialoge werden in der Dialogspezifikation explizit beschrieben. Die Beschreibung der Anwendungsfälle sollte nicht mit der Spezifikation der Dialoge vermischt werden, da nicht unbedingt eine 1:1-Beziehung Anwendungsfall zu Dialog besteht.</w:t>
      </w:r>
    </w:p>
    <w:p>
      <w:pPr>
        <w:numPr>
          <w:ilvl w:val="0"/>
          <w:numId w:val="6"/>
        </w:numPr>
        <w:jc w:val="left"/>
        <w:rPr>
          <w:i/>
          <w:iCs/>
        </w:rPr>
      </w:pPr>
      <w:r>
        <w:rPr>
          <w:i/>
          <w:iCs/>
        </w:rPr>
        <w:t>Funktionale Zerlegung mit Anwendungsfällen:</w:t>
      </w:r>
      <w:r>
        <w:rPr>
          <w:i/>
          <w:iCs/>
        </w:rPr>
        <w:br/>
        <w:t>Beim Versuch einer möglichst redundanzfreien Beschreibung wird oft versucht, Anwendungsfälle funktional zu zerlegen. Die Anwendungsfälle, die dabei entstehen, sind im Allgemeinen zu klein und zu trivial, da der Gesamtzusammenhang verloren geht. Ein gutes Maß für die Granularität des Anwendungsfalles ist die Frage: „Bringt dieser Anwendungsfall ein für den Benutzer sichtbares Ergebnis?“ Um umfangreiche oder mehrfach verwendete Funktionalität zu kapseln, sollten stattdessen Anwendungsfunktionen verwendet werden.</w:t>
      </w:r>
    </w:p>
    <w:p>
      <w:pPr>
        <w:numPr>
          <w:ilvl w:val="0"/>
          <w:numId w:val="6"/>
        </w:numPr>
        <w:jc w:val="left"/>
        <w:rPr>
          <w:i/>
          <w:iCs/>
        </w:rPr>
      </w:pPr>
      <w:r>
        <w:rPr>
          <w:i/>
          <w:iCs/>
        </w:rPr>
        <w:t>Mehrdeutig formulierte Anwendungsfälle:</w:t>
      </w:r>
      <w:r>
        <w:rPr>
          <w:i/>
          <w:iCs/>
        </w:rPr>
        <w:br/>
        <w:t>Bei der Beschreibung der Anwendungsfälle auf einen eindeutigen Satzbau achten. Das heißt:</w:t>
      </w:r>
    </w:p>
    <w:p>
      <w:pPr>
        <w:numPr>
          <w:ilvl w:val="1"/>
          <w:numId w:val="6"/>
        </w:numPr>
        <w:jc w:val="left"/>
        <w:rPr>
          <w:i/>
          <w:iCs/>
        </w:rPr>
      </w:pPr>
      <w:r>
        <w:rPr>
          <w:i/>
          <w:iCs/>
        </w:rPr>
        <w:t>Füllwörter wie eventuell, gegebenenfalls, und/oder vermeiden</w:t>
      </w:r>
    </w:p>
    <w:p>
      <w:pPr>
        <w:numPr>
          <w:ilvl w:val="1"/>
          <w:numId w:val="6"/>
        </w:numPr>
        <w:jc w:val="left"/>
        <w:rPr>
          <w:i/>
          <w:iCs/>
        </w:rPr>
      </w:pPr>
      <w:r>
        <w:rPr>
          <w:i/>
          <w:iCs/>
        </w:rPr>
        <w:t>Passivsätze vermeiden</w:t>
      </w:r>
    </w:p>
    <w:p>
      <w:pPr>
        <w:numPr>
          <w:ilvl w:val="1"/>
          <w:numId w:val="6"/>
        </w:numPr>
        <w:jc w:val="left"/>
        <w:rPr>
          <w:i/>
          <w:iCs/>
        </w:rPr>
      </w:pPr>
      <w:r>
        <w:rPr>
          <w:i/>
          <w:iCs/>
        </w:rPr>
        <w:t>Genaue Formulierungen benutzen: Wer tut wann was? Welche Hilfsmittel benutzt er dazu?</w:t>
      </w:r>
    </w:p>
    <w:p>
      <w:pPr>
        <w:ind w:left="708"/>
        <w:jc w:val="left"/>
        <w:rPr>
          <w:i/>
          <w:iCs/>
        </w:rPr>
      </w:pPr>
      <w:r>
        <w:rPr>
          <w:i/>
          <w:iCs/>
        </w:rPr>
        <w:t>Beispiel:</w:t>
      </w:r>
      <w:r>
        <w:rPr>
          <w:i/>
          <w:iCs/>
        </w:rPr>
        <w:br/>
        <w:t>Nicht: „Die Parameter für die Personensuche werden eingegeben und die zugehörige Person ermittelt. Gegebenenfalls müssen die Suchparameter erneut eingegeben werden.“</w:t>
      </w:r>
      <w:r>
        <w:rPr>
          <w:i/>
          <w:iCs/>
        </w:rPr>
        <w:br/>
        <w:t>Sondern: „Standardablauf: 1. Der Benutzer erfasst die Parameter für die Personensuche und bestätigt die Eingabe. 2. Das Anwendungssystem prüft die Eingabeparameter auf Vollständigkeit und Plausibilität. 3. Das Anwendungssystem ermittelt die Treffermenge zu den Suchparametern. 4. Das Anwendungssystem zeigt dem Benutzer die Treffermenge an. 1. alternativer Ablauf: 2a. Die Suchparameter sind nicht vollständig. Das Anwendungssystem fordert den Benutzer auf, die Parameter zu ergänzen. 2. Alternativer Ablauf: 2a. Die Suchparameter sind nicht plausibel. Das Anwendungssystem fordert den Benutzer auf, die Parameter zu korrigieren.</w:t>
      </w:r>
    </w:p>
    <w:p>
      <w:pPr>
        <w:rPr>
          <w:i/>
          <w:iCs/>
        </w:rPr>
      </w:pPr>
      <w:r>
        <w:rPr>
          <w:i/>
          <w:iCs/>
        </w:rPr>
        <w:t>Allgemein gültige Plausibilisierungen und Geschäftsregeln können im Datenmodell oder der Datentypbeschreibung hinterlegt werden. Sie müssen in der Anwendungsfallbeschreibung nicht berücksichtigt werden, was die Anwendungsfallbeschreibung kompakter macht. Bestimmte Plausibilisierungen sind auch am Besten in der Dialog-Spezifikation (Abschnitt „Dialoge“) aufgehoben. Bei der Verteilung von Plausibilisierungen auf mehrere Spezifikationsteile müssen an zentraler Stelle Hinweise erfolgen und klare Kriterien genannt werden. Dafür bietet sich der Abschnitt „</w:t>
      </w:r>
      <w:r>
        <w:rPr>
          <w:i/>
          <w:iCs/>
        </w:rPr>
        <w:fldChar w:fldCharType="begin"/>
      </w:r>
      <w:r>
        <w:rPr>
          <w:i/>
          <w:iCs/>
        </w:rPr>
        <w:instrText xml:space="preserve"> REF _Ref142999174 \w \h </w:instrText>
      </w:r>
      <w:r>
        <w:rPr>
          <w:i/>
          <w:iCs/>
        </w:rPr>
      </w:r>
      <w:r>
        <w:rPr>
          <w:i/>
          <w:iCs/>
        </w:rPr>
        <w:fldChar w:fldCharType="separate"/>
      </w:r>
      <w:r>
        <w:rPr>
          <w:i/>
          <w:iCs/>
        </w:rPr>
        <w:t>9.7</w:t>
      </w:r>
      <w:r>
        <w:rPr>
          <w:i/>
          <w:iCs/>
        </w:rPr>
        <w:fldChar w:fldCharType="end"/>
      </w:r>
      <w:r>
        <w:rPr>
          <w:i/>
          <w:iCs/>
        </w:rPr>
        <w:t xml:space="preserve"> Querschnittskonzepte“ an.</w:t>
      </w:r>
    </w:p>
    <w:p>
      <w:pPr>
        <w:spacing w:after="120"/>
        <w:rPr>
          <w:i/>
          <w:iCs/>
        </w:rPr>
      </w:pPr>
      <w:r>
        <w:rPr>
          <w:i/>
          <w:iCs/>
        </w:rPr>
        <w:t>Namen von Anwendungsfällen beginnen mit dem Präfix „AWF_“ gefolgt von einem Substantiv und einem Verb, z.B. „AWF_Visumantrag_prüfen“. Falls nötig kann noch ein Adjektiv vor das Substantiv gestellt werden. Der Titel ist ein eindeutiger Bezeichner des Anwendungsfalls. Er sollte so formuliert sein, dass er möglichst prägnant Hinweise auf Akteur und Ziel gibt.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05"/>
        <w:gridCol w:w="6718"/>
      </w:tblGrid>
      <w:tr>
        <w:tc>
          <w:tcPr>
            <w:tcW w:w="2905" w:type="dxa"/>
            <w:shd w:val="clear" w:color="auto" w:fill="C0C0C0"/>
          </w:tcPr>
          <w:p>
            <w:pPr>
              <w:spacing w:before="60" w:after="60"/>
              <w:jc w:val="left"/>
              <w:rPr>
                <w:b/>
                <w:bCs/>
              </w:rPr>
            </w:pPr>
            <w:r>
              <w:rPr>
                <w:b/>
                <w:bCs/>
              </w:rPr>
              <w:t>Kurzbeschreibung</w:t>
            </w:r>
          </w:p>
        </w:tc>
        <w:tc>
          <w:tcPr>
            <w:tcW w:w="6718" w:type="dxa"/>
          </w:tcPr>
          <w:p>
            <w:pPr>
              <w:spacing w:before="60" w:after="60"/>
              <w:rPr>
                <w:i/>
                <w:iCs/>
              </w:rPr>
            </w:pPr>
            <w:r>
              <w:rPr>
                <w:i/>
                <w:iCs/>
              </w:rPr>
              <w:t>Zusammenfassung des Ablaufs mit Ziel des Anwendungsfalls in wenigen Sätzen. Das Ziel ist die Absicht und der Grund, weshalb der Akteur den Anwendungsfall überhaupt anstößt.</w:t>
            </w:r>
          </w:p>
        </w:tc>
      </w:tr>
      <w:tr>
        <w:tc>
          <w:tcPr>
            <w:tcW w:w="2905" w:type="dxa"/>
            <w:shd w:val="clear" w:color="auto" w:fill="C0C0C0"/>
          </w:tcPr>
          <w:p>
            <w:pPr>
              <w:spacing w:before="60" w:after="60"/>
              <w:jc w:val="left"/>
              <w:rPr>
                <w:b/>
                <w:bCs/>
              </w:rPr>
            </w:pPr>
            <w:r>
              <w:rPr>
                <w:b/>
                <w:bCs/>
              </w:rPr>
              <w:t>Akteure</w:t>
            </w:r>
          </w:p>
        </w:tc>
        <w:tc>
          <w:tcPr>
            <w:tcW w:w="6718" w:type="dxa"/>
          </w:tcPr>
          <w:p>
            <w:pPr>
              <w:spacing w:before="60" w:after="60"/>
              <w:rPr>
                <w:i/>
                <w:iCs/>
              </w:rPr>
            </w:pPr>
            <w:r>
              <w:rPr>
                <w:i/>
                <w:iCs/>
              </w:rPr>
              <w:t>Rollen (von Personen), die den Anwendungsfall auslösen</w:t>
            </w:r>
          </w:p>
          <w:p>
            <w:pPr>
              <w:spacing w:before="60" w:after="60"/>
              <w:rPr>
                <w:i/>
                <w:iCs/>
              </w:rPr>
            </w:pPr>
            <w:r>
              <w:rPr>
                <w:i/>
                <w:iCs/>
              </w:rPr>
              <w:t>Namen von Rollen beginnen mit dem Präfix „AKR_“, gefolgt von einem Substantiv.</w:t>
            </w:r>
          </w:p>
        </w:tc>
      </w:tr>
      <w:tr>
        <w:tc>
          <w:tcPr>
            <w:tcW w:w="2905" w:type="dxa"/>
            <w:shd w:val="clear" w:color="auto" w:fill="C0C0C0"/>
          </w:tcPr>
          <w:p>
            <w:pPr>
              <w:spacing w:before="60" w:after="60"/>
              <w:jc w:val="left"/>
              <w:rPr>
                <w:b/>
                <w:bCs/>
              </w:rPr>
            </w:pPr>
            <w:r>
              <w:rPr>
                <w:b/>
                <w:bCs/>
              </w:rPr>
              <w:t>Vorbedingungen/</w:t>
            </w:r>
            <w:r>
              <w:rPr>
                <w:b/>
                <w:bCs/>
              </w:rPr>
              <w:br/>
              <w:t>auslösendes Ereignis</w:t>
            </w:r>
          </w:p>
        </w:tc>
        <w:tc>
          <w:tcPr>
            <w:tcW w:w="6718" w:type="dxa"/>
          </w:tcPr>
          <w:p>
            <w:pPr>
              <w:spacing w:before="60" w:after="60"/>
              <w:rPr>
                <w:i/>
                <w:iCs/>
              </w:rPr>
            </w:pPr>
            <w:r>
              <w:rPr>
                <w:i/>
                <w:iCs/>
              </w:rPr>
              <w:t>Die Vorbedingungen beschreiben alle relevanten und nichttrivialen Voraussetzungen, die erfüllt sein müssen, damit der Anwendungsfall durchgeführt werden kann.</w:t>
            </w:r>
          </w:p>
          <w:p>
            <w:pPr>
              <w:spacing w:before="60" w:after="60"/>
              <w:rPr>
                <w:i/>
                <w:iCs/>
              </w:rPr>
            </w:pPr>
            <w:r>
              <w:rPr>
                <w:i/>
                <w:iCs/>
              </w:rPr>
              <w:t>Auslöser für die Durchführung des Anwendungsfalls sind Ereignisse wie auslösende Handlungen anderer Akteure oder zeitgesteuerte Aktivitäten.</w:t>
            </w:r>
          </w:p>
          <w:p>
            <w:pPr>
              <w:spacing w:before="60" w:after="60"/>
              <w:rPr>
                <w:i/>
                <w:iCs/>
              </w:rPr>
            </w:pPr>
            <w:r>
              <w:rPr>
                <w:i/>
                <w:iCs/>
              </w:rPr>
              <w:t>Da Vor- und Nachbedingungen alternativ gelten können, hat sich folgende Schreibweise bewährt: Als Aufzählung mit Bulletpoints werden die Alternativen genannt. Innerhalb eines Bulletpoints gelten alle Bedingungen gemeinsam. Wenn es nur „eine Alternative“ gibt, kann der Bulletpoint weggelassen werden.</w:t>
            </w:r>
          </w:p>
        </w:tc>
      </w:tr>
      <w:tr>
        <w:tc>
          <w:tcPr>
            <w:tcW w:w="2905" w:type="dxa"/>
            <w:shd w:val="clear" w:color="auto" w:fill="C0C0C0"/>
          </w:tcPr>
          <w:p>
            <w:pPr>
              <w:spacing w:before="60" w:after="60"/>
              <w:jc w:val="left"/>
              <w:rPr>
                <w:b/>
                <w:bCs/>
              </w:rPr>
            </w:pPr>
            <w:r>
              <w:rPr>
                <w:b/>
                <w:bCs/>
              </w:rPr>
              <w:t>Nachbedingungen/</w:t>
            </w:r>
            <w:r>
              <w:rPr>
                <w:b/>
                <w:bCs/>
              </w:rPr>
              <w:br/>
              <w:t>Ergebnisse</w:t>
            </w:r>
          </w:p>
        </w:tc>
        <w:tc>
          <w:tcPr>
            <w:tcW w:w="6718" w:type="dxa"/>
          </w:tcPr>
          <w:p>
            <w:pPr>
              <w:spacing w:before="60" w:after="60"/>
              <w:rPr>
                <w:i/>
                <w:iCs/>
              </w:rPr>
            </w:pPr>
            <w:bookmarkStart w:id="99" w:name="OLE_LINK1"/>
            <w:bookmarkStart w:id="100" w:name="OLE_LINK2"/>
            <w:r>
              <w:rPr>
                <w:i/>
                <w:iCs/>
              </w:rPr>
              <w:t>Beschreibung des erwarteten Zustandes nach Ausführung des Anwendungsfalls. Wenn möglich Verweis auf erzeugte Daten (d.h. Referenz zum Datenmodell) und Liste der fachlichen Fehlersituationen mit Beschreibung.</w:t>
            </w:r>
          </w:p>
          <w:p>
            <w:pPr>
              <w:spacing w:before="60" w:after="60"/>
              <w:rPr>
                <w:i/>
                <w:iCs/>
              </w:rPr>
            </w:pPr>
            <w:r>
              <w:rPr>
                <w:i/>
                <w:iCs/>
              </w:rPr>
              <w:t>Die Nachbedingungen beschreiben den Zustand, wenn der Anwendungsfall abgeschlossen ist. Sie beziehen sich auf die Bedingungen, die in der Vorbedingung genannt sind.</w:t>
            </w:r>
            <w:bookmarkEnd w:id="99"/>
            <w:bookmarkEnd w:id="100"/>
          </w:p>
        </w:tc>
      </w:tr>
      <w:tr>
        <w:tc>
          <w:tcPr>
            <w:tcW w:w="2905" w:type="dxa"/>
            <w:shd w:val="clear" w:color="auto" w:fill="C0C0C0"/>
          </w:tcPr>
          <w:p>
            <w:pPr>
              <w:spacing w:before="60" w:after="60"/>
              <w:jc w:val="left"/>
              <w:rPr>
                <w:b/>
                <w:bCs/>
              </w:rPr>
            </w:pPr>
            <w:r>
              <w:rPr>
                <w:b/>
                <w:bCs/>
              </w:rPr>
              <w:t>Standardablauf</w:t>
            </w:r>
          </w:p>
        </w:tc>
        <w:tc>
          <w:tcPr>
            <w:tcW w:w="6718" w:type="dxa"/>
          </w:tcPr>
          <w:p>
            <w:pPr>
              <w:spacing w:before="60" w:after="60"/>
              <w:rPr>
                <w:i/>
                <w:iCs/>
              </w:rPr>
            </w:pPr>
            <w:r>
              <w:rPr>
                <w:i/>
                <w:iCs/>
              </w:rPr>
              <w:t>Der Standardablauf ist der Ablauf von Aktionen der Akteure und des Anwendungssystems, also die Interaktion zwischen Akteur und Anwendungssystem, mit welchem der Akteur das Ziel erreicht. Aus dem Ablauf geht eindeutig hervor, was vom Anwender getan wird und was das Anwendungssystem tut. Die Beschreibung des Ablaufs ist in der Regel ausführlicher als in der Kurzbeschreibung. Man muss aber darauf achten, dass sie nicht unnötig umfangreich wird und prägnant bleibt.</w:t>
            </w:r>
          </w:p>
          <w:p>
            <w:pPr>
              <w:spacing w:before="60" w:after="60"/>
              <w:rPr>
                <w:i/>
                <w:iCs/>
              </w:rPr>
            </w:pPr>
            <w:r>
              <w:rPr>
                <w:i/>
                <w:iCs/>
              </w:rPr>
              <w:t>Auch dialoglastige Anwendungsfälle beschreiben das fachliche Verhalten des Anwendungssystems ohne konkrete Referenz auf die Benutzeroberfläche. Die Dialoge werden separat in der Dialogspezifikation beschrieben.</w:t>
            </w:r>
          </w:p>
          <w:p>
            <w:pPr>
              <w:spacing w:before="60" w:after="60"/>
              <w:rPr>
                <w:i/>
                <w:iCs/>
              </w:rPr>
            </w:pPr>
            <w:r>
              <w:rPr>
                <w:i/>
                <w:iCs/>
              </w:rPr>
              <w:t>Die einzelnen Schritte werden durchnummeriert.</w:t>
            </w:r>
          </w:p>
          <w:p>
            <w:pPr>
              <w:spacing w:before="60" w:after="60"/>
              <w:rPr>
                <w:i/>
                <w:iCs/>
              </w:rPr>
            </w:pPr>
            <w:r>
              <w:rPr>
                <w:i/>
                <w:iCs/>
              </w:rPr>
              <w:t>Falls die Beschreibung des Ablaufs bzw. einzelner Schritte zu komplex wird oder große Redundanzen zu anderen Anwendungsfällen entstehen, kann Funktionalität in Anwendungsfunktionen ausgelagert werden. Im Ablauf des Anwendungsfalls wird dann nur noch beschrieben, an welcher Stelle die Anwendungsfunktion angestoßen wird.</w:t>
            </w:r>
          </w:p>
          <w:p>
            <w:pPr>
              <w:spacing w:before="60" w:after="60"/>
              <w:rPr>
                <w:i/>
                <w:iCs/>
              </w:rPr>
            </w:pPr>
            <w:r>
              <w:rPr>
                <w:i/>
                <w:iCs/>
              </w:rPr>
              <w:t>Fachliche Spezial-Begriffe werden in der Ablauf-Beschreibung als bekannt vorausgesetzt. Die Definition der Begriffe erfolgt im Glossar.</w:t>
            </w:r>
          </w:p>
          <w:p>
            <w:pPr>
              <w:spacing w:before="60" w:after="60"/>
              <w:rPr>
                <w:i/>
                <w:iCs/>
              </w:rPr>
            </w:pPr>
            <w:r>
              <w:rPr>
                <w:i/>
                <w:iCs/>
              </w:rPr>
              <w:t>Falls der Anwendungsfall Zustandsänderungen auf Entitäten bewirkt, braucht nur die Änderung aus fachlicher Sicht genannt zu werden. Das formale und umfassende Zustandsmodell des Entitätstypen wird separat im Abschnitt „Fachliche Grundlagen“ beschrieben.</w:t>
            </w:r>
          </w:p>
          <w:p>
            <w:pPr>
              <w:spacing w:before="60" w:after="60"/>
            </w:pPr>
            <w:r>
              <w:rPr>
                <w:i/>
                <w:iCs/>
              </w:rPr>
              <w:t>Einfache Plausibilisierungen von Daten und die daraus resultierenden Fehlermeldungen gehören nicht zum Ablauf. Sie ergeben sich aus dem Datentyp und werden im Datenmodell beschrieben.</w:t>
            </w:r>
          </w:p>
        </w:tc>
      </w:tr>
      <w:tr>
        <w:tc>
          <w:tcPr>
            <w:tcW w:w="2905" w:type="dxa"/>
            <w:shd w:val="clear" w:color="auto" w:fill="C0C0C0"/>
          </w:tcPr>
          <w:p>
            <w:pPr>
              <w:spacing w:before="60" w:after="60"/>
              <w:jc w:val="left"/>
              <w:rPr>
                <w:b/>
                <w:bCs/>
              </w:rPr>
            </w:pPr>
            <w:r>
              <w:rPr>
                <w:b/>
                <w:bCs/>
              </w:rPr>
              <w:t>Alternative Abläufe</w:t>
            </w:r>
          </w:p>
        </w:tc>
        <w:tc>
          <w:tcPr>
            <w:tcW w:w="6718" w:type="dxa"/>
          </w:tcPr>
          <w:p>
            <w:pPr>
              <w:spacing w:before="60" w:after="60"/>
              <w:rPr>
                <w:i/>
                <w:iCs/>
              </w:rPr>
            </w:pPr>
            <w:r>
              <w:rPr>
                <w:i/>
                <w:iCs/>
              </w:rPr>
              <w:t>Alternative Abläufe, die in der Abfolge der Schritte wesentlich vom Standardablauf abweichen, können hier separat beschrieben werden. Die Trennung in Standardablauf und alternative Abläufe hilft, die Standardvariante einfach und übersichtlich zu halten.</w:t>
            </w:r>
          </w:p>
          <w:p>
            <w:pPr>
              <w:spacing w:before="60" w:after="60"/>
              <w:rPr>
                <w:i/>
                <w:iCs/>
              </w:rPr>
            </w:pPr>
            <w:r>
              <w:rPr>
                <w:i/>
                <w:iCs/>
              </w:rPr>
              <w:t>Verschiedene Alternativabläufe werden durch Zwischenüberschriften getrennt.</w:t>
            </w:r>
          </w:p>
          <w:p>
            <w:pPr>
              <w:spacing w:before="60" w:after="60"/>
              <w:rPr>
                <w:i/>
                <w:iCs/>
              </w:rPr>
            </w:pPr>
            <w:r>
              <w:rPr>
                <w:i/>
                <w:iCs/>
              </w:rPr>
              <w:t>Der Bezug zu den Schrittnummern im Standardablauf wird informell hergestellt. Z.B. „Anstelle von Schritt 3-5 selektiert der Benutzer...“ oder „Im Falle einer Zweitmeldung zeigt das Anwendungssystem...“. Eine formale Zuordnung anhand einer Nummernsystematik wie z.B. „3b“ o.ä. würde die Lesbarkeit deutlich erschweren. In Alternativabläufen werden nur die abweichenden Schritte beschrieben. Es wird davon ausgegangen, dass alle nicht beschriebenen Schritte gleich dem Standardablauf sind.</w:t>
            </w:r>
          </w:p>
          <w:p>
            <w:pPr>
              <w:spacing w:before="60" w:after="60"/>
              <w:rPr>
                <w:i/>
                <w:iCs/>
              </w:rPr>
            </w:pPr>
            <w:r>
              <w:rPr>
                <w:i/>
                <w:iCs/>
              </w:rPr>
              <w:t>Kleinere Varianten, welche die Komplexität nur unwesentlich erhöhen (z.B. „sonst bricht das System die Verarbeitung mit einem sprechenden Fehler ab.“), können in den Standardablauf mit eingearbeitet werden.</w:t>
            </w:r>
          </w:p>
          <w:p>
            <w:pPr>
              <w:spacing w:before="60" w:after="60"/>
            </w:pPr>
            <w:r>
              <w:rPr>
                <w:i/>
                <w:iCs/>
              </w:rPr>
              <w:t>Die Erweiterungen beschreiben alternative Abläufe des Standardablaufs. Falls eine Erweiterung zu komplex wird, sollte sie als eigener Anwendungsfall beschrieben werden.</w:t>
            </w:r>
            <w:r>
              <w:t xml:space="preserve"> </w:t>
            </w:r>
          </w:p>
          <w:p>
            <w:pPr>
              <w:spacing w:before="60" w:after="60"/>
              <w:rPr>
                <w:i/>
                <w:iCs/>
              </w:rPr>
            </w:pPr>
            <w:r>
              <w:rPr>
                <w:i/>
              </w:rPr>
              <w:t xml:space="preserve">Typische alternative Abläufe sind Fehlerfälle. </w:t>
            </w:r>
            <w:r>
              <w:rPr>
                <w:i/>
                <w:iCs/>
              </w:rPr>
              <w:t>Fehlerfälle sind Abweichungen zum Standardablauf, die zu einem unerwünschten Verlauf oder gar zum Abbruch des Anwendungsfalls führen.</w:t>
            </w:r>
          </w:p>
        </w:tc>
      </w:tr>
    </w:tbl>
    <w:p>
      <w:pPr>
        <w:spacing w:after="120"/>
        <w:rPr>
          <w:i/>
          <w:iCs/>
        </w:rPr>
      </w:pPr>
      <w:r>
        <w:rPr>
          <w:i/>
          <w:iCs/>
        </w:rPr>
        <w:t xml:space="preserve">Das Anwendungsfalldiagramm zeigt den Anwendungsfall im Mittelpunkt. Zugehörige Dialoge, Entitäten, Nachbarschnittstellen und Nichtfunktionale Anforderungen sind um den Anwendungsfall angeordnet. Nichtfunktionale Anforderungen kann man hier darstellen, sofern sie spezifisch für den Anwendungsfall sind. Übergreifende Nichtfunktionale Anforderungen stellt man </w:t>
      </w:r>
      <w:r>
        <w:rPr>
          <w:b/>
          <w:i/>
          <w:iCs/>
        </w:rPr>
        <w:t>nicht</w:t>
      </w:r>
      <w:r>
        <w:rPr>
          <w:i/>
          <w:iCs/>
        </w:rPr>
        <w:t xml:space="preserve"> bei jedem Anwendungsfall dar.</w:t>
      </w:r>
    </w:p>
    <w:p>
      <w:pPr>
        <w:spacing w:after="120"/>
        <w:rPr>
          <w:i/>
          <w:iCs/>
        </w:rPr>
      </w:pPr>
      <w:r>
        <w:rPr>
          <w:i/>
          <w:iCs/>
        </w:rPr>
        <w:br w:type="page"/>
      </w:r>
      <w:r>
        <w:rPr>
          <w:i/>
          <w:noProof/>
        </w:rPr>
        <w:drawing>
          <wp:inline distT="0" distB="0" distL="0" distR="0">
            <wp:extent cx="5963285" cy="2099310"/>
            <wp:effectExtent l="0" t="0" r="0" b="0"/>
            <wp:docPr id="11" name="Bild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0"/>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963285" cy="2099310"/>
                    </a:xfrm>
                    <a:prstGeom prst="rect">
                      <a:avLst/>
                    </a:prstGeom>
                    <a:noFill/>
                    <a:ln>
                      <a:noFill/>
                    </a:ln>
                  </pic:spPr>
                </pic:pic>
              </a:graphicData>
            </a:graphic>
          </wp:inline>
        </w:drawing>
      </w:r>
    </w:p>
    <w:p>
      <w:pPr>
        <w:spacing w:after="120"/>
        <w:jc w:val="center"/>
      </w:pPr>
      <w:r>
        <w:rPr>
          <w:iCs/>
        </w:rPr>
        <w:t>AWF_Erstmeldung_durchführen – DIA_Erstmeldung_durchführen – ETY_Person – ETY_Maßnahme – NST_Meldung_durchführen</w:t>
      </w:r>
    </w:p>
    <w:p>
      <w:pPr>
        <w:pStyle w:val="Beschriftung"/>
      </w:pPr>
      <w:r>
        <w:t xml:space="preserve">Abbildung </w:t>
      </w:r>
      <w:fldSimple w:instr=" SEQ Abbildung \* ARABIC ">
        <w:r>
          <w:rPr>
            <w:noProof/>
          </w:rPr>
          <w:t>10</w:t>
        </w:r>
      </w:fldSimple>
      <w:r>
        <w:t>: AWF_Erstmeldung_durchführen</w:t>
      </w:r>
    </w:p>
    <w:p>
      <w:pPr>
        <w:pStyle w:val="EA-Beschreibung"/>
      </w:pPr>
      <w:r>
        <w:t>Erstellung des Diagramms im Enterprise Architect:</w:t>
      </w:r>
    </w:p>
    <w:p>
      <w:pPr>
        <w:pStyle w:val="EA-Beschreibung"/>
      </w:pPr>
      <w:r>
        <w:t>Für die Verbindung zwischen dem Anwendungsfall und den zugehörigen Elementen nutzt man Stereotypen, die die Art der Verbindung beschreiben. Diese Verbinder stammen durchgängig aus dem UML-Profile für Anwendungsfälle.</w:t>
      </w:r>
    </w:p>
    <w:p>
      <w:pPr>
        <w:pStyle w:val="EA-Beschreibung"/>
      </w:pPr>
      <w:r>
        <w:t>Zur Darstellung von Dialogen zieht man den Ordner des Dialogs in das Diagramm, färbt ihn ein und blendet seine Inhalte aus.</w:t>
      </w:r>
    </w:p>
    <w:p>
      <w:pPr>
        <w:pStyle w:val="EA-Beschreibung"/>
      </w:pPr>
      <w:r>
        <w:t>Zur Verknüpfung der angebotenen Nachbarschnittstellen mit dem Anwendungsfall verwendet man den Ver-binder „FührtAnwendungsfallAus“ aus dem UML-Profil „Nachbarschnittstellen“ - Der gleichnamige Ver-binder aus  dem UML-Profil „Anwendungsfälle“ ist nur für die Verbindung zwischen Akteur und Anwendungsfall vorgesehen.</w:t>
      </w:r>
    </w:p>
    <w:p>
      <w:pPr>
        <w:pStyle w:val="EA-Beschreibung"/>
      </w:pPr>
      <w:r>
        <w:t>Zur Verknüpfung mit anderen, aufgerufenen Anwendungsfällen verwendet man den Verbinder „VerwendetAnwendungsfall“.</w:t>
      </w:r>
    </w:p>
    <w:p>
      <w:pPr>
        <w:pStyle w:val="EA-Beschreibung"/>
      </w:pPr>
      <w:r>
        <w:t>Schließlich blendet man alle Verbinder zwischen Elementen aus, außer sie verbinden die Elemente mit dem Anwendungsfall.</w:t>
      </w:r>
    </w:p>
    <w:p>
      <w:pPr>
        <w:rPr>
          <w:i/>
        </w:rPr>
      </w:pPr>
      <w:r>
        <w:rPr>
          <w:i/>
        </w:rPr>
        <w:br w:type="page"/>
        <w:t xml:space="preserve">Für den Ablauf komplexer Anwendungsfälle kann man zusätzlich ein </w:t>
      </w:r>
      <w:r>
        <w:rPr>
          <w:i/>
          <w:iCs/>
        </w:rPr>
        <w:t xml:space="preserve">UML-Aktivitätendiagramm </w:t>
      </w:r>
      <w:r>
        <w:rPr>
          <w:i/>
        </w:rPr>
        <w:t>zeichnen. Das UML-Diagramm enthält die Abfolge der aufgerufenen Benutzeraktionen, Anwendungsfunktionen und deren Schnittstellenaufrufe. Dabei wird nur die oberste Ebene der Anwendungsfunktionen dargestellt. Wenn also eine Anwendungsfunktion selbst weitere aufruft, wird dies nicht dargestellt.</w:t>
      </w:r>
    </w:p>
    <w:p>
      <w:pPr>
        <w:keepNext/>
        <w:rPr>
          <w:i/>
        </w:rPr>
      </w:pPr>
      <w:r>
        <w:rPr>
          <w:i/>
          <w:noProof/>
        </w:rPr>
        <w:drawing>
          <wp:inline distT="0" distB="0" distL="0" distR="0">
            <wp:extent cx="5971540" cy="2727325"/>
            <wp:effectExtent l="0" t="0" r="0" b="0"/>
            <wp:docPr id="12" name="Bild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1"/>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971540" cy="2727325"/>
                    </a:xfrm>
                    <a:prstGeom prst="rect">
                      <a:avLst/>
                    </a:prstGeom>
                    <a:noFill/>
                    <a:ln>
                      <a:noFill/>
                    </a:ln>
                  </pic:spPr>
                </pic:pic>
              </a:graphicData>
            </a:graphic>
          </wp:inline>
        </w:drawing>
      </w:r>
    </w:p>
    <w:p>
      <w:pPr>
        <w:keepNext/>
        <w:jc w:val="center"/>
      </w:pPr>
      <w:r>
        <w:t>AFU_Meldeberechtigung_prüfen – AFU_Meldung_speichern – NST_Behördendaten_lesen</w:t>
      </w:r>
    </w:p>
    <w:p>
      <w:pPr>
        <w:pStyle w:val="Beschriftung"/>
      </w:pPr>
      <w:r>
        <w:t xml:space="preserve">Abbildung </w:t>
      </w:r>
      <w:fldSimple w:instr=" SEQ Abbildung \* ARABIC ">
        <w:r>
          <w:rPr>
            <w:noProof/>
          </w:rPr>
          <w:t>11</w:t>
        </w:r>
      </w:fldSimple>
      <w:r>
        <w:t>: AWF_Erstmeldung_durchführen</w:t>
      </w:r>
    </w:p>
    <w:p>
      <w:pPr>
        <w:pStyle w:val="EA-Beschreibung"/>
      </w:pPr>
      <w:r>
        <w:t>Erstellung des Diagramms im Enterprise Architect: Start und Ende des Ablaufs sowie Verzweigungen erstellt man mit dem UML-Profil „Anwendungsfälle“.</w:t>
      </w:r>
    </w:p>
    <w:p>
      <w:pPr>
        <w:pStyle w:val="EA-Beschreibung"/>
      </w:pPr>
      <w:r>
        <w:t>Man zieht die Elemente „Anwendungsfunktion“ und ggf. „Benutzeraktion“ in ein Activity Diagramm und benennt sie passend. Den Verbinder „Ablauf“ nutzt man für die Übergänge zwischen den Elementen, außer bei Nachbarschnittstellen. Die Stereotypen im der Ablauf-Verbinder blendet man aus.</w:t>
      </w:r>
    </w:p>
    <w:p>
      <w:pPr>
        <w:pStyle w:val="EA-Beschreibung"/>
      </w:pPr>
      <w:r>
        <w:t>Mit [Strg] + Mausklick kann man Ecken in den Verbindern hinzufügen.</w:t>
      </w:r>
    </w:p>
    <w:p>
      <w:pPr>
        <w:pStyle w:val="EA-Beschreibung"/>
      </w:pPr>
      <w:r>
        <w:t>Im Kontextmenü des Verbinders gibt man mit „General &gt; Name“ in eckigen Klammern an, welche Bedingung nach einer Verzweigung gilt. Wenn die Verzweigung sich aus dem Ergebnis einer Anwendungsfunktion ergibt, kann man das Verzweigungssymbol weglassen, um die Lesbarkeit zu erhöhen. Im Kontextmenü der Start- und Ende-Elemente entfernt man unter „Properties…“ den Stereotyp „Start“ bzw. „Ende“ und setzt den Namen fachlich sinnvoll.</w:t>
      </w:r>
    </w:p>
    <w:p/>
    <w:p>
      <w:pPr>
        <w:pStyle w:val="berschrift3"/>
      </w:pPr>
      <w:bookmarkStart w:id="101" w:name="_Toc488819224"/>
      <w:r>
        <w:t xml:space="preserve">Anwendungsfall </w:t>
      </w:r>
      <w:bookmarkStart w:id="102" w:name="_Toc317168465"/>
      <w:bookmarkStart w:id="103" w:name="_Toc317363747"/>
      <w:bookmarkStart w:id="104" w:name="_Toc317364577"/>
      <w:bookmarkStart w:id="105" w:name="_Toc317365002"/>
      <w:bookmarkStart w:id="106" w:name="_Toc317365134"/>
      <w:bookmarkStart w:id="107" w:name="_Toc317368512"/>
      <w:bookmarkStart w:id="108" w:name="_Toc317168467"/>
      <w:bookmarkStart w:id="109" w:name="_Toc317363749"/>
      <w:bookmarkStart w:id="110" w:name="_Toc317364579"/>
      <w:bookmarkStart w:id="111" w:name="_Toc317368514"/>
      <w:bookmarkStart w:id="112" w:name="_Toc317168468"/>
      <w:bookmarkStart w:id="113" w:name="_Toc317363750"/>
      <w:bookmarkStart w:id="114" w:name="_Toc317364580"/>
      <w:bookmarkStart w:id="115" w:name="_Toc317365005"/>
      <w:bookmarkStart w:id="116" w:name="_Toc317365137"/>
      <w:bookmarkStart w:id="117" w:name="_Toc317368515"/>
      <w:bookmarkStart w:id="118" w:name="_Toc144614346"/>
      <w:bookmarkStart w:id="119" w:name="_Toc144614840"/>
      <w:bookmarkStart w:id="120" w:name="_Toc144614347"/>
      <w:bookmarkStart w:id="121" w:name="_Toc14461484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r>
        <w:t>AWF_&lt;Bezeichnung des Anwendungsfalls</w:t>
      </w:r>
      <w:bookmarkEnd w:id="101"/>
    </w:p>
    <w:p>
      <w:pPr>
        <w:rPr>
          <w:i/>
        </w:rPr>
      </w:pPr>
      <w:r>
        <w:rPr>
          <w:i/>
        </w:rPr>
        <w:t>Dieser Abschnitt ist ein Platzhalter, um zu verdeutlichen, dass ab hier weitere Anwendungsfälle der Anwendungskomponente zu beschreiben sind.</w:t>
      </w:r>
    </w:p>
    <w:p>
      <w:pPr>
        <w:pStyle w:val="berschrift3"/>
      </w:pPr>
      <w:bookmarkStart w:id="122" w:name="_Toc488819225"/>
      <w:r>
        <w:t>Batch BAT_&lt;Bezeichnung des Batches&gt;</w:t>
      </w:r>
      <w:bookmarkEnd w:id="122"/>
    </w:p>
    <w:p>
      <w:pPr>
        <w:rPr>
          <w:i/>
          <w:iCs/>
        </w:rPr>
      </w:pPr>
      <w:r>
        <w:rPr>
          <w:i/>
          <w:iCs/>
        </w:rPr>
        <w:t>Ein Batchprogramm realisiert eine eigenständige Verarbeitung ohne direkten Benutzereingriff während des Ablaufes. In diesem Abschnitt wird ein batchverarbeitendes Programm des Anwendungssystems fachlich beschrieben (Konfiguration, Abhängigkeiten, Datenvolumen, etc.). Batches können Anwendungsfälle für die Durchführung ihrer Fachlichkeit aufrufen oder eigenständig arbeiten; die Definition und das Layout der Ein- und Ausgaben</w:t>
      </w:r>
      <w:r>
        <w:rPr>
          <w:i/>
        </w:rPr>
        <w:t xml:space="preserve"> werden in den Vor- und Nachbedingungen des Batches beschrieben und bei entsprechender Komplexität als Druckstücke erfasst</w:t>
      </w:r>
      <w:r>
        <w:rPr>
          <w:i/>
          <w:iCs/>
        </w:rPr>
        <w:t>. Falls Abhängigkeiten zwischen Batchprogrammen bezüglich des Aufrufs bestehen, werden diese als Teil des Diagramms der Anwendungskomponente dargestellt.</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tc>
          <w:tcPr>
            <w:tcW w:w="2638" w:type="dxa"/>
            <w:shd w:val="clear" w:color="auto" w:fill="C0C0C0"/>
          </w:tcPr>
          <w:p>
            <w:pPr>
              <w:spacing w:before="60" w:after="60"/>
              <w:jc w:val="left"/>
              <w:rPr>
                <w:b/>
                <w:bCs/>
              </w:rPr>
            </w:pPr>
            <w:r>
              <w:rPr>
                <w:b/>
                <w:bCs/>
              </w:rPr>
              <w:t>Kurzbeschreibung</w:t>
            </w:r>
          </w:p>
        </w:tc>
        <w:tc>
          <w:tcPr>
            <w:tcW w:w="6710" w:type="dxa"/>
          </w:tcPr>
          <w:p>
            <w:pPr>
              <w:spacing w:before="60" w:after="60"/>
              <w:rPr>
                <w:i/>
                <w:iCs/>
              </w:rPr>
            </w:pPr>
            <w:r>
              <w:rPr>
                <w:i/>
                <w:iCs/>
              </w:rPr>
              <w:t>Ein oder zwei Sätze zum Zweck des Batches.</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710" w:type="dxa"/>
          </w:tcPr>
          <w:p>
            <w:pPr>
              <w:spacing w:before="60" w:after="60"/>
              <w:rPr>
                <w:i/>
                <w:iCs/>
              </w:rPr>
            </w:pPr>
            <w:r>
              <w:rPr>
                <w:i/>
                <w:iCs/>
              </w:rPr>
              <w:t>Welche Kriterien müssen für den Start des Batchprogrammes erfüllt sein? Welche Kriterien müssen für die Verarbeitung eines Datensatzes erfüllt sein? Mit welchen Parametern kann das Batchprogramm gestartet werden?</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710" w:type="dxa"/>
          </w:tcPr>
          <w:p>
            <w:pPr>
              <w:spacing w:before="60" w:after="60"/>
              <w:rPr>
                <w:i/>
                <w:iCs/>
              </w:rPr>
            </w:pPr>
            <w:r>
              <w:rPr>
                <w:i/>
                <w:iCs/>
              </w:rPr>
              <w:t>Was muss nach Ablauf des Batchprogramms erfüllt sein? Welche Ausgänge kann der Ablauf des Batchprogramms haben?</w:t>
            </w:r>
          </w:p>
        </w:tc>
      </w:tr>
      <w:tr>
        <w:tc>
          <w:tcPr>
            <w:tcW w:w="2638" w:type="dxa"/>
            <w:shd w:val="clear" w:color="auto" w:fill="C0C0C0"/>
          </w:tcPr>
          <w:p>
            <w:pPr>
              <w:spacing w:before="60" w:after="60"/>
              <w:jc w:val="left"/>
              <w:rPr>
                <w:b/>
                <w:bCs/>
              </w:rPr>
            </w:pPr>
            <w:r>
              <w:rPr>
                <w:b/>
                <w:bCs/>
              </w:rPr>
              <w:t>Erwartetes</w:t>
            </w:r>
            <w:r>
              <w:rPr>
                <w:b/>
                <w:bCs/>
              </w:rPr>
              <w:br/>
              <w:t>Datenvolumen</w:t>
            </w:r>
          </w:p>
        </w:tc>
        <w:tc>
          <w:tcPr>
            <w:tcW w:w="6710" w:type="dxa"/>
          </w:tcPr>
          <w:p>
            <w:pPr>
              <w:spacing w:before="60" w:after="60"/>
            </w:pPr>
            <w:r>
              <w:rPr>
                <w:i/>
                <w:iCs/>
              </w:rPr>
              <w:t>Wie viele Datensätze werden maximal und durchschnittlich vom Batchprogramm verarbeitet?</w:t>
            </w:r>
          </w:p>
        </w:tc>
      </w:tr>
      <w:tr>
        <w:tc>
          <w:tcPr>
            <w:tcW w:w="2638" w:type="dxa"/>
            <w:shd w:val="clear" w:color="auto" w:fill="C0C0C0"/>
          </w:tcPr>
          <w:p>
            <w:pPr>
              <w:spacing w:before="60" w:after="60"/>
              <w:jc w:val="left"/>
              <w:rPr>
                <w:b/>
                <w:bCs/>
              </w:rPr>
            </w:pPr>
            <w:r>
              <w:rPr>
                <w:b/>
                <w:bCs/>
              </w:rPr>
              <w:t>Wiederanlauffähigkeit</w:t>
            </w:r>
          </w:p>
        </w:tc>
        <w:tc>
          <w:tcPr>
            <w:tcW w:w="6710" w:type="dxa"/>
          </w:tcPr>
          <w:p>
            <w:pPr>
              <w:spacing w:before="60" w:after="60"/>
              <w:rPr>
                <w:i/>
                <w:iCs/>
              </w:rPr>
            </w:pPr>
            <w:r>
              <w:rPr>
                <w:i/>
                <w:iCs/>
              </w:rPr>
              <w:t>Wie flexibel reagiert der Batch im Fehlerfall? Kann er erneut gestartet werden? Bearbeitet er dann nur die zuvor noch nicht bearbeiteten Daten (Restart), oder bearbeitet er dann alle Daten noch einmal (Rerun)?</w:t>
            </w:r>
          </w:p>
        </w:tc>
      </w:tr>
      <w:tr>
        <w:tc>
          <w:tcPr>
            <w:tcW w:w="2638" w:type="dxa"/>
            <w:shd w:val="clear" w:color="auto" w:fill="C0C0C0"/>
          </w:tcPr>
          <w:p>
            <w:pPr>
              <w:spacing w:before="60" w:after="60"/>
              <w:jc w:val="left"/>
              <w:rPr>
                <w:b/>
                <w:bCs/>
              </w:rPr>
            </w:pPr>
            <w:r>
              <w:rPr>
                <w:b/>
                <w:bCs/>
              </w:rPr>
              <w:t>Standardablauf</w:t>
            </w:r>
          </w:p>
        </w:tc>
        <w:tc>
          <w:tcPr>
            <w:tcW w:w="6710" w:type="dxa"/>
          </w:tcPr>
          <w:p>
            <w:pPr>
              <w:spacing w:before="60" w:after="60"/>
              <w:rPr>
                <w:i/>
                <w:iCs/>
              </w:rPr>
            </w:pPr>
            <w:r>
              <w:rPr>
                <w:i/>
                <w:iCs/>
              </w:rPr>
              <w:t>Wie erfolgt die Ablaufsteuerung? Welche Abhängigkeiten gibt es zu anderen Batches? In welcher Reihenfolge und mit welcher Priorität erfolgt der Ablauf?</w:t>
            </w:r>
          </w:p>
        </w:tc>
      </w:tr>
      <w:tr>
        <w:tc>
          <w:tcPr>
            <w:tcW w:w="2638" w:type="dxa"/>
            <w:shd w:val="clear" w:color="auto" w:fill="C0C0C0"/>
          </w:tcPr>
          <w:p>
            <w:pPr>
              <w:spacing w:before="60" w:after="60"/>
              <w:jc w:val="left"/>
              <w:rPr>
                <w:b/>
                <w:bCs/>
              </w:rPr>
            </w:pPr>
            <w:r>
              <w:rPr>
                <w:b/>
                <w:bCs/>
              </w:rPr>
              <w:t>Alternative Abläufe</w:t>
            </w:r>
          </w:p>
        </w:tc>
        <w:tc>
          <w:tcPr>
            <w:tcW w:w="6710" w:type="dxa"/>
          </w:tcPr>
          <w:p>
            <w:pPr>
              <w:spacing w:before="60" w:after="60"/>
              <w:rPr>
                <w:i/>
                <w:iCs/>
              </w:rPr>
            </w:pPr>
            <w:r>
              <w:rPr>
                <w:i/>
                <w:iCs/>
              </w:rPr>
              <w:t>Welche alternativen Abläufe zum Standardablauf sind möglich (z.B. technische Fehlerbehandlung)?</w:t>
            </w:r>
          </w:p>
        </w:tc>
      </w:tr>
      <w:tr>
        <w:tc>
          <w:tcPr>
            <w:tcW w:w="2638" w:type="dxa"/>
            <w:shd w:val="clear" w:color="auto" w:fill="C0C0C0"/>
          </w:tcPr>
          <w:p>
            <w:pPr>
              <w:spacing w:before="60" w:after="60"/>
              <w:jc w:val="left"/>
              <w:rPr>
                <w:b/>
                <w:bCs/>
              </w:rPr>
            </w:pPr>
            <w:r>
              <w:rPr>
                <w:b/>
                <w:bCs/>
              </w:rPr>
              <w:t>Verwendete</w:t>
            </w:r>
            <w:r>
              <w:rPr>
                <w:b/>
                <w:bCs/>
              </w:rPr>
              <w:br/>
              <w:t>Anwendungsfälle</w:t>
            </w:r>
          </w:p>
        </w:tc>
        <w:tc>
          <w:tcPr>
            <w:tcW w:w="6710" w:type="dxa"/>
          </w:tcPr>
          <w:p>
            <w:pPr>
              <w:spacing w:before="60" w:after="60"/>
              <w:rPr>
                <w:i/>
                <w:iCs/>
              </w:rPr>
            </w:pPr>
            <w:r>
              <w:rPr>
                <w:i/>
                <w:iCs/>
              </w:rPr>
              <w:t>Welche Anwendungsfälle werden im Ablauf des Batchprogrammes aufgerufen?</w:t>
            </w:r>
          </w:p>
        </w:tc>
      </w:tr>
    </w:tbl>
    <w:p>
      <w:pPr>
        <w:rPr>
          <w:i/>
          <w:iCs/>
        </w:rPr>
      </w:pPr>
      <w:r>
        <w:rPr>
          <w:i/>
          <w:iCs/>
        </w:rPr>
        <w:t>Falls Abhängigkeiten zwischen dem Batch und Anwendungsfällen oder anderen verknüpften Elemente der Spezifikation bestehen, werden diese in einem UML-Komponentendiagramm dargestellt.</w:t>
      </w:r>
    </w:p>
    <w:p>
      <w:pPr>
        <w:jc w:val="center"/>
      </w:pPr>
      <w:r>
        <w:rPr>
          <w:noProof/>
        </w:rPr>
        <w:drawing>
          <wp:inline distT="0" distB="0" distL="0" distR="0">
            <wp:extent cx="5685155" cy="3848735"/>
            <wp:effectExtent l="0" t="0" r="0" b="0"/>
            <wp:docPr id="13" name="Bild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2"/>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685155" cy="3848735"/>
                    </a:xfrm>
                    <a:prstGeom prst="rect">
                      <a:avLst/>
                    </a:prstGeom>
                    <a:noFill/>
                    <a:ln>
                      <a:noFill/>
                    </a:ln>
                  </pic:spPr>
                </pic:pic>
              </a:graphicData>
            </a:graphic>
          </wp:inline>
        </w:drawing>
      </w:r>
    </w:p>
    <w:p>
      <w:pPr>
        <w:jc w:val="center"/>
      </w:pPr>
      <w:r>
        <w:t>AWF_Erstmeldung_durchführen – BAT_Meldungsdatei_verarbeiten – DRU_Meldedatei – DRU_Meldedatei_Ergebnis</w:t>
      </w:r>
    </w:p>
    <w:p>
      <w:pPr>
        <w:pStyle w:val="Beschriftung"/>
      </w:pPr>
      <w:r>
        <w:t xml:space="preserve">Abbildung </w:t>
      </w:r>
      <w:fldSimple w:instr=" SEQ Abbildung \* ARABIC ">
        <w:r>
          <w:rPr>
            <w:noProof/>
          </w:rPr>
          <w:t>12</w:t>
        </w:r>
      </w:fldSimple>
      <w:r>
        <w:t>: BAT_Meldungsdatei_verarbeiten</w:t>
      </w:r>
    </w:p>
    <w:p>
      <w:pPr>
        <w:pStyle w:val="EA-Beschreibung"/>
      </w:pPr>
      <w:r>
        <w:t>Erstellung des Diagramms im Enterprise Architect:</w:t>
      </w:r>
    </w:p>
    <w:p>
      <w:pPr>
        <w:pStyle w:val="EA-Beschreibung"/>
      </w:pPr>
      <w:r>
        <w:t>Man zieht den Batch aus dem UML-Profil „Batches“ in ein Component Diagramm. Die Verbinder nutzt man analog zum Anwendungsfalldiagramm. Zusätzlich nutzt man den Verbinder mit Stereotyp „FührtAus“ aus dem UML-Profil, um den Batch mit dem Anwendungsfall zu verbinden.</w:t>
      </w:r>
    </w:p>
    <w:p>
      <w:pPr>
        <w:pStyle w:val="berschrift3"/>
      </w:pPr>
      <w:bookmarkStart w:id="123" w:name="_Toc488819226"/>
      <w:r>
        <w:t>BAT_&lt;Bezeichnung des Batches&gt;</w:t>
      </w:r>
      <w:bookmarkEnd w:id="123"/>
    </w:p>
    <w:p>
      <w:r>
        <w:rPr>
          <w:i/>
        </w:rPr>
        <w:t>Dieser Abschnitt ist ein Platzhalter, um zu verdeutlichen, dass ab hier weitere Batches zu beschreiben sind.</w:t>
      </w:r>
    </w:p>
    <w:p>
      <w:pPr>
        <w:pStyle w:val="berschrift3"/>
      </w:pPr>
      <w:bookmarkStart w:id="124" w:name="_Toc488819227"/>
      <w:r>
        <w:t>Anwendungsfunktionen</w:t>
      </w:r>
      <w:bookmarkEnd w:id="124"/>
    </w:p>
    <w:p>
      <w:pPr>
        <w:rPr>
          <w:i/>
          <w:iCs/>
        </w:rPr>
      </w:pPr>
      <w:r>
        <w:rPr>
          <w:i/>
          <w:iCs/>
        </w:rPr>
        <w:t>Die Spezifikation der Anwendungsfunktion beschreibt Ausschnitte von Anwendungsfällen, die ohne Unterbrechung vom Anwendungssystem, gegebenenfalls unter Benutzung von Schnittstellen zum Nachbarsystem, ausgeführt werden. Die Beschreibung der Anwendungsfunktionen ähnelt der Beschreibung eines Anwendungsfalls. Dabei wird wesentlich stärker auf den Aspekt "Wie soll das Anwendungssystem eine Verarbeitung durchführen" eingegangen. Die Anwendungsfunktionen sind der Komponente zugeordnet, deren Funktionalität sie umsetzen.</w:t>
      </w:r>
    </w:p>
    <w:p>
      <w:pPr>
        <w:rPr>
          <w:i/>
          <w:iCs/>
        </w:rPr>
      </w:pPr>
      <w:r>
        <w:rPr>
          <w:i/>
          <w:iCs/>
        </w:rPr>
        <w:t>Anwendungsfunktionen dienen der Beschreibung komplexer Verarbeitungen, die vom Anwendungssystem im Rahmen eines Anwendungsfalls durchgeführt werden. Die Anwendungsfälle verweisen auf die Anwendungsfunktionen.</w:t>
      </w:r>
    </w:p>
    <w:p>
      <w:pPr>
        <w:rPr>
          <w:i/>
          <w:iCs/>
        </w:rPr>
      </w:pPr>
      <w:r>
        <w:rPr>
          <w:i/>
          <w:iCs/>
        </w:rPr>
        <w:t>Die Ausgliederung von Anwendungsfunktionen aus den Anwendungsfällen bringt die folgenden Vorteile:</w:t>
      </w:r>
    </w:p>
    <w:p>
      <w:pPr>
        <w:numPr>
          <w:ilvl w:val="0"/>
          <w:numId w:val="5"/>
        </w:numPr>
        <w:rPr>
          <w:i/>
          <w:iCs/>
        </w:rPr>
      </w:pPr>
      <w:r>
        <w:rPr>
          <w:i/>
          <w:iCs/>
        </w:rPr>
        <w:t>Gliederung langer Anwendungsfall-Abläufe: Die Anwendungsfallspezifikation wird kompakter und leichter lesbar.</w:t>
      </w:r>
    </w:p>
    <w:p>
      <w:pPr>
        <w:numPr>
          <w:ilvl w:val="0"/>
          <w:numId w:val="5"/>
        </w:numPr>
        <w:rPr>
          <w:i/>
          <w:iCs/>
        </w:rPr>
      </w:pPr>
      <w:r>
        <w:rPr>
          <w:i/>
          <w:iCs/>
        </w:rPr>
        <w:t>Wiederverwendung von Funktionalität: Mehrfach verwendete Funktionalität wird in Anwendungsfunktionen nur einmal beschrieben.</w:t>
      </w:r>
    </w:p>
    <w:p>
      <w:pPr>
        <w:rPr>
          <w:i/>
          <w:iCs/>
        </w:rPr>
      </w:pPr>
      <w:r>
        <w:rPr>
          <w:i/>
          <w:iCs/>
        </w:rPr>
        <w:t>Anwendungsfunktionen können einander aufrufen. Hierarchische Beziehungen zwischen Anwendungsfunktionen werden nicht empfohlen. Sie erschweren die Verständlichkeit und nehmen das Design vorweg.</w:t>
      </w:r>
    </w:p>
    <w:p>
      <w:pPr>
        <w:rPr>
          <w:i/>
          <w:iCs/>
        </w:rPr>
      </w:pPr>
      <w:r>
        <w:rPr>
          <w:i/>
          <w:iCs/>
        </w:rPr>
        <w:t>Namen von Anwendungsfunktionen beginnen mit dem Präfix „AFU_“ gefolgt von einem Substantiv, einem Unterstrich und einem Verb, z.B. „AFU_Treffer_bewerten“. Falls nötig kann noch ein Adjektiv vor das Substantiv gestellt werden. Der Titel ist ein im Kontext der Anwendung eindeutiger Bezeichner der Anwendungsfunktion. Er sollte so formuliert sein, dass er möglichst prägnant Hinweise auf Akteur und Ziel gibt.</w:t>
      </w:r>
    </w:p>
    <w:p>
      <w:pPr>
        <w:pStyle w:val="berschrift4"/>
      </w:pPr>
      <w:bookmarkStart w:id="125" w:name="_Toc488819228"/>
      <w:r>
        <w:t>Anwendungsfunktion AFU_&lt;Bezeichnung der Anwendungsfunktion&gt;</w:t>
      </w:r>
      <w:bookmarkEnd w:id="125"/>
    </w:p>
    <w:p>
      <w:pPr>
        <w:rPr>
          <w:i/>
          <w:iCs/>
        </w:rPr>
      </w:pPr>
      <w:r>
        <w:rPr>
          <w:i/>
          <w:iCs/>
        </w:rPr>
        <w:t>Anwendungsfunktionen werden gemäß der nachfolgenden Tabelle textuell beschrieben.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tc>
          <w:tcPr>
            <w:tcW w:w="2638" w:type="dxa"/>
            <w:shd w:val="clear" w:color="auto" w:fill="C0C0C0"/>
          </w:tcPr>
          <w:p>
            <w:pPr>
              <w:spacing w:before="60" w:after="60"/>
              <w:jc w:val="left"/>
              <w:rPr>
                <w:b/>
                <w:bCs/>
              </w:rPr>
            </w:pPr>
            <w:r>
              <w:rPr>
                <w:b/>
                <w:bCs/>
              </w:rPr>
              <w:t>Kurzbeschreibung</w:t>
            </w:r>
          </w:p>
        </w:tc>
        <w:tc>
          <w:tcPr>
            <w:tcW w:w="6710" w:type="dxa"/>
          </w:tcPr>
          <w:p>
            <w:pPr>
              <w:spacing w:before="60" w:after="60"/>
              <w:rPr>
                <w:i/>
                <w:iCs/>
              </w:rPr>
            </w:pPr>
            <w:r>
              <w:rPr>
                <w:i/>
                <w:iCs/>
              </w:rPr>
              <w:t>Ein erster Überblick darüber, was die Funktion tut.</w:t>
            </w:r>
          </w:p>
        </w:tc>
      </w:tr>
      <w:tr>
        <w:tc>
          <w:tcPr>
            <w:tcW w:w="2638" w:type="dxa"/>
            <w:shd w:val="clear" w:color="auto" w:fill="C0C0C0"/>
          </w:tcPr>
          <w:p>
            <w:pPr>
              <w:spacing w:before="60" w:after="60"/>
              <w:jc w:val="left"/>
              <w:rPr>
                <w:b/>
                <w:bCs/>
              </w:rPr>
            </w:pPr>
            <w:r>
              <w:rPr>
                <w:b/>
                <w:bCs/>
              </w:rPr>
              <w:t>Vorbedingungen/</w:t>
            </w:r>
            <w:r>
              <w:rPr>
                <w:b/>
                <w:bCs/>
              </w:rPr>
              <w:br/>
              <w:t>auslösendes Ereignis</w:t>
            </w:r>
          </w:p>
        </w:tc>
        <w:tc>
          <w:tcPr>
            <w:tcW w:w="6710" w:type="dxa"/>
          </w:tcPr>
          <w:p>
            <w:pPr>
              <w:spacing w:before="60" w:after="60"/>
            </w:pPr>
            <w:r>
              <w:rPr>
                <w:i/>
                <w:iCs/>
              </w:rPr>
              <w:t>Vorbedingungen sind alle Randbedingungen, die für die Durchführung der Funktion erfüllt sein müssen und innerhalb der Funktion nicht mehr geprüft werden. Außerdem werden hier auch die Eingaben (Parameter etc.) angegeben.</w:t>
            </w:r>
          </w:p>
        </w:tc>
      </w:tr>
      <w:tr>
        <w:tc>
          <w:tcPr>
            <w:tcW w:w="2638" w:type="dxa"/>
            <w:shd w:val="clear" w:color="auto" w:fill="C0C0C0"/>
          </w:tcPr>
          <w:p>
            <w:pPr>
              <w:spacing w:before="60" w:after="60"/>
              <w:jc w:val="left"/>
              <w:rPr>
                <w:b/>
                <w:bCs/>
              </w:rPr>
            </w:pPr>
            <w:r>
              <w:rPr>
                <w:b/>
                <w:bCs/>
              </w:rPr>
              <w:t>Nachbedingungen/</w:t>
            </w:r>
            <w:r>
              <w:rPr>
                <w:b/>
                <w:bCs/>
              </w:rPr>
              <w:br/>
              <w:t>Ergebnisse</w:t>
            </w:r>
          </w:p>
        </w:tc>
        <w:tc>
          <w:tcPr>
            <w:tcW w:w="6710" w:type="dxa"/>
          </w:tcPr>
          <w:p>
            <w:pPr>
              <w:spacing w:before="60" w:after="60"/>
              <w:rPr>
                <w:i/>
                <w:iCs/>
              </w:rPr>
            </w:pPr>
            <w:r>
              <w:rPr>
                <w:i/>
                <w:iCs/>
              </w:rPr>
              <w:t>Das Ergebnis ist die Außenwirkung der Ausführung der Funktion. Hierbei kann Bezug auf die Konsistenzbedingungen und den Ablauf genommen werden. Triviale Ergebnisse ("Ablauf ist abgelaufen", "Konsistenzbedingungen geprüft") können entfallen.</w:t>
            </w:r>
          </w:p>
        </w:tc>
      </w:tr>
      <w:tr>
        <w:tc>
          <w:tcPr>
            <w:tcW w:w="2638" w:type="dxa"/>
            <w:shd w:val="clear" w:color="auto" w:fill="C0C0C0"/>
          </w:tcPr>
          <w:p>
            <w:pPr>
              <w:spacing w:before="60" w:after="60"/>
              <w:jc w:val="left"/>
              <w:rPr>
                <w:b/>
                <w:bCs/>
              </w:rPr>
            </w:pPr>
            <w:r>
              <w:rPr>
                <w:b/>
                <w:bCs/>
              </w:rPr>
              <w:t>Standardablauf</w:t>
            </w:r>
          </w:p>
        </w:tc>
        <w:tc>
          <w:tcPr>
            <w:tcW w:w="6710" w:type="dxa"/>
          </w:tcPr>
          <w:p>
            <w:pPr>
              <w:spacing w:before="60" w:after="60"/>
              <w:rPr>
                <w:i/>
                <w:iCs/>
              </w:rPr>
            </w:pPr>
            <w:r>
              <w:rPr>
                <w:i/>
                <w:iCs/>
              </w:rPr>
              <w:t>Der Standardablauf beschreibt die einzelnen Teilschritte zur Durchführung der Funktion. Insbesondere können hier andere Anwendungsfunktionen aufgerufen werden. Hier erfolgt auch die Beschreibung komplexer Verarbeitungsschritte.</w:t>
            </w:r>
          </w:p>
          <w:p>
            <w:pPr>
              <w:spacing w:before="60" w:after="60"/>
              <w:rPr>
                <w:i/>
                <w:iCs/>
              </w:rPr>
            </w:pPr>
            <w:r>
              <w:rPr>
                <w:i/>
                <w:iCs/>
              </w:rPr>
              <w:t>Die einzelnen Schritte werden durchnummeriert</w:t>
            </w:r>
          </w:p>
        </w:tc>
      </w:tr>
      <w:tr>
        <w:trPr>
          <w:cantSplit/>
        </w:trPr>
        <w:tc>
          <w:tcPr>
            <w:tcW w:w="2638" w:type="dxa"/>
            <w:shd w:val="clear" w:color="auto" w:fill="C0C0C0"/>
          </w:tcPr>
          <w:p>
            <w:pPr>
              <w:spacing w:before="60" w:after="60"/>
              <w:jc w:val="left"/>
              <w:rPr>
                <w:b/>
                <w:bCs/>
              </w:rPr>
            </w:pPr>
            <w:r>
              <w:rPr>
                <w:b/>
                <w:bCs/>
              </w:rPr>
              <w:t>Alternative Abläufe</w:t>
            </w:r>
          </w:p>
        </w:tc>
        <w:tc>
          <w:tcPr>
            <w:tcW w:w="6710" w:type="dxa"/>
          </w:tcPr>
          <w:p>
            <w:pPr>
              <w:keepLines/>
              <w:spacing w:before="60" w:after="60"/>
              <w:rPr>
                <w:i/>
                <w:iCs/>
              </w:rPr>
            </w:pPr>
            <w:r>
              <w:rPr>
                <w:i/>
                <w:iCs/>
              </w:rPr>
              <w:t>Alternative Abläufe der Anwendungsfunktion (z.B. Fehlersituationen) können hier beschrieben werden.</w:t>
            </w:r>
          </w:p>
        </w:tc>
      </w:tr>
    </w:tbl>
    <w:p/>
    <w:p>
      <w:pPr>
        <w:pStyle w:val="berschrift4"/>
      </w:pPr>
      <w:bookmarkStart w:id="126" w:name="_Toc488819229"/>
      <w:r>
        <w:t>Anwendungsfunktion AFU_&lt;Bezeichnung der Anwendungsfunktion&gt;</w:t>
      </w:r>
      <w:bookmarkEnd w:id="126"/>
    </w:p>
    <w:p>
      <w:r>
        <w:rPr>
          <w:i/>
        </w:rPr>
        <w:t>Dieser Abschnitt ist ein Platzhalter, um zu verdeutlichen, dass ab hier weitere Anwendungsfunktionen zu beschreiben sind.</w:t>
      </w:r>
    </w:p>
    <w:p/>
    <w:p>
      <w:pPr>
        <w:pStyle w:val="berschrift2"/>
      </w:pPr>
      <w:bookmarkStart w:id="127" w:name="_Toc317363758"/>
      <w:bookmarkStart w:id="128" w:name="_Toc317364588"/>
      <w:bookmarkStart w:id="129" w:name="_Toc317368523"/>
      <w:bookmarkStart w:id="130" w:name="_Toc488819230"/>
      <w:bookmarkEnd w:id="127"/>
      <w:bookmarkEnd w:id="128"/>
      <w:bookmarkEnd w:id="129"/>
      <w:r>
        <w:t>Anwendungskomponente ANK_&lt;Bezeichnung der Anwendungskomponente</w:t>
      </w:r>
      <w:bookmarkEnd w:id="130"/>
    </w:p>
    <w:p>
      <w:pPr>
        <w:rPr>
          <w:i/>
        </w:rPr>
      </w:pPr>
      <w:r>
        <w:rPr>
          <w:i/>
        </w:rPr>
        <w:t>Dieser Abschnitt ist ein Platzhalter, um zu verdeutlichen, dass ab hier weitere Anwendungskomponenten zu beschreiben sind.</w:t>
      </w:r>
    </w:p>
    <w:p>
      <w:pPr>
        <w:rPr>
          <w:i/>
        </w:rPr>
      </w:pPr>
    </w:p>
    <w:p>
      <w:pPr>
        <w:pStyle w:val="berschrift1"/>
      </w:pPr>
      <w:bookmarkStart w:id="131" w:name="_Toc317168486"/>
      <w:bookmarkStart w:id="132" w:name="_Toc317363769"/>
      <w:bookmarkStart w:id="133" w:name="_Toc317364599"/>
      <w:bookmarkStart w:id="134" w:name="_Toc317368534"/>
      <w:bookmarkStart w:id="135" w:name="_Toc317168487"/>
      <w:bookmarkStart w:id="136" w:name="_Toc317363770"/>
      <w:bookmarkStart w:id="137" w:name="_Toc317364600"/>
      <w:bookmarkStart w:id="138" w:name="_Toc317368535"/>
      <w:bookmarkStart w:id="139" w:name="_Toc317168488"/>
      <w:bookmarkStart w:id="140" w:name="_Toc317363771"/>
      <w:bookmarkStart w:id="141" w:name="_Toc317364601"/>
      <w:bookmarkStart w:id="142" w:name="_Toc317368536"/>
      <w:bookmarkStart w:id="143" w:name="_Toc317168505"/>
      <w:bookmarkStart w:id="144" w:name="_Toc317363788"/>
      <w:bookmarkStart w:id="145" w:name="_Toc317364618"/>
      <w:bookmarkStart w:id="146" w:name="_Toc317368553"/>
      <w:bookmarkStart w:id="147" w:name="_Toc144614350"/>
      <w:bookmarkStart w:id="148" w:name="_Toc144614844"/>
      <w:bookmarkStart w:id="149" w:name="_Toc140575666"/>
      <w:bookmarkStart w:id="150" w:name="_Toc317168507"/>
      <w:bookmarkStart w:id="151" w:name="_Toc317363790"/>
      <w:bookmarkStart w:id="152" w:name="_Toc317364620"/>
      <w:bookmarkStart w:id="153" w:name="_Toc317368555"/>
      <w:bookmarkStart w:id="154" w:name="_Toc488819231"/>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r>
        <w:t>Datenmodell</w:t>
      </w:r>
      <w:bookmarkEnd w:id="154"/>
    </w:p>
    <w:p>
      <w:pPr>
        <w:rPr>
          <w:i/>
          <w:iCs/>
        </w:rPr>
      </w:pPr>
      <w:r>
        <w:rPr>
          <w:i/>
          <w:iCs/>
        </w:rPr>
        <w:t>Das logische Datenmodell beschreibt die fachliche Sicht auf die Daten des Anwendungssystems. Es enthält Entitätstypen und ihre Beziehungen zueinander. Jeder Entitätstyp enthält Attribute und ihre fachlichen Datentypen (siehe Abschnitt „Datentypen“). Den Inhalt des logischen Datenmodells bildet eine Beschreibung der Entitätstypen, Assoziationen und Attribute.</w:t>
      </w:r>
    </w:p>
    <w:p>
      <w:pPr>
        <w:rPr>
          <w:i/>
          <w:iCs/>
        </w:rPr>
      </w:pPr>
      <w:r>
        <w:rPr>
          <w:i/>
          <w:iCs/>
        </w:rPr>
        <w:t>Die Entitätstypen, Assoziationen und eventuell auch die Attribute (mit ihren Datentypen) werden in einem Diagramm grafisch dargestellt. Das Diagramm dient dazu, einen ersten Überblick über die Entitätstypen zu bekommen und die Assoziationen „auf einen Blick“ zu erfassen. Die textuelle Beschreibung enthält die Beschreibungen der Entitätstypen und Attribute.</w:t>
      </w:r>
    </w:p>
    <w:p>
      <w:pPr>
        <w:rPr>
          <w:i/>
          <w:iCs/>
        </w:rPr>
      </w:pPr>
      <w:r>
        <w:rPr>
          <w:i/>
          <w:iCs/>
        </w:rPr>
        <w:t>Für die Darstellung der Attribute spricht, dass so im Diagramm alle Informationen des Datenmodells bis auf die beschreibenden Texte enthalten sind. Gegen die Darstellung der Attribute spricht, dass diese dann im Diagramm redundant zur tabellarischen Darstellung gepflegt werden müssen. Hier kann es zu Inkonsistenzen kommen. Daher muss abgewogen werden, ob die Darstellung der Attribute wirklich notwendig ist.</w:t>
      </w:r>
    </w:p>
    <w:p>
      <w:pPr>
        <w:rPr>
          <w:i/>
          <w:iCs/>
        </w:rPr>
      </w:pPr>
      <w:r>
        <w:rPr>
          <w:i/>
          <w:iCs/>
        </w:rPr>
        <w:t>Bei großen Datenmodellen werden Modellkomponenten definiert. 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p>
      <w:r>
        <w:rPr>
          <w:i/>
          <w:iCs/>
        </w:rPr>
        <w:t>Modellkomponenten werden in der textuellen Beschreibung durch entsprechende Benennung der Abschnitte gekennzeichnet.</w:t>
      </w:r>
    </w:p>
    <w:p>
      <w:pPr>
        <w:rPr>
          <w:i/>
          <w:iCs/>
        </w:rPr>
      </w:pPr>
      <w:r>
        <w:rPr>
          <w:i/>
          <w:iCs/>
        </w:rPr>
        <w:t>Für die Modellierung gilt generell: Nicht die ganze Welt modellieren, sondern nur den für die zu realisierende Anwendung wichtigen fachlichen Ausschnitt. Die technische Umsetzung berücksichtigen wir hier nicht.</w:t>
      </w:r>
    </w:p>
    <w:p>
      <w:pPr>
        <w:rPr>
          <w:i/>
          <w:iCs/>
        </w:rPr>
      </w:pPr>
      <w:r>
        <w:rPr>
          <w:i/>
          <w:iCs/>
        </w:rPr>
        <w:t>Ein Entitätstyp hat eine Reihe von Eigenschaften, die dabei helfen können zu entscheiden, ob eine Information als Entitätstyp (oder als Datentyp bzw. Menge von Attributen) zu modellieren ist:</w:t>
      </w:r>
    </w:p>
    <w:p>
      <w:pPr>
        <w:numPr>
          <w:ilvl w:val="0"/>
          <w:numId w:val="8"/>
        </w:numPr>
        <w:rPr>
          <w:i/>
          <w:iCs/>
        </w:rPr>
      </w:pPr>
      <w:r>
        <w:rPr>
          <w:i/>
          <w:iCs/>
        </w:rPr>
        <w:t>Er ist autonom, d.h. für sich allein lebensfähig (Gegenbeispiel: Alter einer Person).</w:t>
      </w:r>
    </w:p>
    <w:p>
      <w:pPr>
        <w:numPr>
          <w:ilvl w:val="0"/>
          <w:numId w:val="8"/>
        </w:numPr>
        <w:rPr>
          <w:i/>
          <w:iCs/>
        </w:rPr>
      </w:pPr>
      <w:r>
        <w:rPr>
          <w:i/>
          <w:iCs/>
        </w:rPr>
        <w:t>Die Entitäten sind (über einen Schlüssel) eindeutig identifizierbar.</w:t>
      </w:r>
    </w:p>
    <w:p>
      <w:pPr>
        <w:numPr>
          <w:ilvl w:val="0"/>
          <w:numId w:val="8"/>
        </w:numPr>
        <w:rPr>
          <w:i/>
          <w:iCs/>
        </w:rPr>
      </w:pPr>
      <w:r>
        <w:rPr>
          <w:i/>
          <w:iCs/>
        </w:rPr>
        <w:t>Er ist unverzichtbar, d.h. bestimmte Abläufe lassen sich nicht mehr darstellen, wenn man auf den Entitätstyp verzichtet.</w:t>
      </w:r>
    </w:p>
    <w:p>
      <w:pPr>
        <w:numPr>
          <w:ilvl w:val="0"/>
          <w:numId w:val="8"/>
        </w:numPr>
        <w:rPr>
          <w:i/>
          <w:iCs/>
        </w:rPr>
      </w:pPr>
      <w:r>
        <w:rPr>
          <w:i/>
          <w:iCs/>
        </w:rPr>
        <w:t>Man kann und will ihn durch Attribute näher beschreiben (Gegenbeispiel: Anzahl Mitarbeiter).</w:t>
      </w:r>
    </w:p>
    <w:p>
      <w:pPr>
        <w:numPr>
          <w:ilvl w:val="0"/>
          <w:numId w:val="8"/>
        </w:numPr>
        <w:rPr>
          <w:i/>
          <w:iCs/>
        </w:rPr>
      </w:pPr>
      <w:r>
        <w:rPr>
          <w:i/>
          <w:iCs/>
        </w:rPr>
        <w:t>Man kann und will ihn anlegen und löschen (siehe Eigenschaft autonom).</w:t>
      </w:r>
    </w:p>
    <w:p>
      <w:pPr>
        <w:pStyle w:val="berschrift2"/>
      </w:pPr>
      <w:bookmarkStart w:id="155" w:name="_Toc488819232"/>
      <w:r>
        <w:t xml:space="preserve">Modellkomponente </w:t>
      </w:r>
      <w:bookmarkStart w:id="156" w:name="_Ref144882004"/>
      <w:r>
        <w:t>MKO_&lt;Name der Modellkomponente&gt;</w:t>
      </w:r>
      <w:bookmarkEnd w:id="155"/>
      <w:bookmarkEnd w:id="156"/>
    </w:p>
    <w:p>
      <w:pPr>
        <w:rPr>
          <w:i/>
        </w:rPr>
      </w:pPr>
      <w:r>
        <w:rPr>
          <w:i/>
        </w:rPr>
        <w:t>Namen von Modellkomponenten beginnen mit dem Präfix „MKO_“ gefolgt von einem Substantiv, z.B. „MKO_Behörden“. Falls nötig kann noch ein Adjektiv vor das Substantiv gestellt werden.</w:t>
      </w:r>
    </w:p>
    <w:p>
      <w:r>
        <w:rPr>
          <w:i/>
        </w:rPr>
        <w:t xml:space="preserve">Hier wird kurz textuell beschrieben, bezüglich welcher fachlichen Logik die Entitätstypen eine Modellkomponente bilden. Ein UML-Klassendiagramm enthält alle Entitäten mit Attributen und Assoziationen zwischen diesen. Fachliche Schlüsselattribute müssen im UML-Klassendiagramm hervorgehoben werden (in </w:t>
      </w:r>
      <w:r>
        <w:rPr>
          <w:i/>
        </w:rPr>
        <w:fldChar w:fldCharType="begin"/>
      </w:r>
      <w:r>
        <w:rPr>
          <w:i/>
        </w:rPr>
        <w:instrText xml:space="preserve"> REF  _Ref157591233 \h  \* MERGEFORMAT </w:instrText>
      </w:r>
      <w:r>
        <w:rPr>
          <w:i/>
        </w:rPr>
      </w:r>
      <w:r>
        <w:rPr>
          <w:i/>
        </w:rPr>
        <w:fldChar w:fldCharType="separate"/>
      </w:r>
      <w:r>
        <w:rPr>
          <w:i/>
        </w:rPr>
        <w:t>ETY_Sachverhalt</w:t>
      </w:r>
      <w:r>
        <w:t xml:space="preserve"> – ETY_Sachverhalt_Typ1 – ETY_Sachverhalt_Typ2 – ETY_Person – ETY_Protokolleintrag</w:t>
      </w:r>
    </w:p>
    <w:p>
      <w:pPr>
        <w:rPr>
          <w:i/>
        </w:rPr>
      </w:pPr>
      <w:r>
        <w:t xml:space="preserve">Abbildung </w:t>
      </w:r>
      <w:r>
        <w:rPr>
          <w:noProof/>
        </w:rPr>
        <w:t>13</w:t>
      </w:r>
      <w:r>
        <w:rPr>
          <w:i/>
        </w:rPr>
        <w:fldChar w:fldCharType="end"/>
      </w:r>
      <w:r>
        <w:rPr>
          <w:i/>
        </w:rPr>
        <w:t xml:space="preserve"> durch die Abtrennung &lt;&lt;Schlüsselattribut&gt;&gt;).</w:t>
      </w:r>
    </w:p>
    <w:p>
      <w:r>
        <w:rPr>
          <w:i/>
        </w:rPr>
        <w:t>Modellkomponenten fremder Entitätstypen, die in dem Übersichtsdiagramm der Modellkomponente referenziert werden, sind unterschiedlich zu kennzeichnen (in</w:t>
      </w:r>
      <w:r>
        <w:rPr>
          <w:i/>
        </w:rPr>
        <w:fldChar w:fldCharType="begin"/>
      </w:r>
      <w:r>
        <w:rPr>
          <w:i/>
        </w:rPr>
        <w:instrText xml:space="preserve"> REF _Ref157591233 \h  \* MERGEFORMAT </w:instrText>
      </w:r>
      <w:r>
        <w:rPr>
          <w:i/>
        </w:rPr>
      </w:r>
      <w:r>
        <w:rPr>
          <w:i/>
        </w:rPr>
        <w:fldChar w:fldCharType="separate"/>
      </w:r>
      <w:r>
        <w:rPr>
          <w:i/>
        </w:rPr>
        <w:t xml:space="preserve">ETY_Sachverhalt </w:t>
      </w:r>
      <w:r>
        <w:t>– ETY_Sachverhalt_Typ1 – ETY_Sachverhalt_Typ2 – ETY_Person – ETY_Protokolleintrag</w:t>
      </w:r>
    </w:p>
    <w:p>
      <w:pPr>
        <w:rPr>
          <w:i/>
        </w:rPr>
      </w:pPr>
      <w:r>
        <w:t xml:space="preserve">Abbildung </w:t>
      </w:r>
      <w:r>
        <w:rPr>
          <w:noProof/>
        </w:rPr>
        <w:t>13</w:t>
      </w:r>
      <w:r>
        <w:rPr>
          <w:i/>
        </w:rPr>
        <w:fldChar w:fldCharType="end"/>
      </w:r>
      <w:r>
        <w:rPr>
          <w:i/>
        </w:rPr>
        <w:t xml:space="preserve"> weiß dargestellt). Ebenso sind transiente Entitätstypen im Übersichtsdiagramm kenntlich zu machen (z.B. durch kursiv geschriebenen Entitätsnamen).</w:t>
      </w:r>
    </w:p>
    <w:p>
      <w:pPr>
        <w:spacing w:after="120"/>
        <w:jc w:val="center"/>
      </w:pPr>
      <w:r>
        <w:t xml:space="preserve"> </w:t>
      </w:r>
      <w:r>
        <w:rPr>
          <w:noProof/>
        </w:rPr>
        <w:drawing>
          <wp:inline distT="0" distB="0" distL="0" distR="0">
            <wp:extent cx="5295265" cy="309308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295265" cy="3093085"/>
                    </a:xfrm>
                    <a:prstGeom prst="rect">
                      <a:avLst/>
                    </a:prstGeom>
                    <a:noFill/>
                    <a:ln>
                      <a:noFill/>
                    </a:ln>
                  </pic:spPr>
                </pic:pic>
              </a:graphicData>
            </a:graphic>
          </wp:inline>
        </w:drawing>
      </w:r>
    </w:p>
    <w:p>
      <w:pPr>
        <w:spacing w:after="120"/>
        <w:jc w:val="center"/>
      </w:pPr>
      <w:bookmarkStart w:id="157" w:name="_Ref157591233"/>
      <w:r>
        <w:t>ETY_</w:t>
      </w:r>
      <w:bookmarkStart w:id="158" w:name="OLE_LINK6"/>
      <w:bookmarkStart w:id="159" w:name="OLE_LINK7"/>
      <w:r>
        <w:t xml:space="preserve">Sachverhalt – </w:t>
      </w:r>
      <w:bookmarkEnd w:id="158"/>
      <w:bookmarkEnd w:id="159"/>
      <w:r>
        <w:t>ETY_Sachverhalt_Typ1 – ETY_Sachverhalt_Typ2 – ETY_Person – ETY_Protokolleintrag</w:t>
      </w:r>
    </w:p>
    <w:p>
      <w:pPr>
        <w:pStyle w:val="Beschriftung"/>
      </w:pPr>
      <w:r>
        <w:t xml:space="preserve">Abbildung </w:t>
      </w:r>
      <w:fldSimple w:instr=" SEQ Abbildung \* ARABIC ">
        <w:r>
          <w:rPr>
            <w:noProof/>
          </w:rPr>
          <w:t>13</w:t>
        </w:r>
      </w:fldSimple>
      <w:bookmarkEnd w:id="157"/>
      <w:r>
        <w:t>: MKO_Bestand</w:t>
      </w:r>
    </w:p>
    <w:p>
      <w:pPr>
        <w:spacing w:after="120"/>
        <w:rPr>
          <w:i/>
        </w:rPr>
      </w:pPr>
      <w:r>
        <w:rPr>
          <w:i/>
        </w:rPr>
        <w:t>Wenn das Diagramm der Modellkomponente zu groß wird, kann man es auf mehrere Diagramme aufteilen. Oft ergibt sich im Datenmodell eine baumartige Struktur. Hier kann man zentrale Entitäten als „Brücke“ zwischen den Diagrammen nutzen, die man im ersten Diagramm darstellt, als kämen sie aus einer anderen Modellkomponente. Im zweiten Diagramm stellt man sie dann vollständig dar, inklusive der ihnen untergeordneten Entitäten des Baumes. Ein Beispiel dafür ist nachfolgend abgebildet.</w:t>
      </w:r>
    </w:p>
    <w:p>
      <w:pPr>
        <w:keepNext/>
        <w:jc w:val="center"/>
      </w:pPr>
      <w:r>
        <w:rPr>
          <w:noProof/>
        </w:rPr>
        <w:drawing>
          <wp:inline distT="0" distB="0" distL="0" distR="0">
            <wp:extent cx="4763135" cy="234569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763135" cy="23456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14</w:t>
        </w:r>
      </w:fldSimple>
      <w:r>
        <w:t>: Beispieldiagramm MKO_Bestand (alternativ): Übersicht</w:t>
      </w:r>
    </w:p>
    <w:p>
      <w:pPr>
        <w:keepNext/>
        <w:jc w:val="center"/>
      </w:pPr>
      <w:r>
        <w:t xml:space="preserve"> </w:t>
      </w:r>
      <w:r>
        <w:rPr>
          <w:noProof/>
        </w:rPr>
        <w:drawing>
          <wp:inline distT="0" distB="0" distL="0" distR="0">
            <wp:extent cx="5112385" cy="178117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112385" cy="178117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15</w:t>
        </w:r>
      </w:fldSimple>
      <w:r>
        <w:t>: Beispieldiagramm MKO_Bestand: Details</w:t>
      </w:r>
    </w:p>
    <w:p/>
    <w:p>
      <w:pPr>
        <w:pStyle w:val="EA-Beschreibung"/>
      </w:pPr>
      <w:r>
        <w:t>Erstellung des Diagramms im Enterprise Architect:</w:t>
      </w:r>
    </w:p>
    <w:p>
      <w:pPr>
        <w:pStyle w:val="EA-Beschreibung"/>
      </w:pPr>
      <w:r>
        <w:t>Man zieht die Entitätstypen aus dem UML-Profil „Datenmodell“ in ein Klassendiagramm, gibt ihnen Namen (mit Präfix „ETY_“) und falls gewünscht Attribute. Die Attribute haben ihrerseits jeweils Namen (mit Präfix „ATT_“) und Datentypen (mit Präfix „DTY_“).</w:t>
      </w:r>
    </w:p>
    <w:p>
      <w:pPr>
        <w:pStyle w:val="EA-Beschreibung"/>
      </w:pPr>
      <w:r>
        <w:t>Für die Verbinder nutzt man ebenfalls das UML-Profil. In der Source Role und Target Role kann man für die Enden der Assoziationen Multiplizitäten angeben. Wenn eine Assoziation ungerichtet ist, blendet man die Pfeilspitze übersetzen von „Navigability“ auf „unspecified“ in der Target Role aus.</w:t>
      </w:r>
    </w:p>
    <w:p>
      <w:pPr>
        <w:pStyle w:val="EA-Beschreibung"/>
      </w:pPr>
      <w:r>
        <w:t>Verknüpfte Entitäten aus anderen Modellkomponenten stellt man in diesem Diagramm weiß dar und blendet ihre Attribute aus. Es bietet sich hier an, die Namespaces ausnahmsweise darzustellen. So kann man sehen, aus welcher Modellkomponente die fremde Entität stammt.</w:t>
      </w:r>
    </w:p>
    <w:p>
      <w:pPr>
        <w:jc w:val="left"/>
        <w:rPr>
          <w:i/>
        </w:rPr>
      </w:pPr>
      <w:bookmarkStart w:id="160" w:name="_Toc317363795"/>
      <w:bookmarkStart w:id="161" w:name="_Toc317364625"/>
      <w:bookmarkStart w:id="162" w:name="_Toc317368560"/>
      <w:bookmarkStart w:id="163" w:name="_Ref144881962"/>
      <w:bookmarkEnd w:id="160"/>
      <w:bookmarkEnd w:id="161"/>
      <w:bookmarkEnd w:id="162"/>
      <w:r>
        <w:rPr>
          <w:i/>
        </w:rPr>
        <w:t>Assoziationen zwischen Entitäten können, falls ihre Bedeutung nicht intuitiv klar ist, unterhalb der Diagramme textuell beschrieben werden: Bei den Entitäten selbst werden Assoziationen nicht beschrieben.</w:t>
      </w:r>
    </w:p>
    <w:p>
      <w:pPr>
        <w:pStyle w:val="berschrift3"/>
      </w:pPr>
      <w:bookmarkStart w:id="164" w:name="_Toc488819233"/>
      <w:r>
        <w:t>Entitätstyp ETY_&lt;Bezeichnung des Entitätstypen&gt;</w:t>
      </w:r>
      <w:bookmarkEnd w:id="163"/>
      <w:bookmarkEnd w:id="164"/>
    </w:p>
    <w:p>
      <w:pPr>
        <w:spacing w:after="120"/>
      </w:pPr>
      <w:r>
        <w:rPr>
          <w:i/>
          <w:iCs/>
        </w:rPr>
        <w:t>Namen von Entitätstypen beginnen mit dem Präfix „ETY_“ gefolgt von einem Substantiv, z.B. „ETY_Person“. Falls nötig kann noch ein Adjektiv vor das Substantiv gestellt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tc>
          <w:tcPr>
            <w:tcW w:w="2591" w:type="dxa"/>
            <w:shd w:val="clear" w:color="auto" w:fill="C0C0C0"/>
          </w:tcPr>
          <w:p>
            <w:pPr>
              <w:spacing w:before="60" w:after="60"/>
              <w:jc w:val="left"/>
              <w:rPr>
                <w:b/>
                <w:bCs/>
              </w:rPr>
            </w:pPr>
            <w:r>
              <w:rPr>
                <w:b/>
                <w:bCs/>
              </w:rPr>
              <w:t>Kurzbeschreibung</w:t>
            </w:r>
          </w:p>
        </w:tc>
        <w:tc>
          <w:tcPr>
            <w:tcW w:w="6449" w:type="dxa"/>
          </w:tcPr>
          <w:p>
            <w:pPr>
              <w:spacing w:before="60" w:after="60"/>
              <w:rPr>
                <w:i/>
                <w:iCs/>
              </w:rPr>
            </w:pPr>
            <w:r>
              <w:rPr>
                <w:i/>
                <w:iCs/>
              </w:rPr>
              <w:t>Die Beschreibung des Entitätstyps ermöglicht dem Leser, den Namen der Entität und ihre Bedeutung zu verstehen. Für die Begriffserklärung können 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tc>
          <w:tcPr>
            <w:tcW w:w="2591" w:type="dxa"/>
            <w:tcBorders>
              <w:bottom w:val="single" w:sz="4" w:space="0" w:color="auto"/>
            </w:tcBorders>
            <w:shd w:val="clear" w:color="auto" w:fill="C0C0C0"/>
          </w:tcPr>
          <w:p>
            <w:pPr>
              <w:spacing w:before="60" w:after="60"/>
              <w:jc w:val="left"/>
              <w:rPr>
                <w:b/>
                <w:bCs/>
              </w:rPr>
            </w:pPr>
            <w:r>
              <w:rPr>
                <w:b/>
                <w:bCs/>
              </w:rPr>
              <w:t xml:space="preserve">Attribut </w:t>
            </w:r>
          </w:p>
        </w:tc>
        <w:tc>
          <w:tcPr>
            <w:tcW w:w="2348" w:type="dxa"/>
            <w:shd w:val="clear" w:color="auto" w:fill="C0C0C0"/>
          </w:tcPr>
          <w:p>
            <w:pPr>
              <w:spacing w:before="60" w:after="60"/>
              <w:rPr>
                <w:b/>
                <w:bCs/>
              </w:rPr>
            </w:pPr>
            <w:r>
              <w:rPr>
                <w:b/>
                <w:bCs/>
              </w:rPr>
              <w:t>Datentyp</w:t>
            </w:r>
          </w:p>
        </w:tc>
        <w:tc>
          <w:tcPr>
            <w:tcW w:w="4101" w:type="dxa"/>
            <w:shd w:val="clear" w:color="auto" w:fill="C0C0C0"/>
          </w:tcPr>
          <w:p>
            <w:pPr>
              <w:spacing w:before="60" w:after="60"/>
              <w:rPr>
                <w:b/>
                <w:bCs/>
              </w:rPr>
            </w:pPr>
            <w:r>
              <w:rPr>
                <w:b/>
                <w:bCs/>
              </w:rPr>
              <w:t>Bedeutung</w:t>
            </w:r>
          </w:p>
        </w:tc>
      </w:tr>
      <w:tr>
        <w:tc>
          <w:tcPr>
            <w:tcW w:w="2591" w:type="dxa"/>
            <w:shd w:val="clear" w:color="auto" w:fill="auto"/>
          </w:tcPr>
          <w:p>
            <w:pPr>
              <w:spacing w:before="60" w:after="60"/>
              <w:jc w:val="left"/>
              <w:rPr>
                <w:i/>
                <w:iCs/>
              </w:rPr>
            </w:pPr>
            <w:r>
              <w:rPr>
                <w:i/>
                <w:iCs/>
              </w:rPr>
              <w:t>Name des Attributs beginnend mit dem Präfix „ATT_“.</w:t>
            </w:r>
          </w:p>
        </w:tc>
        <w:tc>
          <w:tcPr>
            <w:tcW w:w="2348" w:type="dxa"/>
            <w:shd w:val="clear" w:color="auto" w:fill="auto"/>
          </w:tcPr>
          <w:p>
            <w:pPr>
              <w:spacing w:before="60" w:after="60"/>
              <w:rPr>
                <w:i/>
                <w:iCs/>
              </w:rPr>
            </w:pPr>
            <w:r>
              <w:rPr>
                <w:i/>
                <w:iCs/>
              </w:rPr>
              <w:t>Verweis auf den fachlichen Datentyp (siehe Abschnitt „Datentypen“) oder auf einen einfachen Datentyp („Zeichenkette“, „Ganzzahl“, „Fließkommazahl“ etc.).</w:t>
            </w:r>
          </w:p>
        </w:tc>
        <w:tc>
          <w:tcPr>
            <w:tcW w:w="4101" w:type="dxa"/>
            <w:shd w:val="clear" w:color="auto" w:fill="auto"/>
          </w:tcPr>
          <w:p>
            <w:pPr>
              <w:spacing w:before="60" w:after="60"/>
              <w:rPr>
                <w:i/>
                <w:iCs/>
              </w:rPr>
            </w:pPr>
            <w:r>
              <w:rPr>
                <w:i/>
                <w:iCs/>
              </w:rPr>
              <w:t>Die Beschreibung des Attributes sollte einen inhaltlichen Mehrwert bringen (also Beschreibungen wie „Datum ist das Datum der Buchung“ vermeiden).</w:t>
            </w:r>
          </w:p>
          <w:p>
            <w:pPr>
              <w:spacing w:before="60" w:after="60"/>
              <w:rPr>
                <w:i/>
                <w:iCs/>
              </w:rPr>
            </w:pPr>
            <w:r>
              <w:rPr>
                <w:i/>
                <w:iCs/>
              </w:rPr>
              <w:t>Es hat sich bewährt, die Beschreibung soweit möglich mit „Enthält“ zu beginnen.</w:t>
            </w:r>
          </w:p>
          <w:p>
            <w:pPr>
              <w:spacing w:before="60" w:after="60"/>
              <w:rPr>
                <w:i/>
                <w:iCs/>
              </w:rPr>
            </w:pPr>
            <w:r>
              <w:rPr>
                <w:i/>
                <w:iCs/>
              </w:rPr>
              <w:t>Folgende Fragestellungen können bei der Beschreibung helfen:</w:t>
            </w:r>
          </w:p>
          <w:p>
            <w:pPr>
              <w:numPr>
                <w:ilvl w:val="0"/>
                <w:numId w:val="7"/>
              </w:numPr>
              <w:tabs>
                <w:tab w:val="clear" w:pos="720"/>
                <w:tab w:val="num" w:pos="332"/>
              </w:tabs>
              <w:spacing w:before="60" w:after="60"/>
              <w:ind w:left="332"/>
              <w:rPr>
                <w:i/>
                <w:iCs/>
              </w:rPr>
            </w:pPr>
            <w:r>
              <w:rPr>
                <w:i/>
                <w:iCs/>
              </w:rPr>
              <w:t>Ist diese Information immer oder nur unter bestimmten Bedingungen vorhanden?</w:t>
            </w:r>
          </w:p>
          <w:p>
            <w:pPr>
              <w:numPr>
                <w:ilvl w:val="0"/>
                <w:numId w:val="7"/>
              </w:numPr>
              <w:tabs>
                <w:tab w:val="clear" w:pos="720"/>
                <w:tab w:val="num" w:pos="332"/>
              </w:tabs>
              <w:spacing w:before="60" w:after="60"/>
              <w:ind w:left="332"/>
              <w:rPr>
                <w:i/>
                <w:iCs/>
              </w:rPr>
            </w:pPr>
            <w:r>
              <w:rPr>
                <w:i/>
                <w:iCs/>
              </w:rPr>
              <w:t>Wann und wo entsteht diese Information?</w:t>
            </w:r>
          </w:p>
          <w:p>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pPr>
              <w:numPr>
                <w:ilvl w:val="0"/>
                <w:numId w:val="7"/>
              </w:numPr>
              <w:tabs>
                <w:tab w:val="clear" w:pos="720"/>
                <w:tab w:val="num" w:pos="332"/>
              </w:tabs>
              <w:spacing w:before="60" w:after="60"/>
              <w:ind w:left="332"/>
            </w:pPr>
            <w:r>
              <w:rPr>
                <w:i/>
                <w:iCs/>
              </w:rPr>
              <w:t>Für welchen Zeitraum bzw. bis zu welchem Zeitpunkt ist diese Information gültig?</w:t>
            </w:r>
          </w:p>
        </w:tc>
      </w:tr>
      <w:tr>
        <w:tc>
          <w:tcPr>
            <w:tcW w:w="2591" w:type="dxa"/>
            <w:shd w:val="clear" w:color="auto" w:fill="auto"/>
          </w:tcPr>
          <w:p>
            <w:pPr>
              <w:spacing w:before="60" w:after="60"/>
              <w:jc w:val="left"/>
              <w:rPr>
                <w:i/>
                <w:iCs/>
              </w:rPr>
            </w:pPr>
            <w:r>
              <w:rPr>
                <w:i/>
                <w:iCs/>
              </w:rPr>
              <w:t>Weitere Attribute in nachfolgenden Zeilen</w:t>
            </w:r>
          </w:p>
        </w:tc>
        <w:tc>
          <w:tcPr>
            <w:tcW w:w="2348" w:type="dxa"/>
            <w:shd w:val="clear" w:color="auto" w:fill="auto"/>
          </w:tcPr>
          <w:p>
            <w:pPr>
              <w:spacing w:before="60" w:after="60"/>
              <w:rPr>
                <w:i/>
                <w:iCs/>
              </w:rPr>
            </w:pPr>
            <w:r>
              <w:rPr>
                <w:i/>
                <w:iCs/>
              </w:rPr>
              <w:t>Weitere Datentypen</w:t>
            </w:r>
          </w:p>
        </w:tc>
        <w:tc>
          <w:tcPr>
            <w:tcW w:w="4101" w:type="dxa"/>
            <w:shd w:val="clear" w:color="auto" w:fill="auto"/>
          </w:tcPr>
          <w:p>
            <w:pPr>
              <w:spacing w:before="60" w:after="60"/>
              <w:rPr>
                <w:i/>
                <w:iCs/>
              </w:rPr>
            </w:pPr>
            <w:r>
              <w:rPr>
                <w:i/>
                <w:iCs/>
              </w:rPr>
              <w:t>Weitere Beschreibungen</w:t>
            </w:r>
          </w:p>
        </w:tc>
      </w:tr>
    </w:tbl>
    <w:p>
      <w:pPr>
        <w:pStyle w:val="berschrift3"/>
      </w:pPr>
      <w:bookmarkStart w:id="165" w:name="_Toc488819234"/>
      <w:r>
        <w:t>Entitätstyp ETY_&lt;Bezeichnung des Entitätstypen&gt;</w:t>
      </w:r>
      <w:bookmarkEnd w:id="165"/>
    </w:p>
    <w:p>
      <w:r>
        <w:rPr>
          <w:i/>
        </w:rPr>
        <w:t>Dieser Abschnitt ist ein Platzhalter, um zu verdeutlichen, dass ab hier weitere Entitätstypen der Modellkomponente zu beschreiben sind.</w:t>
      </w:r>
    </w:p>
    <w:p>
      <w:pPr>
        <w:pStyle w:val="berschrift2"/>
      </w:pPr>
      <w:bookmarkStart w:id="166" w:name="_Toc488819235"/>
      <w:r>
        <w:t>Modellkomponente MKO_&lt;Name der Modellkomponente&gt;</w:t>
      </w:r>
      <w:bookmarkEnd w:id="166"/>
    </w:p>
    <w:p>
      <w:r>
        <w:rPr>
          <w:i/>
        </w:rPr>
        <w:t>Dieser Abschnitt ist ein Platzhalter, um zu verdeutlichen, dass ab hier weitere Modellkomponenten mit ihren Entitätstypen zu beschreiben sind.</w:t>
      </w:r>
    </w:p>
    <w:p>
      <w:pPr>
        <w:pStyle w:val="berschrift2"/>
        <w:spacing w:after="120"/>
      </w:pPr>
      <w:bookmarkStart w:id="167" w:name="_Toc488819236"/>
      <w:r>
        <w:t>Datentypen</w:t>
      </w:r>
      <w:bookmarkEnd w:id="167"/>
    </w:p>
    <w:p>
      <w:pPr>
        <w:rPr>
          <w:i/>
          <w:iCs/>
        </w:rPr>
      </w:pPr>
      <w:r>
        <w:rPr>
          <w:i/>
          <w:iCs/>
        </w:rPr>
        <w:t>Fachliche Datentypen gruppieren Typen und Wertebereichsangaben von Attributen. Die Datentypen werden in einem Datentypverzeichnis verwaltet. Beispiele: ISBN, Fahrgestellnummer, Aufzählungstypen.</w:t>
      </w:r>
    </w:p>
    <w:p>
      <w:pPr>
        <w:spacing w:after="120"/>
        <w:rPr>
          <w:i/>
          <w:iCs/>
        </w:rPr>
      </w:pPr>
      <w:r>
        <w:rPr>
          <w:i/>
          <w:iCs/>
        </w:rPr>
        <w:t>Im Fall von trivialer Fachlichkeit (z.B. Beschreibungstexte, einfache Nummern) verzichten wir auf fachliche Datentypen und verwenden direkt die technischen Basistypen Zeichenkette, Ganzzahl, Kommazahl etc. Eigenschaften des Attributes und der Datentyp sollten voneinander getrennt werden.</w:t>
      </w:r>
    </w:p>
    <w:p>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p>
      <w:pPr>
        <w:spacing w:after="120"/>
        <w:rPr>
          <w:i/>
          <w:iCs/>
        </w:rPr>
      </w:pPr>
      <w:r>
        <w:rPr>
          <w:i/>
          <w:iCs/>
        </w:rPr>
        <w:t>Falls Datentypen für Schlüsselwerte verwendet werden, welche im Schlüsselverzeichnis abgelegt sind, so ist in der Beschreibung des Datentyps die Schlüsselkategorie des SVZ zu nennen. Falls die Werte nicht im Schlüsselverzeichnis abgelegt sind, so ist ein Kapitel im Anhang der Spezifikation zu referenzieren, in dem alle fachlichen Ausprägungen des Schlüssels genannt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tc>
          <w:tcPr>
            <w:tcW w:w="2111" w:type="dxa"/>
            <w:tcBorders>
              <w:bottom w:val="single" w:sz="4" w:space="0" w:color="auto"/>
            </w:tcBorders>
            <w:shd w:val="clear" w:color="auto" w:fill="C0C0C0"/>
          </w:tcPr>
          <w:p>
            <w:pPr>
              <w:keepNext/>
              <w:keepLines/>
              <w:spacing w:before="60" w:after="60"/>
              <w:jc w:val="left"/>
              <w:rPr>
                <w:b/>
                <w:bCs/>
              </w:rPr>
            </w:pPr>
            <w:r>
              <w:rPr>
                <w:b/>
                <w:bCs/>
              </w:rPr>
              <w:t>Datentyp</w:t>
            </w:r>
          </w:p>
        </w:tc>
        <w:tc>
          <w:tcPr>
            <w:tcW w:w="1187" w:type="dxa"/>
            <w:shd w:val="clear" w:color="auto" w:fill="C0C0C0"/>
          </w:tcPr>
          <w:p>
            <w:pPr>
              <w:spacing w:before="60" w:after="60"/>
              <w:rPr>
                <w:b/>
                <w:bCs/>
              </w:rPr>
            </w:pPr>
            <w:r>
              <w:rPr>
                <w:b/>
                <w:bCs/>
              </w:rPr>
              <w:t>Basistyp</w:t>
            </w:r>
          </w:p>
        </w:tc>
        <w:tc>
          <w:tcPr>
            <w:tcW w:w="3927" w:type="dxa"/>
            <w:tcBorders>
              <w:bottom w:val="single" w:sz="4" w:space="0" w:color="auto"/>
            </w:tcBorders>
            <w:shd w:val="clear" w:color="auto" w:fill="C0C0C0"/>
          </w:tcPr>
          <w:p>
            <w:pPr>
              <w:spacing w:before="60" w:after="60"/>
              <w:rPr>
                <w:b/>
                <w:bCs/>
              </w:rPr>
            </w:pPr>
            <w:r>
              <w:rPr>
                <w:b/>
                <w:bCs/>
              </w:rPr>
              <w:t>Bedeutung</w:t>
            </w:r>
          </w:p>
        </w:tc>
        <w:tc>
          <w:tcPr>
            <w:tcW w:w="2123" w:type="dxa"/>
            <w:tcBorders>
              <w:bottom w:val="single" w:sz="4" w:space="0" w:color="auto"/>
            </w:tcBorders>
            <w:shd w:val="clear" w:color="auto" w:fill="C0C0C0"/>
          </w:tcPr>
          <w:p>
            <w:pPr>
              <w:spacing w:before="60" w:after="60"/>
              <w:rPr>
                <w:b/>
                <w:bCs/>
              </w:rPr>
            </w:pPr>
            <w:r>
              <w:rPr>
                <w:b/>
                <w:bCs/>
              </w:rPr>
              <w:t>Wertebereich</w:t>
            </w:r>
          </w:p>
        </w:tc>
      </w:tr>
      <w:tr>
        <w:tc>
          <w:tcPr>
            <w:tcW w:w="2111" w:type="dxa"/>
            <w:shd w:val="clear" w:color="auto" w:fill="auto"/>
          </w:tcPr>
          <w:p>
            <w:pPr>
              <w:keepNext/>
              <w:keepLines/>
              <w:spacing w:before="60" w:after="60"/>
              <w:jc w:val="left"/>
              <w:rPr>
                <w:i/>
                <w:iCs/>
              </w:rPr>
            </w:pPr>
            <w:r>
              <w:rPr>
                <w:i/>
                <w:iCs/>
              </w:rPr>
              <w:t>Name des Datentyps beginnend mit dem Präfix „DTY_“.</w:t>
            </w:r>
          </w:p>
        </w:tc>
        <w:tc>
          <w:tcPr>
            <w:tcW w:w="1187" w:type="dxa"/>
            <w:shd w:val="clear" w:color="auto" w:fill="auto"/>
          </w:tcPr>
          <w:p>
            <w:pPr>
              <w:spacing w:before="60" w:after="60"/>
              <w:rPr>
                <w:i/>
                <w:iCs/>
              </w:rPr>
            </w:pPr>
            <w:r>
              <w:rPr>
                <w:i/>
                <w:iCs/>
              </w:rPr>
              <w:t>Technischer Basistyp wie „String“, „Integer, „Float“, „Alphanum“ oder ähnliche.</w:t>
            </w:r>
          </w:p>
        </w:tc>
        <w:tc>
          <w:tcPr>
            <w:tcW w:w="3927" w:type="dxa"/>
            <w:shd w:val="clear" w:color="auto" w:fill="auto"/>
          </w:tcPr>
          <w:p>
            <w:pPr>
              <w:spacing w:before="60" w:after="60"/>
              <w:rPr>
                <w:i/>
                <w:iCs/>
              </w:rPr>
            </w:pPr>
            <w:r>
              <w:rPr>
                <w:i/>
                <w:iCs/>
              </w:rPr>
              <w:t>Fachliche Bedeutung des Datentyps. Hier sollen auch Plausibilisierungen und Prüfungen beschrieben werden.</w:t>
            </w:r>
          </w:p>
        </w:tc>
        <w:tc>
          <w:tcPr>
            <w:tcW w:w="2123" w:type="dxa"/>
            <w:shd w:val="clear" w:color="auto" w:fill="auto"/>
          </w:tcPr>
          <w:p>
            <w:pPr>
              <w:spacing w:before="60" w:after="60"/>
              <w:rPr>
                <w:i/>
                <w:iCs/>
              </w:rPr>
            </w:pPr>
            <w:r>
              <w:rPr>
                <w:i/>
                <w:iCs/>
              </w:rPr>
              <w:t>Mögliche Ausprägungen des Datentyps.</w:t>
            </w:r>
          </w:p>
        </w:tc>
      </w:tr>
    </w:tbl>
    <w:p>
      <w:pPr>
        <w:pStyle w:val="berschrift1"/>
      </w:pPr>
      <w:bookmarkStart w:id="168" w:name="_Ref143000494"/>
      <w:bookmarkStart w:id="169" w:name="_Toc488819237"/>
      <w:r>
        <w:t>Dialoge</w:t>
      </w:r>
      <w:bookmarkEnd w:id="168"/>
      <w:bookmarkEnd w:id="169"/>
    </w:p>
    <w:p>
      <w:pPr>
        <w:rPr>
          <w:i/>
          <w:iCs/>
        </w:rPr>
      </w:pPr>
      <w:r>
        <w:rPr>
          <w:i/>
          <w:iCs/>
        </w:rPr>
        <w:t>In dem folgenden Abschnitt wird beschrieben, wie der Benutzer mit dem Anwendungssystem kommuniziert, d.h. welche Funktionen er wie in welchen Dialogen aufruft und welche Daten er pflegen kann. Die Beschreibung umfasst das statische Aussehen und das dynamische Verhalten der Dialoge.</w:t>
      </w:r>
    </w:p>
    <w:p>
      <w:pPr>
        <w:rPr>
          <w:i/>
          <w:iCs/>
        </w:rPr>
      </w:pPr>
      <w:r>
        <w:rPr>
          <w:i/>
          <w:iCs/>
        </w:rPr>
        <w:t>Der Begriff „Dialog“ bezeichnet die gesamte Benutzerschnittstelle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p>
      <w:pPr>
        <w:rPr>
          <w:i/>
          <w:iCs/>
        </w:rPr>
      </w:pPr>
      <w:r>
        <w:rPr>
          <w:i/>
          <w:iCs/>
        </w:rPr>
        <w:t>Eine „Maske“ entspricht einem Bildschirmbereich zur Bearbeitung eines Arbeitsschritts eines Anwendungsfalls, z.B. ein Fenster. Eine Maske entspricht in der grafischen Benutzungsschnittstelle meist genau einem Fenster. Die Übergänge zwischen den Masken bzw. Zuständen eines Dialoges werden textuell bzw. grafisch beschrieben.</w:t>
      </w:r>
    </w:p>
    <w:p>
      <w:pPr>
        <w:rPr>
          <w:i/>
          <w:iCs/>
        </w:rPr>
      </w:pPr>
      <w:r>
        <w:rPr>
          <w:i/>
          <w:iCs/>
        </w:rPr>
        <w:t>Wird die grafische Benutzeroberfläche innerhalb der Anwendungsfälle spezifiziert, hat das folgende Nachteile:</w:t>
      </w:r>
    </w:p>
    <w:p>
      <w:pPr>
        <w:numPr>
          <w:ilvl w:val="0"/>
          <w:numId w:val="9"/>
        </w:numPr>
        <w:rPr>
          <w:i/>
          <w:iCs/>
        </w:rPr>
      </w:pPr>
      <w:r>
        <w:rPr>
          <w:i/>
          <w:iCs/>
        </w:rPr>
        <w:t>Die Beschreibung der Anwendungsfälle wird sehr umfangreich und sehr detailliert und lenkt von der Beschreibung des fachlichen Ablaufes ab.</w:t>
      </w:r>
    </w:p>
    <w:p>
      <w:pPr>
        <w:numPr>
          <w:ilvl w:val="0"/>
          <w:numId w:val="9"/>
        </w:numPr>
        <w:rPr>
          <w:i/>
          <w:iCs/>
        </w:rPr>
      </w:pPr>
      <w:r>
        <w:rPr>
          <w:i/>
          <w:iCs/>
        </w:rPr>
        <w:t>Die Anwendungsfälle werden eventuell unnötigerweise zu detailliert beschrieben, da bestimmte Masken in mehreren Fällen benutzt werden und damit als separater Anwendungsfall ausgelagert werden können.</w:t>
      </w:r>
    </w:p>
    <w:p>
      <w:pPr>
        <w:rPr>
          <w:i/>
          <w:iCs/>
        </w:rPr>
      </w:pPr>
      <w:r>
        <w:rPr>
          <w:i/>
          <w:iCs/>
        </w:rPr>
        <w:t>Die Maskenbeschreibungen werden nach Anwendungskomponenten oder anderen fachlichen Kriterien gruppiert.</w:t>
      </w:r>
    </w:p>
    <w:p>
      <w:pPr>
        <w:pStyle w:val="berschrift2"/>
      </w:pPr>
      <w:bookmarkStart w:id="170" w:name="_Toc157592256"/>
      <w:bookmarkStart w:id="171" w:name="_Toc157826570"/>
      <w:bookmarkStart w:id="172" w:name="_Toc157592257"/>
      <w:bookmarkStart w:id="173" w:name="_Toc157826571"/>
      <w:bookmarkStart w:id="174" w:name="_Toc140476590"/>
      <w:bookmarkStart w:id="175" w:name="_Toc140476710"/>
      <w:bookmarkStart w:id="176" w:name="_Toc157592259"/>
      <w:bookmarkStart w:id="177" w:name="_Toc157826573"/>
      <w:bookmarkStart w:id="178" w:name="_Toc157592260"/>
      <w:bookmarkStart w:id="179" w:name="_Toc157826574"/>
      <w:bookmarkStart w:id="180" w:name="_Toc140476592"/>
      <w:bookmarkStart w:id="181" w:name="_Toc140476712"/>
      <w:bookmarkStart w:id="182" w:name="_Toc157592262"/>
      <w:bookmarkStart w:id="183" w:name="_Toc157826576"/>
      <w:bookmarkStart w:id="184" w:name="_Toc157592264"/>
      <w:bookmarkStart w:id="185" w:name="_Toc157826578"/>
      <w:bookmarkStart w:id="186" w:name="_Ref144882260"/>
      <w:bookmarkStart w:id="187" w:name="_Toc488819238"/>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r>
        <w:t>Dialog DIA_&lt;Bezeichnung des Dialogs&gt;</w:t>
      </w:r>
      <w:bookmarkEnd w:id="186"/>
      <w:bookmarkEnd w:id="187"/>
    </w:p>
    <w:p>
      <w:pPr>
        <w:rPr>
          <w:i/>
          <w:iCs/>
        </w:rPr>
      </w:pPr>
      <w:r>
        <w:rPr>
          <w:i/>
          <w:iCs/>
        </w:rPr>
        <w:t>Der Dialog wird kurz textuell beschrieben. Es folgt eine Übersicht der zum Dialog zugehörigen Masken und deren Navigationsmöglichkeiten untereinander. Die Abhängigkeiten der Masken zu den Entitäten des Datenmodells bezüglich Eingabe und Ausgabe werden grafisch in einem UML-Komponentendiagramm dargestellt.</w:t>
      </w:r>
    </w:p>
    <w:p>
      <w:pPr>
        <w:rPr>
          <w:i/>
          <w:iCs/>
        </w:rPr>
      </w:pPr>
      <w:r>
        <w:rPr>
          <w:i/>
          <w:iCs/>
        </w:rPr>
        <w:t>Namen von Dialogen beginnen mit „DIA_“ gefolgt von einem Substantiv und einem Verb, z.B. „DIA_Person_hinzufügen“. Falls nötig kann noch ein Adjektiv vor das Substantiv gestellt werden.</w:t>
      </w:r>
    </w:p>
    <w:p>
      <w:pPr>
        <w:jc w:val="center"/>
      </w:pPr>
      <w:r>
        <w:rPr>
          <w:noProof/>
        </w:rPr>
        <w:drawing>
          <wp:inline distT="0" distB="0" distL="0" distR="0">
            <wp:extent cx="2568575" cy="4349115"/>
            <wp:effectExtent l="0" t="0" r="0" b="0"/>
            <wp:docPr id="17" name="Bild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6"/>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568575" cy="4349115"/>
                    </a:xfrm>
                    <a:prstGeom prst="rect">
                      <a:avLst/>
                    </a:prstGeom>
                    <a:noFill/>
                    <a:ln>
                      <a:noFill/>
                    </a:ln>
                  </pic:spPr>
                </pic:pic>
              </a:graphicData>
            </a:graphic>
          </wp:inline>
        </w:drawing>
      </w:r>
    </w:p>
    <w:p>
      <w:pPr>
        <w:jc w:val="center"/>
        <w:outlineLvl w:val="0"/>
      </w:pPr>
      <w:r>
        <w:t>MAS_Maßnahme_hinzufügen – MAS_Person_hinzufügen</w:t>
      </w:r>
    </w:p>
    <w:p>
      <w:pPr>
        <w:pStyle w:val="Beschriftung"/>
      </w:pPr>
      <w:r>
        <w:t xml:space="preserve">Abbildung </w:t>
      </w:r>
      <w:fldSimple w:instr=" SEQ Abbildung \* ARABIC ">
        <w:r>
          <w:rPr>
            <w:noProof/>
          </w:rPr>
          <w:t>16</w:t>
        </w:r>
      </w:fldSimple>
      <w:r>
        <w:t>: DIA_Person_hinzufügen</w:t>
      </w:r>
    </w:p>
    <w:p>
      <w:pPr>
        <w:pStyle w:val="EA-Beschreibung"/>
      </w:pPr>
      <w:r>
        <w:t>Erstellung des Diagramms im Enterprise Architect:</w:t>
      </w:r>
    </w:p>
    <w:p>
      <w:pPr>
        <w:pStyle w:val="EA-Beschreibung"/>
      </w:pPr>
      <w:r>
        <w:t xml:space="preserve">Man erstellt ein Composite Structure Diagramm. Typischerweise beschreibt man die im Dialog verwendeten Masken zuerst (siehe Kapitel </w:t>
      </w:r>
      <w:r>
        <w:fldChar w:fldCharType="begin"/>
      </w:r>
      <w:r>
        <w:instrText xml:space="preserve"> REF _Ref317500362 \r \h </w:instrText>
      </w:r>
      <w:r>
        <w:fldChar w:fldCharType="separate"/>
      </w:r>
      <w:r>
        <w:t>6.3</w:t>
      </w:r>
      <w:r>
        <w:fldChar w:fldCharType="end"/>
      </w:r>
      <w:r>
        <w:t>) und zieht die dort erzeugten Masken in das Diagramm. Dann nutzt man die Verbinder aus demselben UML-Profil „Dialoge“, um den Ablauf darzustellen. Man nutzt Verzweigung, Start- und Ende-Elemente aus dem UML-Profil „Anwendungsfälle“. Die Modellierung des Ablaufs führt man analog der Modellierung des Anwendungsfall-Ablaufs durch.</w:t>
      </w:r>
    </w:p>
    <w:p>
      <w:pPr>
        <w:pStyle w:val="berschrift2"/>
      </w:pPr>
      <w:bookmarkStart w:id="188" w:name="_Toc140476594"/>
      <w:bookmarkStart w:id="189" w:name="_Toc140476715"/>
      <w:bookmarkStart w:id="190" w:name="_Toc488819239"/>
      <w:bookmarkEnd w:id="188"/>
      <w:bookmarkEnd w:id="189"/>
      <w:r>
        <w:t>Dialog DIA_&lt;Bezeichnung des Dialogs&gt;</w:t>
      </w:r>
      <w:bookmarkEnd w:id="190"/>
    </w:p>
    <w:p>
      <w:pPr>
        <w:rPr>
          <w:i/>
        </w:rPr>
      </w:pPr>
      <w:r>
        <w:rPr>
          <w:i/>
        </w:rPr>
        <w:t>Dieser Abschnitt ist ein Platzhalter, um zu verdeutlichen, dass ab hier weitere Dialoge zu beschreiben sind.</w:t>
      </w:r>
    </w:p>
    <w:p>
      <w:pPr>
        <w:pStyle w:val="berschrift2"/>
      </w:pPr>
      <w:bookmarkStart w:id="191" w:name="_Ref317500362"/>
      <w:bookmarkStart w:id="192" w:name="_Toc488819240"/>
      <w:r>
        <w:t>Masken</w:t>
      </w:r>
      <w:bookmarkEnd w:id="191"/>
      <w:bookmarkEnd w:id="192"/>
    </w:p>
    <w:p>
      <w:pPr>
        <w:rPr>
          <w:i/>
        </w:rPr>
      </w:pPr>
      <w:r>
        <w:rPr>
          <w:i/>
        </w:rPr>
        <w:t>Die Masken werden in Kapiteln analog zu den Anwendungskomponenten aufgeteilt. Ein Übersichtsdiagramm zeigt die Masken je Anwendungskomponente.</w:t>
      </w:r>
    </w:p>
    <w:p>
      <w:pPr>
        <w:keepNext/>
        <w:jc w:val="center"/>
      </w:pPr>
      <w:r>
        <w:rPr>
          <w:noProof/>
        </w:rPr>
        <w:drawing>
          <wp:inline distT="0" distB="0" distL="0" distR="0">
            <wp:extent cx="3919855" cy="1407160"/>
            <wp:effectExtent l="0" t="0" r="0" b="0"/>
            <wp:docPr id="18" name="Bild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7"/>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919855" cy="140716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17</w:t>
        </w:r>
      </w:fldSimple>
      <w:r>
        <w:t>: Übersicht der Masken</w:t>
      </w:r>
    </w:p>
    <w:p>
      <w:pPr>
        <w:pStyle w:val="EA-Beschreibung"/>
      </w:pPr>
      <w:r>
        <w:t>Erstellung des Diagramms im Enterprise Architect:</w:t>
      </w:r>
    </w:p>
    <w:p>
      <w:pPr>
        <w:pStyle w:val="EA-Beschreibung"/>
      </w:pPr>
      <w:r>
        <w:t>Man zieht die Ordner, die die Masken enthalten, in ein Composite Structure Diagramm.</w:t>
      </w:r>
    </w:p>
    <w:p>
      <w:pPr>
        <w:pStyle w:val="berschrift3"/>
      </w:pPr>
      <w:bookmarkStart w:id="193" w:name="_Ref157592315"/>
      <w:bookmarkStart w:id="194" w:name="_Ref157592316"/>
      <w:bookmarkStart w:id="195" w:name="_Toc488819241"/>
      <w:r>
        <w:t>&lt;Bezeichnung der Anwendungskomponente&gt;</w:t>
      </w:r>
      <w:bookmarkEnd w:id="193"/>
      <w:bookmarkEnd w:id="194"/>
      <w:bookmarkEnd w:id="195"/>
    </w:p>
    <w:p>
      <w:pPr>
        <w:pStyle w:val="berschrift4"/>
      </w:pPr>
      <w:bookmarkStart w:id="196" w:name="_Ref157592333"/>
      <w:bookmarkStart w:id="197" w:name="_Toc488819242"/>
      <w:r>
        <w:t>Maske MAS_&lt;Bezeichnung der Maske&gt;</w:t>
      </w:r>
      <w:bookmarkEnd w:id="196"/>
      <w:bookmarkEnd w:id="197"/>
    </w:p>
    <w:p>
      <w:pPr>
        <w:rPr>
          <w:i/>
          <w:iCs/>
        </w:rPr>
      </w:pPr>
      <w:r>
        <w:rPr>
          <w:i/>
          <w:iCs/>
        </w:rPr>
        <w:t>Der Zweck der Maske wird in ein bis zwei Sätzen erläutert. Namen von Masken beginnen mit „MAS_“ gefolgt von einem Substantiv und einem Verb, z.B. „MAS_ Suchkriterien_eingeben“.</w:t>
      </w:r>
    </w:p>
    <w:p>
      <w:pPr>
        <w:jc w:val="left"/>
        <w:rPr>
          <w:i/>
        </w:rPr>
      </w:pPr>
      <w:r>
        <w:rPr>
          <w:i/>
        </w:rPr>
        <w:t>Die Entitätstypen des Datenmodells, die durch die Maske angezeigt oder eingegeben werden, können optional in einer Übersicht dargestellt werden. Alternativ können sie auch in der Kurzbeschreibung der Maske aufgezählt werden.</w:t>
      </w:r>
    </w:p>
    <w:p>
      <w:pPr>
        <w:jc w:val="center"/>
      </w:pPr>
      <w:r>
        <w:rPr>
          <w:noProof/>
        </w:rPr>
        <w:drawing>
          <wp:inline distT="0" distB="0" distL="0" distR="0">
            <wp:extent cx="4452620" cy="1240155"/>
            <wp:effectExtent l="0" t="0" r="0" b="0"/>
            <wp:docPr id="19" name="Bild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8"/>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452620" cy="1240155"/>
                    </a:xfrm>
                    <a:prstGeom prst="rect">
                      <a:avLst/>
                    </a:prstGeom>
                    <a:noFill/>
                    <a:ln>
                      <a:noFill/>
                    </a:ln>
                  </pic:spPr>
                </pic:pic>
              </a:graphicData>
            </a:graphic>
          </wp:inline>
        </w:drawing>
      </w:r>
    </w:p>
    <w:p>
      <w:pPr>
        <w:jc w:val="center"/>
        <w:outlineLvl w:val="0"/>
      </w:pPr>
      <w:r>
        <w:t>ETY_Person</w:t>
      </w:r>
    </w:p>
    <w:p>
      <w:pPr>
        <w:pStyle w:val="Beschriftung"/>
      </w:pPr>
      <w:r>
        <w:t xml:space="preserve">Abbildung </w:t>
      </w:r>
      <w:fldSimple w:instr=" SEQ Abbildung \* ARABIC ">
        <w:r>
          <w:rPr>
            <w:noProof/>
          </w:rPr>
          <w:t>18</w:t>
        </w:r>
      </w:fldSimple>
      <w:r>
        <w:t>: MAS_Person_hinzufügen</w:t>
      </w:r>
    </w:p>
    <w:p>
      <w:pPr>
        <w:pStyle w:val="EA-Beschreibung"/>
      </w:pPr>
      <w:r>
        <w:t>Erstellung des Diagramms im Enterprise Architect:</w:t>
      </w:r>
    </w:p>
    <w:p>
      <w:pPr>
        <w:pStyle w:val="EA-Beschreibung"/>
      </w:pPr>
      <w:r>
        <w:t>Man zieht die Maske als zentrales Element des Diagramms aus dem UML-Profil „Dialoge“ in die Mitte eines „Composite Structure“-Diagramms und ordnet Entitäten aus dem Datenmodell oder Schnittstellenentitäten darum an. Die Verbinder stammen ebenfalls aus dem UML-Profil „Dialoge“.</w:t>
      </w:r>
    </w:p>
    <w:p>
      <w:pPr>
        <w:rPr>
          <w:i/>
          <w:iCs/>
        </w:rPr>
      </w:pPr>
      <w:r>
        <w:rPr>
          <w:i/>
          <w:iCs/>
        </w:rPr>
        <w:t>Die Maske kann optional als Prototyp aufgezeichnet werden. Hierzu stehen verschiedene Elemente im UML-Profil „Dialoge“ zur Verfügung. Dies kann dazu dienen, vor Erstellung der Masken bereits das Bedienkonzept grob zu beschreiben und Maskenelemente eindeutig zu benennen. Alternativ kann ein Masken-Prototyp (Englisch „Mockup“) mit anderen Mitteln erstellt und hier eingefügt werden, oder es kann nach Inbetriebnahme ein Masken-Screenshot des produktiven Systems eingefügt werden.</w:t>
      </w:r>
    </w:p>
    <w:p>
      <w:pPr>
        <w:keepNext/>
        <w:jc w:val="center"/>
      </w:pPr>
      <w:r>
        <w:rPr>
          <w:i/>
          <w:noProof/>
        </w:rPr>
        <w:drawing>
          <wp:inline distT="0" distB="0" distL="0" distR="0">
            <wp:extent cx="3235960" cy="2456815"/>
            <wp:effectExtent l="0" t="0" r="0" b="0"/>
            <wp:docPr id="20" name="Bild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235960" cy="245681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19</w:t>
        </w:r>
      </w:fldSimple>
      <w:r>
        <w:t>: MAS_Person_hinzufügen</w:t>
      </w:r>
    </w:p>
    <w:p>
      <w:pPr>
        <w:pStyle w:val="EA-Beschreibung"/>
      </w:pPr>
      <w:r>
        <w:t>Erstellung des Diagramms im Enterprise Architect:</w:t>
      </w:r>
    </w:p>
    <w:p>
      <w:pPr>
        <w:pStyle w:val="EA-Beschreibung"/>
      </w:pPr>
      <w:r>
        <w:t>Man zieht die Maske in ein Component Diagramm und  vergrößert sie. Dann zieht man aus dem UML-Profil „Dialoge“ einzelne Maskenelemente in die Maske hinein, benennt sie und ordnet sie an.</w:t>
      </w:r>
    </w:p>
    <w:p>
      <w:pPr>
        <w:rPr>
          <w:i/>
          <w:iCs/>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7020"/>
      </w:tblGrid>
      <w:tr>
        <w:tc>
          <w:tcPr>
            <w:tcW w:w="2268" w:type="dxa"/>
            <w:shd w:val="clear" w:color="auto" w:fill="C0C0C0"/>
          </w:tcPr>
          <w:p>
            <w:pPr>
              <w:spacing w:after="60"/>
              <w:rPr>
                <w:b/>
              </w:rPr>
            </w:pPr>
            <w:r>
              <w:rPr>
                <w:b/>
              </w:rPr>
              <w:t>Typ</w:t>
            </w:r>
          </w:p>
        </w:tc>
        <w:tc>
          <w:tcPr>
            <w:tcW w:w="7020" w:type="dxa"/>
          </w:tcPr>
          <w:p>
            <w:pPr>
              <w:spacing w:after="60"/>
              <w:rPr>
                <w:i/>
                <w:iCs/>
              </w:rPr>
            </w:pPr>
            <w:r>
              <w:rPr>
                <w:i/>
                <w:iCs/>
              </w:rPr>
              <w:t>&lt;Maskentyp&gt;</w:t>
            </w:r>
          </w:p>
        </w:tc>
      </w:tr>
      <w:tr>
        <w:tc>
          <w:tcPr>
            <w:tcW w:w="2268" w:type="dxa"/>
            <w:shd w:val="clear" w:color="auto" w:fill="C0C0C0"/>
          </w:tcPr>
          <w:p>
            <w:pPr>
              <w:spacing w:after="60"/>
              <w:rPr>
                <w:b/>
              </w:rPr>
            </w:pPr>
            <w:r>
              <w:rPr>
                <w:b/>
              </w:rPr>
              <w:t>Referenzen</w:t>
            </w:r>
          </w:p>
        </w:tc>
        <w:tc>
          <w:tcPr>
            <w:tcW w:w="7020" w:type="dxa"/>
          </w:tcPr>
          <w:p>
            <w:pPr>
              <w:spacing w:after="60"/>
              <w:rPr>
                <w:i/>
                <w:iCs/>
              </w:rPr>
            </w:pPr>
            <w:r>
              <w:rPr>
                <w:i/>
                <w:iCs/>
              </w:rPr>
              <w:t>Optionale Referenzen auf bestehende technische Maskennamen.</w:t>
            </w:r>
          </w:p>
        </w:tc>
      </w:tr>
      <w:tr>
        <w:tc>
          <w:tcPr>
            <w:tcW w:w="2268" w:type="dxa"/>
            <w:shd w:val="clear" w:color="auto" w:fill="C0C0C0"/>
          </w:tcPr>
          <w:p>
            <w:pPr>
              <w:spacing w:after="60"/>
              <w:rPr>
                <w:b/>
              </w:rPr>
            </w:pPr>
            <w:r>
              <w:rPr>
                <w:b/>
              </w:rPr>
              <w:t>Kurzbeschreibung</w:t>
            </w:r>
          </w:p>
        </w:tc>
        <w:tc>
          <w:tcPr>
            <w:tcW w:w="7020" w:type="dxa"/>
          </w:tcPr>
          <w:p>
            <w:pPr>
              <w:spacing w:after="60"/>
              <w:rPr>
                <w:i/>
                <w:iCs/>
              </w:rPr>
            </w:pPr>
            <w:r>
              <w:rPr>
                <w:i/>
                <w:iCs/>
              </w:rPr>
              <w:t>Hier werden der Zweck sowie die Anzeige- und Eingabe-Möglichkeiten der Maske beschrieben. Falls kein Diagramm zu den genutzten Entitätstypen erstellt wird, werden diese hier zusätzlich aufgezählt.</w:t>
            </w:r>
          </w:p>
        </w:tc>
      </w:tr>
    </w:tbl>
    <w:p>
      <w:pPr>
        <w:pStyle w:val="berschrift4"/>
      </w:pPr>
      <w:bookmarkStart w:id="198" w:name="_Toc488819243"/>
      <w:r>
        <w:t xml:space="preserve">Maske </w:t>
      </w:r>
      <w:bookmarkStart w:id="199" w:name="_Toc317168524"/>
      <w:bookmarkStart w:id="200" w:name="_Toc317363808"/>
      <w:bookmarkStart w:id="201" w:name="_Toc317364638"/>
      <w:bookmarkStart w:id="202" w:name="_Toc317365033"/>
      <w:bookmarkStart w:id="203" w:name="_Toc317365164"/>
      <w:bookmarkStart w:id="204" w:name="_Toc317368572"/>
      <w:bookmarkEnd w:id="199"/>
      <w:bookmarkEnd w:id="200"/>
      <w:bookmarkEnd w:id="201"/>
      <w:bookmarkEnd w:id="202"/>
      <w:bookmarkEnd w:id="203"/>
      <w:bookmarkEnd w:id="204"/>
      <w:r>
        <w:t>MAS_&lt;Bezeichnung der Maske&gt;</w:t>
      </w:r>
      <w:bookmarkEnd w:id="198"/>
    </w:p>
    <w:p>
      <w:r>
        <w:rPr>
          <w:i/>
        </w:rPr>
        <w:t>Dieser Abschnitt ist ein Platzhalter, um zu verdeutlichen, dass ab hier weitere Masken der Anwendungskomponente zu beschreiben sind.</w:t>
      </w:r>
    </w:p>
    <w:p>
      <w:pPr>
        <w:pStyle w:val="berschrift3"/>
      </w:pPr>
      <w:bookmarkStart w:id="205" w:name="_Toc488819244"/>
      <w:r>
        <w:t>&lt;Bezeichnung der Anwendungskomponente&gt;</w:t>
      </w:r>
      <w:bookmarkEnd w:id="205"/>
    </w:p>
    <w:p>
      <w:r>
        <w:rPr>
          <w:i/>
        </w:rPr>
        <w:t>Dieser Abschnitt ist ein Platzhalter, um zu verdeutlichen, dass ab hier Masken der weiteren Anwendungskomponenten zu beschreiben sind.</w:t>
      </w:r>
    </w:p>
    <w:p>
      <w:pPr>
        <w:pStyle w:val="berschrift1"/>
      </w:pPr>
      <w:bookmarkStart w:id="206" w:name="_Toc157592272"/>
      <w:bookmarkStart w:id="207" w:name="_Toc157826586"/>
      <w:bookmarkStart w:id="208" w:name="_Toc317168531"/>
      <w:bookmarkStart w:id="209" w:name="_Toc317363815"/>
      <w:bookmarkStart w:id="210" w:name="_Toc317364645"/>
      <w:bookmarkStart w:id="211" w:name="_Toc317368579"/>
      <w:bookmarkStart w:id="212" w:name="_Toc317168532"/>
      <w:bookmarkStart w:id="213" w:name="_Toc317363816"/>
      <w:bookmarkStart w:id="214" w:name="_Toc317364646"/>
      <w:bookmarkStart w:id="215" w:name="_Toc317368580"/>
      <w:bookmarkStart w:id="216" w:name="_Toc317168558"/>
      <w:bookmarkStart w:id="217" w:name="_Toc317363842"/>
      <w:bookmarkStart w:id="218" w:name="_Toc317364672"/>
      <w:bookmarkStart w:id="219" w:name="_Toc317368606"/>
      <w:bookmarkStart w:id="220" w:name="_Toc317168559"/>
      <w:bookmarkStart w:id="221" w:name="_Toc317363843"/>
      <w:bookmarkStart w:id="222" w:name="_Toc317364673"/>
      <w:bookmarkStart w:id="223" w:name="_Toc317365040"/>
      <w:bookmarkStart w:id="224" w:name="_Toc317365171"/>
      <w:bookmarkStart w:id="225" w:name="_Toc317368607"/>
      <w:bookmarkStart w:id="226" w:name="_Toc317168562"/>
      <w:bookmarkStart w:id="227" w:name="_Toc317363846"/>
      <w:bookmarkStart w:id="228" w:name="_Toc317364676"/>
      <w:bookmarkStart w:id="229" w:name="_Toc317368610"/>
      <w:bookmarkStart w:id="230" w:name="_Toc48881924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r>
        <w:t>Druckausgaben</w:t>
      </w:r>
      <w:bookmarkEnd w:id="230"/>
    </w:p>
    <w:p>
      <w:pPr>
        <w:rPr>
          <w:i/>
          <w:iCs/>
        </w:rPr>
      </w:pPr>
      <w:r>
        <w:rPr>
          <w:i/>
          <w:iCs/>
        </w:rPr>
        <w:t>Der Abschnitt Druckausgaben beschreibt das Layout und den Inhalt von Druckstücken. Hierzu gehören z.B. Drucklisten, Serienbriefe, sowie die Ein- und Ausgabeformate für Batches. Für komplexe Auswertungen werden mögliche Selektions- und Verdichtungskriterien beschrieben.</w:t>
      </w:r>
    </w:p>
    <w:p>
      <w:pPr>
        <w:rPr>
          <w:i/>
          <w:iCs/>
        </w:rPr>
      </w:pPr>
      <w:r>
        <w:rPr>
          <w:i/>
          <w:iCs/>
        </w:rPr>
        <w:t>Da Druckstücke für die Beschreibung sehr unterschiedlicher Formate verwendet werden, wird die Spezifikation den Notwendigkeiten des beschriebenen Formats angepasst. Dabei können Layouts, schematische Darstellungen oder fertige Vorlagen im Anhang oder als externe Dokumente mit Verweis beigefügt werden. Hier können allgemeine Informationen zu den Druckstücken beschrieben werden.</w:t>
      </w:r>
    </w:p>
    <w:p>
      <w:pPr>
        <w:rPr>
          <w:i/>
          <w:iCs/>
        </w:rPr>
      </w:pPr>
      <w:r>
        <w:rPr>
          <w:i/>
          <w:iCs/>
        </w:rPr>
        <w:t xml:space="preserve"> Danach folgt die Liste der Druckstücke, gruppiert nach Anwendungskomponenten und/oder ein UML-Komponentendiagramm, welches einen Überblick über die Anwendungskomponenten und deren Druckstücke gibt.</w:t>
      </w:r>
    </w:p>
    <w:p>
      <w:pPr>
        <w:rPr>
          <w:i/>
          <w:iCs/>
        </w:rPr>
      </w:pPr>
    </w:p>
    <w:p>
      <w:pPr>
        <w:jc w:val="center"/>
      </w:pPr>
      <w:r>
        <w:rPr>
          <w:noProof/>
        </w:rPr>
        <w:drawing>
          <wp:inline distT="0" distB="0" distL="0" distR="0">
            <wp:extent cx="4190365" cy="1144905"/>
            <wp:effectExtent l="0" t="0" r="0" b="0"/>
            <wp:docPr id="21" name="Bild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190365" cy="114490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20</w:t>
        </w:r>
      </w:fldSimple>
      <w:r>
        <w:t>: Übersicht der Druckausgaben</w:t>
      </w:r>
    </w:p>
    <w:p>
      <w:pPr>
        <w:pStyle w:val="berschrift2"/>
        <w:rPr>
          <w:i/>
          <w:iCs/>
        </w:rPr>
      </w:pPr>
      <w:bookmarkStart w:id="231" w:name="_Ref144882675"/>
      <w:bookmarkStart w:id="232" w:name="_Toc488819246"/>
      <w:r>
        <w:t>&lt;Bezeichnung der Anwendungskomponente&gt;</w:t>
      </w:r>
      <w:bookmarkEnd w:id="231"/>
      <w:bookmarkEnd w:id="232"/>
    </w:p>
    <w:p>
      <w:pPr>
        <w:pStyle w:val="berschrift3"/>
      </w:pPr>
      <w:bookmarkStart w:id="233" w:name="_Toc144614367"/>
      <w:bookmarkStart w:id="234" w:name="_Toc144614861"/>
      <w:bookmarkStart w:id="235" w:name="_Ref144882630"/>
      <w:bookmarkStart w:id="236" w:name="_Toc488819247"/>
      <w:bookmarkEnd w:id="233"/>
      <w:bookmarkEnd w:id="234"/>
      <w:r>
        <w:t>Druckstück DRU_&lt;Bezeichnung der Druckausgabe&gt;</w:t>
      </w:r>
      <w:bookmarkEnd w:id="235"/>
      <w:bookmarkEnd w:id="236"/>
    </w:p>
    <w:p>
      <w:pPr>
        <w:rPr>
          <w:i/>
        </w:rPr>
      </w:pPr>
      <w:r>
        <w:rPr>
          <w:i/>
          <w:iCs/>
        </w:rPr>
        <w:t>Das Druckstück wird tabellaris</w:t>
      </w:r>
      <w:r>
        <w:rPr>
          <w:i/>
        </w:rPr>
        <w:t>ch beschrieben. Zusätzliche Darstellungen können direkt im Dokument unter der Tabelle eingebunden oder im Anhang als Verweis auf externe Dokumente aufgenommen werden. In diesen zusätzlichen Darstellungen können Textbausteine mit Präfix „TBS_“ und Druckvariablen mit Präfix „DRV_“ markiert werden, um Teilen des Druckstücks eindeutige Namen zu geben. Für die Markierung können z.B. Microsoft Word-Kommentare verwendet werden. Textbausteine sind typischerweise feste Textteile, Druckvariablen sind typischerweise variabel belegte Textteile.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93"/>
        <w:gridCol w:w="2718"/>
        <w:gridCol w:w="1109"/>
        <w:gridCol w:w="3708"/>
      </w:tblGrid>
      <w:tr>
        <w:tc>
          <w:tcPr>
            <w:tcW w:w="2093" w:type="dxa"/>
            <w:shd w:val="clear" w:color="auto" w:fill="C0C0C0"/>
          </w:tcPr>
          <w:p>
            <w:pPr>
              <w:spacing w:before="60" w:after="60"/>
              <w:jc w:val="left"/>
              <w:rPr>
                <w:b/>
                <w:bCs/>
              </w:rPr>
            </w:pPr>
            <w:r>
              <w:rPr>
                <w:b/>
                <w:bCs/>
              </w:rPr>
              <w:t>Kurzbeschreibung</w:t>
            </w:r>
          </w:p>
        </w:tc>
        <w:tc>
          <w:tcPr>
            <w:tcW w:w="7535" w:type="dxa"/>
            <w:gridSpan w:val="3"/>
          </w:tcPr>
          <w:p>
            <w:pPr>
              <w:spacing w:before="60" w:after="60"/>
              <w:rPr>
                <w:i/>
                <w:iCs/>
              </w:rPr>
            </w:pPr>
            <w:r>
              <w:rPr>
                <w:i/>
                <w:iCs/>
              </w:rPr>
              <w:t>Zweck der Druckausgabe in wenigen Sätzen; ggf. Hinweis auf vorhandene Vorlagen im Anhang.</w:t>
            </w:r>
          </w:p>
        </w:tc>
      </w:tr>
      <w:tr>
        <w:tc>
          <w:tcPr>
            <w:tcW w:w="2093" w:type="dxa"/>
            <w:shd w:val="clear" w:color="auto" w:fill="C0C0C0"/>
          </w:tcPr>
          <w:p>
            <w:pPr>
              <w:spacing w:before="60" w:after="60"/>
              <w:jc w:val="left"/>
              <w:rPr>
                <w:b/>
                <w:bCs/>
              </w:rPr>
            </w:pPr>
            <w:r>
              <w:rPr>
                <w:b/>
                <w:bCs/>
              </w:rPr>
              <w:t>Empfänger</w:t>
            </w:r>
          </w:p>
        </w:tc>
        <w:tc>
          <w:tcPr>
            <w:tcW w:w="2718" w:type="dxa"/>
          </w:tcPr>
          <w:p>
            <w:pPr>
              <w:spacing w:before="60" w:after="60"/>
              <w:rPr>
                <w:i/>
                <w:iCs/>
              </w:rPr>
            </w:pPr>
            <w:r>
              <w:rPr>
                <w:i/>
                <w:iCs/>
              </w:rPr>
              <w:t>An wen sind die Inhalte der Druckausgabe gerichtet?</w:t>
            </w:r>
          </w:p>
        </w:tc>
        <w:tc>
          <w:tcPr>
            <w:tcW w:w="1109" w:type="dxa"/>
            <w:shd w:val="clear" w:color="auto" w:fill="C0C0C0"/>
          </w:tcPr>
          <w:p>
            <w:pPr>
              <w:spacing w:before="60" w:after="60"/>
              <w:rPr>
                <w:b/>
                <w:bCs/>
              </w:rPr>
            </w:pPr>
            <w:r>
              <w:rPr>
                <w:b/>
                <w:bCs/>
              </w:rPr>
              <w:t>Medium</w:t>
            </w:r>
          </w:p>
        </w:tc>
        <w:tc>
          <w:tcPr>
            <w:tcW w:w="3708" w:type="dxa"/>
          </w:tcPr>
          <w:p>
            <w:pPr>
              <w:spacing w:before="60" w:after="60"/>
              <w:rPr>
                <w:i/>
                <w:iCs/>
              </w:rPr>
            </w:pPr>
            <w:r>
              <w:rPr>
                <w:i/>
                <w:iCs/>
              </w:rPr>
              <w:t>Wie liegt das Druckstück vor? Z.B. „elektronisch“, „Papier“</w:t>
            </w:r>
          </w:p>
        </w:tc>
      </w:tr>
    </w:tbl>
    <w:p>
      <w:pPr>
        <w:pBdr>
          <w:top w:val="single" w:sz="4" w:space="1" w:color="auto"/>
          <w:left w:val="single" w:sz="4" w:space="4" w:color="auto"/>
          <w:bottom w:val="single" w:sz="4" w:space="1" w:color="auto"/>
          <w:right w:val="single" w:sz="4" w:space="4" w:color="auto"/>
        </w:pBdr>
        <w:outlineLvl w:val="0"/>
      </w:pPr>
      <w:bookmarkStart w:id="237" w:name="_Toc144614369"/>
      <w:bookmarkStart w:id="238" w:name="_Toc144614863"/>
      <w:bookmarkStart w:id="239" w:name="_Toc140476600"/>
      <w:bookmarkStart w:id="240" w:name="_Toc140476721"/>
      <w:bookmarkEnd w:id="237"/>
      <w:bookmarkEnd w:id="238"/>
      <w:bookmarkEnd w:id="239"/>
      <w:bookmarkEnd w:id="240"/>
      <w:r>
        <w:br w:type="page"/>
        <w:t>Sehr geehrte Damen und Herren,</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pPr>
      <w:r>
        <w:t>sie erhalten eine automatisch generierte Mitteilung aus dem Beispiel-Anwendungssystem. Die entsprechenden Informationen entnehmen Sie bitte der Anlage.</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pPr>
      <w:r>
        <w:t>Mit freundlichen Grüßen</w:t>
      </w:r>
    </w:p>
    <w:p>
      <w:pPr>
        <w:pBdr>
          <w:top w:val="single" w:sz="4" w:space="1" w:color="auto"/>
          <w:left w:val="single" w:sz="4" w:space="4" w:color="auto"/>
          <w:bottom w:val="single" w:sz="4" w:space="1" w:color="auto"/>
          <w:right w:val="single" w:sz="4" w:space="4" w:color="auto"/>
        </w:pBdr>
      </w:pPr>
      <w:r>
        <w:t>Ihr Fachbereich</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Behörde des Beispiel-Anwendungssystems</w:t>
      </w:r>
    </w:p>
    <w:p>
      <w:pPr>
        <w:pBdr>
          <w:top w:val="single" w:sz="4" w:space="1" w:color="auto"/>
          <w:left w:val="single" w:sz="4" w:space="4" w:color="auto"/>
          <w:bottom w:val="single" w:sz="4" w:space="1" w:color="auto"/>
          <w:right w:val="single" w:sz="4" w:space="4" w:color="auto"/>
        </w:pBdr>
      </w:pPr>
      <w:r>
        <w:t>Fachbereich</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Besucheradresse: Beispielstraße 23, 12345 Teststadt</w:t>
      </w:r>
    </w:p>
    <w:p>
      <w:pPr>
        <w:pBdr>
          <w:top w:val="single" w:sz="4" w:space="1" w:color="auto"/>
          <w:left w:val="single" w:sz="4" w:space="4" w:color="auto"/>
          <w:bottom w:val="single" w:sz="4" w:space="1" w:color="auto"/>
          <w:right w:val="single" w:sz="4" w:space="4" w:color="auto"/>
        </w:pBdr>
      </w:pPr>
      <w:r>
        <w:t>Postadresse: Beispielstraße 42, 12345 Teststadt</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Servicezeiten: montags bis freitags 7:00 Uhr bis 18:30 Uhr</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Telefon: +49 (0) 12345 - 678</w:t>
      </w:r>
    </w:p>
    <w:p>
      <w:pPr>
        <w:pBdr>
          <w:top w:val="single" w:sz="4" w:space="1" w:color="auto"/>
          <w:left w:val="single" w:sz="4" w:space="4" w:color="auto"/>
          <w:bottom w:val="single" w:sz="4" w:space="1" w:color="auto"/>
          <w:right w:val="single" w:sz="4" w:space="4" w:color="auto"/>
        </w:pBdr>
      </w:pPr>
      <w:r>
        <w:t xml:space="preserve">            +49 (0) 12345 -876</w:t>
      </w:r>
    </w:p>
    <w:p>
      <w:pPr>
        <w:pBdr>
          <w:top w:val="single" w:sz="4" w:space="1" w:color="auto"/>
          <w:left w:val="single" w:sz="4" w:space="4" w:color="auto"/>
          <w:bottom w:val="single" w:sz="4" w:space="1" w:color="auto"/>
          <w:right w:val="single" w:sz="4" w:space="4" w:color="auto"/>
        </w:pBdr>
      </w:pPr>
      <w:r>
        <w:t>Telefax: +49 (0) 12345 - 123</w:t>
      </w:r>
    </w:p>
    <w:p>
      <w:pPr>
        <w:pBdr>
          <w:top w:val="single" w:sz="4" w:space="1" w:color="auto"/>
          <w:left w:val="single" w:sz="4" w:space="4" w:color="auto"/>
          <w:bottom w:val="single" w:sz="4" w:space="1" w:color="auto"/>
          <w:right w:val="single" w:sz="4" w:space="4" w:color="auto"/>
        </w:pBdr>
      </w:pPr>
      <w:r>
        <w:t xml:space="preserve">            +49 (0) 12345 - 321</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pPr>
      <w:r>
        <w:t>E-Mail: fachbereich@behoerde.de</w:t>
      </w:r>
    </w:p>
    <w:p>
      <w:pPr>
        <w:pBdr>
          <w:top w:val="single" w:sz="4" w:space="1" w:color="auto"/>
          <w:left w:val="single" w:sz="4" w:space="4" w:color="auto"/>
          <w:bottom w:val="single" w:sz="4" w:space="1" w:color="auto"/>
          <w:right w:val="single" w:sz="4" w:space="4" w:color="auto"/>
        </w:pBdr>
      </w:pPr>
    </w:p>
    <w:p>
      <w:pPr>
        <w:pBdr>
          <w:top w:val="single" w:sz="4" w:space="1" w:color="auto"/>
          <w:left w:val="single" w:sz="4" w:space="4" w:color="auto"/>
          <w:bottom w:val="single" w:sz="4" w:space="1" w:color="auto"/>
          <w:right w:val="single" w:sz="4" w:space="4" w:color="auto"/>
        </w:pBdr>
        <w:outlineLvl w:val="0"/>
      </w:pPr>
      <w:r>
        <w:t>Internet: http://www.beispielbehoerde.de</w:t>
      </w:r>
    </w:p>
    <w:p/>
    <w:p>
      <w:pPr>
        <w:pStyle w:val="berschrift3"/>
      </w:pPr>
      <w:bookmarkStart w:id="241" w:name="_Toc488819248"/>
      <w:r>
        <w:t>Druckstück DRU_&lt;Bezeichnung der Druckausgabe&gt;</w:t>
      </w:r>
      <w:bookmarkEnd w:id="241"/>
    </w:p>
    <w:p>
      <w:r>
        <w:rPr>
          <w:i/>
        </w:rPr>
        <w:t>Dieser Abschnitt ist ein Platzhalter, um zu verdeutlichen, dass ab hier weitere Druckausgaben eines Druckausgabetyps zu beschreiben sind.</w:t>
      </w:r>
    </w:p>
    <w:p>
      <w:pPr>
        <w:pStyle w:val="berschrift2"/>
      </w:pPr>
      <w:bookmarkStart w:id="242" w:name="_Toc488819249"/>
      <w:r>
        <w:t>&lt;Bezeichnung der Anwendungskomponente&gt;</w:t>
      </w:r>
      <w:bookmarkEnd w:id="242"/>
    </w:p>
    <w:p>
      <w:r>
        <w:rPr>
          <w:i/>
        </w:rPr>
        <w:t>Dieser Abschnitt ist ein Platzhalter, um zu verdeutlichen, dass ab hier Druckstücke weiterer Anwendungskomponenten zu beschreiben sind.</w:t>
      </w:r>
    </w:p>
    <w:p>
      <w:pPr>
        <w:pStyle w:val="berschrift1"/>
      </w:pPr>
      <w:bookmarkStart w:id="243" w:name="_Toc317363865"/>
      <w:bookmarkStart w:id="244" w:name="_Toc317364695"/>
      <w:bookmarkStart w:id="245" w:name="_Toc317368629"/>
      <w:bookmarkStart w:id="246" w:name="_Toc488819250"/>
      <w:bookmarkEnd w:id="243"/>
      <w:bookmarkEnd w:id="244"/>
      <w:bookmarkEnd w:id="245"/>
      <w:r>
        <w:t>Nachbarsystemschnittstellen</w:t>
      </w:r>
      <w:bookmarkEnd w:id="246"/>
    </w:p>
    <w:p>
      <w:pPr>
        <w:rPr>
          <w:i/>
          <w:iCs/>
        </w:rPr>
      </w:pPr>
      <w:r>
        <w:rPr>
          <w:i/>
          <w:iCs/>
        </w:rPr>
        <w:t>Das Kapitel Nachbarsystemschnittstellen beschreibt die Verbindung zwischen dem Anwendungssystem und den externen Nachbarsystemen, mit denen das Anwendungssystem kommunizieren soll.</w:t>
      </w:r>
    </w:p>
    <w:p>
      <w:pPr>
        <w:rPr>
          <w:i/>
          <w:iCs/>
        </w:rPr>
      </w:pPr>
      <w:r>
        <w:rPr>
          <w:i/>
          <w:iCs/>
        </w:rPr>
        <w:t>Alle zu berücksichtigenden Nachbarsysteme werden im Abschnitt „</w:t>
      </w:r>
      <w:r>
        <w:rPr>
          <w:i/>
          <w:iCs/>
        </w:rPr>
        <w:fldChar w:fldCharType="begin"/>
      </w:r>
      <w:r>
        <w:rPr>
          <w:i/>
          <w:iCs/>
        </w:rPr>
        <w:instrText xml:space="preserve"> REF _Ref143048866 \n \h </w:instrText>
      </w:r>
      <w:r>
        <w:rPr>
          <w:i/>
          <w:iCs/>
        </w:rPr>
      </w:r>
      <w:r>
        <w:rPr>
          <w:i/>
          <w:iCs/>
        </w:rPr>
        <w:fldChar w:fldCharType="separate"/>
      </w:r>
      <w:r>
        <w:rPr>
          <w:i/>
          <w:iCs/>
        </w:rPr>
        <w:t>2.2</w:t>
      </w:r>
      <w:r>
        <w:rPr>
          <w:i/>
          <w:iCs/>
        </w:rPr>
        <w:fldChar w:fldCharType="end"/>
      </w:r>
      <w:r>
        <w:rPr>
          <w:i/>
          <w:iCs/>
        </w:rPr>
        <w:t xml:space="preserve"> </w:t>
      </w:r>
      <w:r>
        <w:fldChar w:fldCharType="begin"/>
      </w:r>
      <w:r>
        <w:instrText xml:space="preserve"> REF _Ref143048866 \h  \* MERGEFORMAT </w:instrText>
      </w:r>
      <w:r>
        <w:fldChar w:fldCharType="separate"/>
      </w:r>
      <w:r>
        <w:rPr>
          <w:i/>
        </w:rPr>
        <w:t>Fachlicher Architekturüberblick</w:t>
      </w:r>
      <w:r>
        <w:fldChar w:fldCharType="end"/>
      </w:r>
      <w:r>
        <w:rPr>
          <w:i/>
          <w:iCs/>
        </w:rPr>
        <w:t>“ vorgestellt. Hier werden die einzelnen Schnittstellen beschrieben, wobei zwischen von dem Anwendungssystem benutzten und durch das Anwendungssystem angebotenen Schnittstellen unterschieden wird.</w:t>
      </w:r>
    </w:p>
    <w:p>
      <w:pPr>
        <w:rPr>
          <w:i/>
          <w:iCs/>
        </w:rPr>
      </w:pPr>
      <w:r>
        <w:rPr>
          <w:i/>
          <w:iCs/>
        </w:rPr>
        <w:t>Namen von Nachbarsystem-Schnittstellen beginnen mit „NST_“ gefolgt von einem Substantiv und einem Verb, z.B. „NST_Auskunft_durchführen“. Falls nötig, kann noch ein Adjektiv gefolgt von einem Unterstrich vor das Substantiv gestellt werden.</w:t>
      </w:r>
    </w:p>
    <w:p>
      <w:pPr>
        <w:pStyle w:val="berschrift2"/>
      </w:pPr>
      <w:bookmarkStart w:id="247" w:name="_Toc157592283"/>
      <w:bookmarkStart w:id="248" w:name="_Toc157826597"/>
      <w:bookmarkStart w:id="249" w:name="_Toc157592284"/>
      <w:bookmarkStart w:id="250" w:name="_Toc157826598"/>
      <w:bookmarkStart w:id="251" w:name="_Toc157592285"/>
      <w:bookmarkStart w:id="252" w:name="_Toc157826599"/>
      <w:bookmarkStart w:id="253" w:name="_Toc488819251"/>
      <w:bookmarkEnd w:id="247"/>
      <w:bookmarkEnd w:id="248"/>
      <w:bookmarkEnd w:id="249"/>
      <w:bookmarkEnd w:id="250"/>
      <w:bookmarkEnd w:id="251"/>
      <w:bookmarkEnd w:id="252"/>
      <w:r>
        <w:t>Angebotene Schnittstellen</w:t>
      </w:r>
      <w:bookmarkEnd w:id="253"/>
    </w:p>
    <w:p>
      <w:pPr>
        <w:rPr>
          <w:i/>
          <w:iCs/>
        </w:rPr>
      </w:pPr>
      <w:r>
        <w:rPr>
          <w:i/>
          <w:iCs/>
        </w:rPr>
        <w:t>Ein UML-Komponentendiagramm gibt einen Überblick über die vom Anwendungssystem angebotenen Schnittstellen.</w:t>
      </w:r>
    </w:p>
    <w:p>
      <w:pPr>
        <w:jc w:val="center"/>
      </w:pPr>
      <w:r>
        <w:rPr>
          <w:noProof/>
        </w:rPr>
        <w:drawing>
          <wp:inline distT="0" distB="0" distL="0" distR="0">
            <wp:extent cx="4667250" cy="930275"/>
            <wp:effectExtent l="0" t="0" r="0" b="0"/>
            <wp:docPr id="22" name="Bild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667250" cy="93027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21</w:t>
        </w:r>
      </w:fldSimple>
      <w:r>
        <w:t>: Angebotene Schnittstellen</w:t>
      </w:r>
    </w:p>
    <w:p>
      <w:pPr>
        <w:pStyle w:val="berschrift3"/>
      </w:pPr>
      <w:bookmarkStart w:id="254" w:name="_Ref144882945"/>
      <w:bookmarkStart w:id="255" w:name="_Toc488819252"/>
      <w:r>
        <w:t>Angebotene Schnittstelle NST_&lt;Bezeichnung der Nachbarschnittstelle&gt;</w:t>
      </w:r>
      <w:bookmarkEnd w:id="254"/>
      <w:bookmarkEnd w:id="255"/>
    </w:p>
    <w:p>
      <w:pPr>
        <w:rPr>
          <w:i/>
        </w:rPr>
      </w:pPr>
      <w:r>
        <w:rPr>
          <w:i/>
        </w:rPr>
        <w:t>Die Nachbarsystemschnittstelle wird in einem oder mehreren Diagrammen grafisch dargestellt. Dabei werden die Parameter und Rückgabewerte als Nachbarschnittstellenentitäten dargestellt. Diese beschreiben analog zu den Entitäten des Datenmodells den Aufbau der Schnittstelle. Die Vor- und Nachteile der Darstellung der Schnittstellenattribute (NSA_...) gelten analog. Auch der Aufbau der Schnittstellenentitäten kann dem Aufbau des Datenmodells ähneln. Meist ergeben sich aber doch Abweichungen, zum Beispiel weil Attribute erst vom aufgerufenen Anwendungsfall berechnet und gespeichert werden.</w:t>
      </w:r>
    </w:p>
    <w:p>
      <w:pPr>
        <w:rPr>
          <w:i/>
        </w:rPr>
      </w:pPr>
      <w:r>
        <w:rPr>
          <w:i/>
        </w:rPr>
        <w:t>Nachbarschnittstellenentitäten können über mehrere Schnittstellen hinweg wiederverwendet werden.</w:t>
      </w:r>
    </w:p>
    <w:p>
      <w:pPr>
        <w:rPr>
          <w:i/>
        </w:rPr>
      </w:pPr>
      <w:r>
        <w:rPr>
          <w:i/>
        </w:rPr>
        <w:t>Wenn das Diagramm der Schnittstelle zu umfangreich wird, kann es auf mehrere Diagramme aufgeteilt werden, analog zur Aufteilung einer Modellkomponente des Datenmodells.</w:t>
      </w:r>
    </w:p>
    <w:p>
      <w:pPr>
        <w:keepNext/>
        <w:jc w:val="center"/>
      </w:pPr>
      <w:r>
        <w:rPr>
          <w:noProof/>
        </w:rPr>
        <w:drawing>
          <wp:inline distT="0" distB="0" distL="0" distR="0">
            <wp:extent cx="5979160" cy="3697605"/>
            <wp:effectExtent l="0" t="0" r="0" b="0"/>
            <wp:docPr id="23"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pPr>
        <w:keepNext/>
        <w:jc w:val="center"/>
        <w:outlineLvl w:val="0"/>
      </w:pPr>
      <w:r>
        <w:t>NSE_Fehler – NSE_Meldung_Maßnahme – NSE_Meldung_Person</w:t>
      </w:r>
    </w:p>
    <w:p>
      <w:pPr>
        <w:pStyle w:val="Beschriftung"/>
      </w:pPr>
      <w:r>
        <w:t xml:space="preserve">Abbildung </w:t>
      </w:r>
      <w:fldSimple w:instr=" SEQ Abbildung \* ARABIC ">
        <w:r>
          <w:rPr>
            <w:noProof/>
          </w:rPr>
          <w:t>22</w:t>
        </w:r>
      </w:fldSimple>
      <w:r>
        <w:t>: NST_Meldung_durchführen</w:t>
      </w:r>
    </w:p>
    <w:p>
      <w:pPr>
        <w:pStyle w:val="EA-Beschreibung"/>
      </w:pPr>
      <w:r>
        <w:t>Erstellung des Diagramms im Enterprise Architect:</w:t>
      </w:r>
    </w:p>
    <w:p>
      <w:pPr>
        <w:pStyle w:val="EA-Beschreibung"/>
      </w:pPr>
      <w:r>
        <w:t xml:space="preserve">Man zieht die Nachbarsystemschnittstelle aus dem UML-Profil „Nachbarschnittstellen“ in ein Composite Structure Diagramm und benennt sie richtig. Die Schnittstellenentitätstypen werden erst wie in Kapitel </w:t>
      </w:r>
      <w:r>
        <w:fldChar w:fldCharType="begin"/>
      </w:r>
      <w:r>
        <w:instrText xml:space="preserve"> REF _Ref317501547 \r \h </w:instrText>
      </w:r>
      <w:r>
        <w:fldChar w:fldCharType="separate"/>
      </w:r>
      <w:r>
        <w:t>8.1.1.1.1</w:t>
      </w:r>
      <w:r>
        <w:fldChar w:fldCharType="end"/>
      </w:r>
      <w:r>
        <w:t xml:space="preserve"> beschrieben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tc>
          <w:tcPr>
            <w:tcW w:w="2376" w:type="dxa"/>
            <w:shd w:val="clear" w:color="auto" w:fill="C0C0C0"/>
          </w:tcPr>
          <w:p>
            <w:pPr>
              <w:spacing w:before="60" w:after="60"/>
              <w:jc w:val="left"/>
              <w:rPr>
                <w:b/>
                <w:bCs/>
              </w:rPr>
            </w:pPr>
            <w:r>
              <w:rPr>
                <w:b/>
                <w:bCs/>
              </w:rPr>
              <w:t>Kurzbeschreibung</w:t>
            </w:r>
          </w:p>
        </w:tc>
        <w:tc>
          <w:tcPr>
            <w:tcW w:w="6972" w:type="dxa"/>
          </w:tcPr>
          <w:p>
            <w:pPr>
              <w:spacing w:before="60" w:after="60"/>
              <w:rPr>
                <w:i/>
                <w:iCs/>
              </w:rPr>
            </w:pPr>
            <w:r>
              <w:rPr>
                <w:i/>
                <w:iCs/>
              </w:rPr>
              <w:t>Welche fachlichen Dienste werden durch die Schnittstelle bereitgestellt? Welchen fachlichen Hintergrund haben die ausgetauschten Daten?</w:t>
            </w:r>
          </w:p>
        </w:tc>
      </w:tr>
      <w:tr>
        <w:tc>
          <w:tcPr>
            <w:tcW w:w="2376" w:type="dxa"/>
            <w:shd w:val="clear" w:color="auto" w:fill="C0C0C0"/>
          </w:tcPr>
          <w:p>
            <w:pPr>
              <w:spacing w:before="60" w:after="60"/>
              <w:jc w:val="left"/>
              <w:rPr>
                <w:b/>
                <w:bCs/>
              </w:rPr>
            </w:pPr>
            <w:r>
              <w:rPr>
                <w:b/>
                <w:bCs/>
              </w:rPr>
              <w:t>Nutzende</w:t>
            </w:r>
            <w:r>
              <w:rPr>
                <w:b/>
                <w:bCs/>
              </w:rPr>
              <w:br/>
              <w:t>Nachbarssysteme</w:t>
            </w:r>
          </w:p>
        </w:tc>
        <w:tc>
          <w:tcPr>
            <w:tcW w:w="6972" w:type="dxa"/>
          </w:tcPr>
          <w:p>
            <w:pPr>
              <w:spacing w:before="60" w:after="60"/>
              <w:rPr>
                <w:i/>
                <w:iCs/>
              </w:rPr>
            </w:pPr>
            <w:r>
              <w:rPr>
                <w:i/>
                <w:iCs/>
              </w:rPr>
              <w:t>Liste der Anwendungssysteme, welche auf die Schnittstelle zugreifen.</w:t>
            </w:r>
          </w:p>
        </w:tc>
      </w:tr>
      <w:tr>
        <w:tc>
          <w:tcPr>
            <w:tcW w:w="2376" w:type="dxa"/>
            <w:shd w:val="clear" w:color="auto" w:fill="C0C0C0"/>
          </w:tcPr>
          <w:p>
            <w:pPr>
              <w:spacing w:before="60" w:after="60"/>
              <w:jc w:val="left"/>
              <w:rPr>
                <w:b/>
                <w:bCs/>
              </w:rPr>
            </w:pPr>
            <w:r>
              <w:rPr>
                <w:b/>
                <w:bCs/>
              </w:rPr>
              <w:t>Komplexität</w:t>
            </w:r>
          </w:p>
        </w:tc>
        <w:tc>
          <w:tcPr>
            <w:tcW w:w="6972" w:type="dxa"/>
          </w:tcPr>
          <w:p>
            <w:pPr>
              <w:spacing w:before="60" w:after="60"/>
              <w:rPr>
                <w:i/>
                <w:iCs/>
              </w:rPr>
            </w:pPr>
            <w:r>
              <w:rPr>
                <w:i/>
                <w:iCs/>
              </w:rPr>
              <w:t>Einschätzung der fachlichen Komplexität der Schnittstelle: „hoch“, „mittel“, „gering“. Die hierfür notwendigen Einschätzungsregeln müssen vorab systemabhängig festgelegt und beschrieben werden.</w:t>
            </w:r>
          </w:p>
        </w:tc>
      </w:tr>
      <w:tr>
        <w:tc>
          <w:tcPr>
            <w:tcW w:w="2376" w:type="dxa"/>
            <w:shd w:val="clear" w:color="auto" w:fill="C0C0C0"/>
          </w:tcPr>
          <w:p>
            <w:pPr>
              <w:spacing w:before="60" w:after="60"/>
              <w:jc w:val="left"/>
              <w:rPr>
                <w:b/>
                <w:bCs/>
              </w:rPr>
            </w:pPr>
            <w:r>
              <w:rPr>
                <w:b/>
                <w:bCs/>
              </w:rPr>
              <w:t>Synchron/Asynchron</w:t>
            </w:r>
          </w:p>
        </w:tc>
        <w:tc>
          <w:tcPr>
            <w:tcW w:w="6972" w:type="dxa"/>
          </w:tcPr>
          <w:p>
            <w:pPr>
              <w:spacing w:before="60" w:after="60"/>
              <w:rPr>
                <w:i/>
                <w:iCs/>
              </w:rPr>
            </w:pPr>
            <w:r>
              <w:rPr>
                <w:i/>
                <w:iCs/>
              </w:rPr>
              <w:t>Bei synchronen Schnittstellen blockiert der aufrufende Bearbeitungsablauf so lange, bis das aufgerufene Anwendungssystem eine Antwort zurück gesendet hat (enge Kopplung). Bei asynchronen Schnittstellen fährt der aufrufende Bearbeitungsablauf sofort mit weiteren, lokalen Schritten fort (lose Kopplung). Falls eine Reaktion vom aufgerufenen Anwendungssystem erwartet wird, so muss sie über einen asynchronen Mechanismus wie z.B. ein Aufgabensystem in den Bearbeitungsprozess wieder eingegliedert werden.</w:t>
            </w:r>
          </w:p>
        </w:tc>
      </w:tr>
      <w:tr>
        <w:tc>
          <w:tcPr>
            <w:tcW w:w="2376" w:type="dxa"/>
            <w:shd w:val="clear" w:color="auto" w:fill="C0C0C0"/>
          </w:tcPr>
          <w:p>
            <w:pPr>
              <w:spacing w:before="60" w:after="60"/>
              <w:jc w:val="left"/>
              <w:rPr>
                <w:b/>
                <w:bCs/>
              </w:rPr>
            </w:pPr>
            <w:r>
              <w:rPr>
                <w:b/>
                <w:bCs/>
              </w:rPr>
              <w:t>Online/Offline</w:t>
            </w:r>
          </w:p>
        </w:tc>
        <w:tc>
          <w:tcPr>
            <w:tcW w:w="6972" w:type="dxa"/>
          </w:tcPr>
          <w:p>
            <w:pPr>
              <w:spacing w:before="60" w:after="60"/>
              <w:rPr>
                <w:i/>
                <w:iCs/>
              </w:rPr>
            </w:pPr>
            <w:r>
              <w:rPr>
                <w:i/>
                <w:iCs/>
              </w:rPr>
              <w:t>Bei Online-Schnittstellen führt der Datenaustausch sofort zu einer Verarbeitung im angesprochenen Anwendungssystem. Bei Offline-Schnittstellen wird eine Datenstruktur (Nachricht, Datei, …) für das angesprochene Anwendungssystem hinterlegt, die zu einem späteren Zeitpunkt, z.B. im Rahmen eines nächtlichen Batch-Laufes verarbeitet wird. Offline-Schnittstellen werden alternativ als Batches mit Druckstücken spezifiziert.</w:t>
            </w:r>
          </w:p>
        </w:tc>
      </w:tr>
      <w:tr>
        <w:tc>
          <w:tcPr>
            <w:tcW w:w="2376" w:type="dxa"/>
            <w:shd w:val="clear" w:color="auto" w:fill="C0C0C0"/>
          </w:tcPr>
          <w:p>
            <w:pPr>
              <w:spacing w:before="60" w:after="60"/>
              <w:jc w:val="left"/>
              <w:rPr>
                <w:b/>
                <w:bCs/>
              </w:rPr>
            </w:pPr>
            <w:r>
              <w:rPr>
                <w:b/>
                <w:bCs/>
              </w:rPr>
              <w:t>Verwendete</w:t>
            </w:r>
            <w:r>
              <w:rPr>
                <w:b/>
                <w:bCs/>
              </w:rPr>
              <w:br/>
              <w:t>Entitätstypen (Input)</w:t>
            </w:r>
          </w:p>
        </w:tc>
        <w:tc>
          <w:tcPr>
            <w:tcW w:w="6972" w:type="dxa"/>
          </w:tcPr>
          <w:p>
            <w:pPr>
              <w:spacing w:before="60" w:after="60"/>
              <w:rPr>
                <w:i/>
                <w:iCs/>
              </w:rPr>
            </w:pPr>
            <w:r>
              <w:rPr>
                <w:i/>
                <w:iCs/>
              </w:rPr>
              <w:t>Liste der Schnittstellenentitätstypen, die Parameter beim Aufruf der Schnittstelle durch ein Nachbarsystem sind. Durch das Schnittstellendiagramm ist diese Information bereits dargestellt, daher ist die Auflistung optional.</w:t>
            </w:r>
          </w:p>
        </w:tc>
      </w:tr>
      <w:tr>
        <w:tc>
          <w:tcPr>
            <w:tcW w:w="2376" w:type="dxa"/>
            <w:shd w:val="clear" w:color="auto" w:fill="C0C0C0"/>
          </w:tcPr>
          <w:p>
            <w:pPr>
              <w:spacing w:before="60" w:after="60"/>
              <w:jc w:val="left"/>
              <w:rPr>
                <w:b/>
                <w:bCs/>
              </w:rPr>
            </w:pPr>
            <w:r>
              <w:rPr>
                <w:b/>
                <w:bCs/>
              </w:rPr>
              <w:t>Verwendete</w:t>
            </w:r>
            <w:r>
              <w:rPr>
                <w:b/>
                <w:bCs/>
              </w:rPr>
              <w:br/>
              <w:t>Entitätstypen (Output)</w:t>
            </w:r>
          </w:p>
        </w:tc>
        <w:tc>
          <w:tcPr>
            <w:tcW w:w="6972" w:type="dxa"/>
          </w:tcPr>
          <w:p>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r>
        <w:tc>
          <w:tcPr>
            <w:tcW w:w="2376" w:type="dxa"/>
            <w:shd w:val="clear" w:color="auto" w:fill="C0C0C0"/>
          </w:tcPr>
          <w:p>
            <w:pPr>
              <w:spacing w:before="60" w:after="60"/>
              <w:jc w:val="left"/>
              <w:rPr>
                <w:b/>
                <w:bCs/>
              </w:rPr>
            </w:pPr>
            <w:r>
              <w:rPr>
                <w:b/>
                <w:bCs/>
              </w:rPr>
              <w:t>Nutzende</w:t>
            </w:r>
            <w:r>
              <w:rPr>
                <w:b/>
                <w:bCs/>
              </w:rPr>
              <w:br/>
              <w:t>Anwendungsfälle</w:t>
            </w:r>
          </w:p>
        </w:tc>
        <w:tc>
          <w:tcPr>
            <w:tcW w:w="6972" w:type="dxa"/>
          </w:tcPr>
          <w:p>
            <w:pPr>
              <w:spacing w:before="60" w:after="60"/>
              <w:rPr>
                <w:i/>
                <w:iCs/>
              </w:rPr>
            </w:pPr>
            <w:r>
              <w:rPr>
                <w:i/>
                <w:iCs/>
              </w:rPr>
              <w:t>Liste der Anwendungsfälle, die bei Nutzung der Schnittstelle aufgerufen werden.</w:t>
            </w:r>
          </w:p>
        </w:tc>
      </w:tr>
      <w:tr>
        <w:tc>
          <w:tcPr>
            <w:tcW w:w="2376" w:type="dxa"/>
            <w:shd w:val="clear" w:color="auto" w:fill="C0C0C0"/>
          </w:tcPr>
          <w:p>
            <w:pPr>
              <w:spacing w:before="60" w:after="60"/>
              <w:jc w:val="left"/>
              <w:rPr>
                <w:b/>
                <w:bCs/>
              </w:rPr>
            </w:pPr>
            <w:r>
              <w:rPr>
                <w:b/>
                <w:bCs/>
              </w:rPr>
              <w:t>Nichtfunktionale</w:t>
            </w:r>
            <w:r>
              <w:rPr>
                <w:b/>
                <w:bCs/>
              </w:rPr>
              <w:br/>
              <w:t>Anforderungen</w:t>
            </w:r>
          </w:p>
        </w:tc>
        <w:tc>
          <w:tcPr>
            <w:tcW w:w="6972" w:type="dxa"/>
          </w:tcPr>
          <w:p>
            <w:pPr>
              <w:spacing w:before="60" w:after="60"/>
              <w:rPr>
                <w:i/>
                <w:iCs/>
              </w:rPr>
            </w:pPr>
            <w:r>
              <w:rPr>
                <w:i/>
                <w:iCs/>
              </w:rPr>
              <w:t>Liste der nichtfunktionalen Anforderungen, welche die Schnittstelle erfüllen muss.</w:t>
            </w:r>
          </w:p>
        </w:tc>
      </w:tr>
    </w:tbl>
    <w:p>
      <w:pPr>
        <w:pStyle w:val="berschrift4"/>
      </w:pPr>
      <w:bookmarkStart w:id="256" w:name="_Toc488819253"/>
      <w:r>
        <w:t>Eingabeparameter</w:t>
      </w:r>
      <w:bookmarkEnd w:id="256"/>
    </w:p>
    <w:p>
      <w:pPr>
        <w:rPr>
          <w:i/>
        </w:rPr>
      </w:pPr>
      <w:r>
        <w:rPr>
          <w:i/>
        </w:rPr>
        <w:t>Die Eingabeparameter der Nachbarsystemschnittstelle werden beschrieben. Wenn es viele Überschneidungen zwischen den Eingabeparametern der verschiedenen angebotenen Nachbarsystemschnittstellen gibt, kann dieser Abschnitt auch einmalig nach den Nachbarsystemschnittstellen beschrieben werden.</w:t>
      </w:r>
    </w:p>
    <w:p>
      <w:pPr>
        <w:pStyle w:val="berschrift5"/>
      </w:pPr>
      <w:bookmarkStart w:id="257" w:name="_Ref317501547"/>
      <w:bookmarkStart w:id="258" w:name="_Toc488819254"/>
      <w:r>
        <w:t>Schnittstellenentitätstyp NSE_&lt;Name des Schnittstellenentitätstyps&gt;</w:t>
      </w:r>
      <w:bookmarkEnd w:id="257"/>
      <w:bookmarkEnd w:id="258"/>
    </w:p>
    <w:p>
      <w:pPr>
        <w:spacing w:after="120"/>
      </w:pPr>
      <w:r>
        <w:rPr>
          <w:i/>
          <w:iCs/>
        </w:rPr>
        <w:t>Namen von Schnittstellenentitätstypen beginnen mit dem Präfix „NSE_“ gefolgt von einem Substantiv, z.B. „NSE_Person“. Falls nötig, kann noch ein Adjektiv vor das Substantiv gestellt werden. Es hat sich als sinnvoll erwiesen, zusätzlich eine Kurzfassung des Namens der Schnittstelle in den Namen der Entität aufzunehmen, z.B. „NSE_Meldung_Person“. Wenn die Schnittstellenentität einem Entitätstyp im Datenmodell entspricht, sollte sie auch analog heißen. Die hier beschriebene Füllung der Kurzbeschreibung der Schnittstellenentität und die Bedeutung des Attributs entsprechen unter Umständen den analogen Entitäten aus dem Datenmodell. In diesem Fall kann man in den Textfeldern dorthin verweisen, um Dopplungen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tc>
          <w:tcPr>
            <w:tcW w:w="2591" w:type="dxa"/>
            <w:shd w:val="clear" w:color="auto" w:fill="C0C0C0"/>
          </w:tcPr>
          <w:p>
            <w:pPr>
              <w:spacing w:before="60" w:after="60"/>
              <w:jc w:val="left"/>
              <w:rPr>
                <w:b/>
                <w:bCs/>
              </w:rPr>
            </w:pPr>
            <w:r>
              <w:rPr>
                <w:b/>
                <w:bCs/>
              </w:rPr>
              <w:t>Kurzbeschreibung</w:t>
            </w:r>
          </w:p>
        </w:tc>
        <w:tc>
          <w:tcPr>
            <w:tcW w:w="6449" w:type="dxa"/>
          </w:tcPr>
          <w:p>
            <w:pPr>
              <w:spacing w:before="60" w:after="60"/>
              <w:rPr>
                <w:i/>
                <w:iCs/>
              </w:rPr>
            </w:pPr>
            <w:r>
              <w:rPr>
                <w:i/>
                <w:iCs/>
              </w:rPr>
              <w:t>Die Beschreibung des Schnittstellenentitätstyps ermöglicht dem Leser, den Namen der Entität zu verstehen. Für die Begriffserklärung können 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348"/>
        <w:gridCol w:w="4101"/>
      </w:tblGrid>
      <w:tr>
        <w:tc>
          <w:tcPr>
            <w:tcW w:w="2591" w:type="dxa"/>
            <w:tcBorders>
              <w:bottom w:val="single" w:sz="4" w:space="0" w:color="auto"/>
            </w:tcBorders>
            <w:shd w:val="clear" w:color="auto" w:fill="C0C0C0"/>
          </w:tcPr>
          <w:p>
            <w:pPr>
              <w:spacing w:before="60" w:after="60"/>
              <w:jc w:val="left"/>
              <w:rPr>
                <w:b/>
                <w:bCs/>
              </w:rPr>
            </w:pPr>
            <w:r>
              <w:rPr>
                <w:b/>
                <w:bCs/>
              </w:rPr>
              <w:t xml:space="preserve">Attribut </w:t>
            </w:r>
          </w:p>
        </w:tc>
        <w:tc>
          <w:tcPr>
            <w:tcW w:w="2348" w:type="dxa"/>
            <w:shd w:val="clear" w:color="auto" w:fill="C0C0C0"/>
          </w:tcPr>
          <w:p>
            <w:pPr>
              <w:spacing w:before="60" w:after="60"/>
              <w:rPr>
                <w:b/>
                <w:bCs/>
              </w:rPr>
            </w:pPr>
            <w:r>
              <w:rPr>
                <w:b/>
                <w:bCs/>
              </w:rPr>
              <w:t>Datentyp</w:t>
            </w:r>
          </w:p>
        </w:tc>
        <w:tc>
          <w:tcPr>
            <w:tcW w:w="4101" w:type="dxa"/>
            <w:shd w:val="clear" w:color="auto" w:fill="C0C0C0"/>
          </w:tcPr>
          <w:p>
            <w:pPr>
              <w:spacing w:before="60" w:after="60"/>
              <w:rPr>
                <w:b/>
                <w:bCs/>
              </w:rPr>
            </w:pPr>
            <w:r>
              <w:rPr>
                <w:b/>
                <w:bCs/>
              </w:rPr>
              <w:t>Bedeutung</w:t>
            </w:r>
          </w:p>
        </w:tc>
      </w:tr>
      <w:tr>
        <w:tc>
          <w:tcPr>
            <w:tcW w:w="2591" w:type="dxa"/>
            <w:shd w:val="clear" w:color="auto" w:fill="auto"/>
          </w:tcPr>
          <w:p>
            <w:pPr>
              <w:spacing w:before="60" w:after="60"/>
              <w:jc w:val="left"/>
              <w:rPr>
                <w:i/>
                <w:iCs/>
              </w:rPr>
            </w:pPr>
            <w:r>
              <w:rPr>
                <w:i/>
                <w:iCs/>
              </w:rPr>
              <w:t>Name des Nachbarschnittstellenattributs beginnend mit dem Präfix „NSA_“.</w:t>
            </w:r>
          </w:p>
        </w:tc>
        <w:tc>
          <w:tcPr>
            <w:tcW w:w="2348" w:type="dxa"/>
            <w:shd w:val="clear" w:color="auto" w:fill="auto"/>
          </w:tcPr>
          <w:p>
            <w:pPr>
              <w:spacing w:before="60" w:after="60"/>
              <w:rPr>
                <w:i/>
                <w:iCs/>
              </w:rPr>
            </w:pPr>
            <w:r>
              <w:rPr>
                <w:i/>
                <w:iCs/>
              </w:rPr>
              <w:t>Verweis auf den fachlichen Datentyp (siehe Abschnitt „Datentypen“ des Kapitels zum Datenmodell) oder auf einen einfachen Datentyp („Zeichenkette“, „Ganzzahl“, „Fließkommazahl“ etc.).</w:t>
            </w:r>
          </w:p>
        </w:tc>
        <w:tc>
          <w:tcPr>
            <w:tcW w:w="4101" w:type="dxa"/>
            <w:shd w:val="clear" w:color="auto" w:fill="auto"/>
          </w:tcPr>
          <w:p>
            <w:pPr>
              <w:spacing w:before="60" w:after="60"/>
              <w:rPr>
                <w:i/>
                <w:iCs/>
              </w:rPr>
            </w:pPr>
            <w:r>
              <w:rPr>
                <w:i/>
                <w:iCs/>
              </w:rPr>
              <w:t>Die Beschreibung des Attributes sollte einen inhaltlichen Mehrwert bringen (also Beschreibungen wie „Datum ist das Datum der Buchung“ vermeiden).</w:t>
            </w:r>
          </w:p>
          <w:p>
            <w:pPr>
              <w:spacing w:before="60" w:after="60"/>
              <w:rPr>
                <w:i/>
                <w:iCs/>
              </w:rPr>
            </w:pPr>
            <w:r>
              <w:rPr>
                <w:i/>
                <w:iCs/>
              </w:rPr>
              <w:t>Folgende Fragestellungen können bei der Beschreibung helfen:</w:t>
            </w:r>
          </w:p>
          <w:p>
            <w:pPr>
              <w:numPr>
                <w:ilvl w:val="0"/>
                <w:numId w:val="7"/>
              </w:numPr>
              <w:tabs>
                <w:tab w:val="clear" w:pos="720"/>
                <w:tab w:val="num" w:pos="332"/>
              </w:tabs>
              <w:spacing w:before="60" w:after="60"/>
              <w:ind w:left="332"/>
              <w:rPr>
                <w:i/>
                <w:iCs/>
              </w:rPr>
            </w:pPr>
            <w:r>
              <w:rPr>
                <w:i/>
                <w:iCs/>
              </w:rPr>
              <w:t>Ist diese Information immer oder nur unter bestimmten Bedingungen vorhanden?</w:t>
            </w:r>
          </w:p>
          <w:p>
            <w:pPr>
              <w:numPr>
                <w:ilvl w:val="0"/>
                <w:numId w:val="7"/>
              </w:numPr>
              <w:tabs>
                <w:tab w:val="clear" w:pos="720"/>
                <w:tab w:val="num" w:pos="332"/>
              </w:tabs>
              <w:spacing w:before="60" w:after="60"/>
              <w:ind w:left="332"/>
              <w:rPr>
                <w:i/>
                <w:iCs/>
              </w:rPr>
            </w:pPr>
            <w:r>
              <w:rPr>
                <w:i/>
                <w:iCs/>
              </w:rPr>
              <w:t>Wann und wo entsteht diese Information?</w:t>
            </w:r>
          </w:p>
          <w:p>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pPr>
              <w:numPr>
                <w:ilvl w:val="0"/>
                <w:numId w:val="7"/>
              </w:numPr>
              <w:tabs>
                <w:tab w:val="clear" w:pos="720"/>
                <w:tab w:val="num" w:pos="332"/>
              </w:tabs>
              <w:spacing w:before="60" w:after="60"/>
              <w:ind w:left="332"/>
            </w:pPr>
            <w:r>
              <w:rPr>
                <w:i/>
                <w:iCs/>
              </w:rPr>
              <w:t>Für welchen Zeitraum bzw. bis zu welchem Zeitpunkt ist diese Information gültig?</w:t>
            </w:r>
          </w:p>
        </w:tc>
      </w:tr>
      <w:tr>
        <w:tc>
          <w:tcPr>
            <w:tcW w:w="2591" w:type="dxa"/>
            <w:shd w:val="clear" w:color="auto" w:fill="auto"/>
          </w:tcPr>
          <w:p>
            <w:pPr>
              <w:spacing w:before="60" w:after="60"/>
              <w:jc w:val="left"/>
              <w:rPr>
                <w:i/>
                <w:iCs/>
              </w:rPr>
            </w:pPr>
            <w:r>
              <w:rPr>
                <w:i/>
                <w:iCs/>
              </w:rPr>
              <w:t>Weitere Nachbarschnittstellenattributs in nachfolgenden Zeilen</w:t>
            </w:r>
          </w:p>
        </w:tc>
        <w:tc>
          <w:tcPr>
            <w:tcW w:w="2348" w:type="dxa"/>
            <w:shd w:val="clear" w:color="auto" w:fill="auto"/>
          </w:tcPr>
          <w:p>
            <w:pPr>
              <w:spacing w:before="60" w:after="60"/>
              <w:rPr>
                <w:i/>
                <w:iCs/>
              </w:rPr>
            </w:pPr>
            <w:r>
              <w:rPr>
                <w:i/>
                <w:iCs/>
              </w:rPr>
              <w:t>Weitere Datentypen</w:t>
            </w:r>
          </w:p>
        </w:tc>
        <w:tc>
          <w:tcPr>
            <w:tcW w:w="4101" w:type="dxa"/>
            <w:shd w:val="clear" w:color="auto" w:fill="auto"/>
          </w:tcPr>
          <w:p>
            <w:pPr>
              <w:spacing w:before="60" w:after="60"/>
              <w:rPr>
                <w:i/>
                <w:iCs/>
              </w:rPr>
            </w:pPr>
            <w:r>
              <w:rPr>
                <w:i/>
                <w:iCs/>
              </w:rPr>
              <w:t>Weitere Beschreibungen</w:t>
            </w:r>
          </w:p>
        </w:tc>
      </w:tr>
    </w:tbl>
    <w:p/>
    <w:p>
      <w:pPr>
        <w:pStyle w:val="berschrift4"/>
      </w:pPr>
      <w:bookmarkStart w:id="259" w:name="_Toc488819255"/>
      <w:r>
        <w:t>NST_&lt;Bezeichnung der Nachbarschnittstelle&gt;</w:t>
      </w:r>
      <w:bookmarkEnd w:id="259"/>
    </w:p>
    <w:p>
      <w:r>
        <w:rPr>
          <w:i/>
        </w:rPr>
        <w:t>Dieser Abschnitt ist ein Platzhalter, um zu verdeutlichen, dass ab hier weitere angebotene Schnittstellen mit ihren Ein- und Ausgabeparametern zu beschreiben sind.</w:t>
      </w:r>
    </w:p>
    <w:p>
      <w:pPr>
        <w:pStyle w:val="berschrift2"/>
      </w:pPr>
      <w:bookmarkStart w:id="260" w:name="_Toc488819256"/>
      <w:r>
        <w:t>Benutzte Schnittstellen</w:t>
      </w:r>
      <w:bookmarkEnd w:id="260"/>
    </w:p>
    <w:p>
      <w:pPr>
        <w:rPr>
          <w:i/>
          <w:iCs/>
        </w:rPr>
      </w:pPr>
      <w:r>
        <w:rPr>
          <w:i/>
          <w:iCs/>
        </w:rPr>
        <w:t>Ein UML-Komponentendiagramm gibt einen Überblick über die vom Anwendungssystem benutzten Schnittstellen, geordnet nach den anbietenden Anwendungssystemen. Benutzte Schnittstellen werden normalerweise im anbietenden Nachbarsystem modelliert. Falls keine derartige Dokumentation vorliegt, können sie hier analog der angebotenen Schnittstellen modelliert werden.</w:t>
      </w:r>
    </w:p>
    <w:p>
      <w:pPr>
        <w:keepNext/>
        <w:jc w:val="center"/>
      </w:pPr>
      <w:r>
        <w:rPr>
          <w:noProof/>
        </w:rPr>
        <w:drawing>
          <wp:inline distT="0" distB="0" distL="0" distR="0">
            <wp:extent cx="4763135" cy="1144905"/>
            <wp:effectExtent l="0" t="0" r="0" b="0"/>
            <wp:docPr id="24" name="Bild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763135" cy="114490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23</w:t>
        </w:r>
      </w:fldSimple>
      <w:r>
        <w:t>: Benutzte Schnittstellen</w:t>
      </w:r>
    </w:p>
    <w:p>
      <w:pPr>
        <w:jc w:val="center"/>
      </w:pPr>
    </w:p>
    <w:p>
      <w:pPr>
        <w:pStyle w:val="EA-Beschreibung"/>
      </w:pPr>
      <w:r>
        <w:t>Erstellung des Diagramms im Enterprise Architect:</w:t>
      </w:r>
    </w:p>
    <w:p>
      <w:pPr>
        <w:pStyle w:val="EA-Beschreibung"/>
      </w:pPr>
      <w:r>
        <w:t>Hier hat man zwei Alternativen: Entweder die Nachbarsysteme sind bereits im EA modelliert, dann nimmt man die angebotenen Schnittstellen aus diesen Anwendungssystemen und zieht sie in ein Composite Structure Diagramm im eigenen Anwendungssystem. Wenn nötig kann man dazu die Schnittstellen oder die gesamten Anwendungssysteme ins eigene EA-Modell importieren. Oder die Nachbarsysteme werden nicht modelliert (z.B. bei Anwendungssystemen außerhalb der Anwendungslandschaft), dann spezifiziert man benutzte Schnittstellen im eigenen Anwendungssystem.</w:t>
      </w:r>
    </w:p>
    <w:p>
      <w:pPr>
        <w:pStyle w:val="EA-Beschreibung"/>
      </w:pPr>
      <w:r>
        <w:t>Zur Abgrenzung verschiedener Nachbarsysteme zieht man je eine Boundary um die Schnittstellen eines Nachbarsystems und gibt ihr über ihre Properties den Namen des Nachbarsystems.</w:t>
      </w:r>
    </w:p>
    <w:p>
      <w:pPr>
        <w:pStyle w:val="berschrift3"/>
      </w:pPr>
      <w:bookmarkStart w:id="261" w:name="_Toc488819257"/>
      <w:r>
        <w:t xml:space="preserve">Benutzte Nachbarschnittstelle </w:t>
      </w:r>
      <w:bookmarkStart w:id="262" w:name="_Ref144883046"/>
      <w:r>
        <w:t>NST_&lt;Bezeichnung der Nachbarschnittstelle&gt;</w:t>
      </w:r>
      <w:bookmarkEnd w:id="261"/>
      <w:bookmarkEnd w:id="262"/>
    </w:p>
    <w:p>
      <w:pPr>
        <w:rPr>
          <w:i/>
        </w:rPr>
      </w:pPr>
      <w:r>
        <w:rPr>
          <w:i/>
        </w:rPr>
        <w:t>Falls benutzte Nachbarschnittstellen ausmodelliert werden, erfolgt dies hier analog der angebotenen Nachbarsystemschnittstellen.</w:t>
      </w:r>
    </w:p>
    <w:p>
      <w:pPr>
        <w:pStyle w:val="berschrift3"/>
      </w:pPr>
      <w:bookmarkStart w:id="263" w:name="_Toc488819258"/>
      <w:r>
        <w:t>Benutzte Nachbarschnittstelle NNST_&lt;Bezeichnung der Nachbarschnittstelle&gt;</w:t>
      </w:r>
      <w:bookmarkEnd w:id="263"/>
    </w:p>
    <w:p>
      <w:r>
        <w:rPr>
          <w:i/>
        </w:rPr>
        <w:t>Dieser Abschnitt ist ein Platzhalter, um zu verdeutlichen, dass ab hier weitere benutzte Nachbarschnittstellen zu beschreiben sind.</w:t>
      </w:r>
    </w:p>
    <w:p>
      <w:pPr>
        <w:pStyle w:val="berschrift1"/>
      </w:pPr>
      <w:bookmarkStart w:id="264" w:name="_Toc317363879"/>
      <w:bookmarkStart w:id="265" w:name="_Toc317364709"/>
      <w:bookmarkStart w:id="266" w:name="_Toc317368643"/>
      <w:bookmarkStart w:id="267" w:name="_Toc317363880"/>
      <w:bookmarkStart w:id="268" w:name="_Toc317364710"/>
      <w:bookmarkStart w:id="269" w:name="_Toc317368644"/>
      <w:bookmarkStart w:id="270" w:name="_Toc317363883"/>
      <w:bookmarkStart w:id="271" w:name="_Toc317364713"/>
      <w:bookmarkStart w:id="272" w:name="_Toc317368647"/>
      <w:bookmarkStart w:id="273" w:name="_Toc317363884"/>
      <w:bookmarkStart w:id="274" w:name="_Toc317364714"/>
      <w:bookmarkStart w:id="275" w:name="_Toc317368648"/>
      <w:bookmarkStart w:id="276" w:name="_Toc317363887"/>
      <w:bookmarkStart w:id="277" w:name="_Toc317364717"/>
      <w:bookmarkStart w:id="278" w:name="_Toc317368651"/>
      <w:bookmarkStart w:id="279" w:name="_Toc317363891"/>
      <w:bookmarkStart w:id="280" w:name="_Toc317364721"/>
      <w:bookmarkStart w:id="281" w:name="_Toc317368655"/>
      <w:bookmarkStart w:id="282" w:name="_Toc317363893"/>
      <w:bookmarkStart w:id="283" w:name="_Toc317364723"/>
      <w:bookmarkStart w:id="284" w:name="_Toc317368657"/>
      <w:bookmarkStart w:id="285" w:name="_Toc317363898"/>
      <w:bookmarkStart w:id="286" w:name="_Toc317364728"/>
      <w:bookmarkStart w:id="287" w:name="_Toc317368662"/>
      <w:bookmarkStart w:id="288" w:name="_Toc317363901"/>
      <w:bookmarkStart w:id="289" w:name="_Toc317364731"/>
      <w:bookmarkStart w:id="290" w:name="_Toc317368665"/>
      <w:bookmarkStart w:id="291" w:name="_Toc317363907"/>
      <w:bookmarkStart w:id="292" w:name="_Toc317364737"/>
      <w:bookmarkStart w:id="293" w:name="_Toc317368671"/>
      <w:bookmarkStart w:id="294" w:name="_Toc317363910"/>
      <w:bookmarkStart w:id="295" w:name="_Toc317364740"/>
      <w:bookmarkStart w:id="296" w:name="_Toc317368674"/>
      <w:bookmarkStart w:id="297" w:name="_Toc488819259"/>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r>
        <w:t>Nichtfunktionale Anforderungen</w:t>
      </w:r>
      <w:bookmarkEnd w:id="297"/>
    </w:p>
    <w:p>
      <w:pPr>
        <w:rPr>
          <w:i/>
          <w:iCs/>
        </w:rPr>
      </w:pPr>
      <w:r>
        <w:rPr>
          <w:i/>
          <w:iCs/>
        </w:rPr>
        <w:t>Die Spezifikation der nichtfunktionalen Anforderungen umfasst alle Anforderungen, die nicht der Fachlichkeit und dem funktionalen Verhalten des Anwendungssystems zugerechnet werden können und die nicht in anderen Abschnitten der Spezifikation behandelt werden. Nichtfunktionale Anforderungen, die in anderen Spezifikationsabschnitten behandelt werden, sind vor allem die Benutzbarkeitsanforderungen der Dialogspezifikation und die Projektanforderungen.</w:t>
      </w:r>
    </w:p>
    <w:p>
      <w:pPr>
        <w:rPr>
          <w:i/>
          <w:iCs/>
        </w:rPr>
      </w:pPr>
      <w:r>
        <w:rPr>
          <w:i/>
          <w:iCs/>
        </w:rPr>
        <w:t>Nichtfunktionale Anforderungen verdienen besondere Berücksichtigung, da sie gerne vernachlässigt werden, mitunter schwer umzusetzen sind und gleichzeitig eine hohe Bedeutung für den Projekterfolg haben können (z.B. Laufzeitverhalten des Anwendungssystems).</w:t>
      </w:r>
    </w:p>
    <w:p>
      <w:pPr>
        <w:rPr>
          <w:i/>
          <w:iCs/>
        </w:rPr>
      </w:pPr>
      <w:r>
        <w:rPr>
          <w:i/>
          <w:iCs/>
        </w:rPr>
        <w:t>Erfahrungsgemäß können hier beschriebene Anforderungen projektweite Auswirkungen entfalten oder zu erheblichen Mehraufwänden führen. Deshalb sind solche Anforderungen sehr gewissenhaft aufzustellen und auf das fachlich notwendige Maß zu beschränken.</w:t>
      </w:r>
    </w:p>
    <w:p>
      <w:pPr>
        <w:rPr>
          <w:i/>
          <w:iCs/>
        </w:rPr>
      </w:pPr>
      <w:r>
        <w:rPr>
          <w:i/>
          <w:iCs/>
        </w:rPr>
        <w:t>Beispiel: Es ist natürlich immer wünschenswert, bei Online-Funktionen eine Antwortzeit von maximal 3 Sekunden zu fordern. Eine solche Forderung kann aber je nach Komplexität der Anwendungsarchitektur dazu führen, dass Hard- und Softwarekosten entstehen, die in keinem Verhältnis zum Nutzen stehen.</w:t>
      </w:r>
    </w:p>
    <w:p>
      <w:pPr>
        <w:pStyle w:val="berschrift2"/>
      </w:pPr>
      <w:bookmarkStart w:id="298" w:name="_Toc488819260"/>
      <w:r>
        <w:t>Performanz und Antwortzeitverhalten</w:t>
      </w:r>
      <w:bookmarkEnd w:id="298"/>
    </w:p>
    <w:p>
      <w:pPr>
        <w:rPr>
          <w:i/>
        </w:rPr>
      </w:pPr>
      <w:r>
        <w:rPr>
          <w:i/>
        </w:rPr>
        <w:t>Die Anforderungen an das Antwortzeitverhalten im Dialog und die Verarbeitungsdauer im Batch sind wichtige Parameter für die technische Architektur des Anwendungssystems. Oft erhält man hier Angaben wie "Antwortzeit im Dialog max. 10 Sekunden". Idealerweise sollten aber Performanz-Anforderungen je Anwendungsfall spezifiziert werden. Hier ist dann der Ort, an dem diese Informationen dann noch einmal tabellarisch zusammengefasst dargestellt werden.</w:t>
      </w:r>
    </w:p>
    <w:p>
      <w:pPr>
        <w:pStyle w:val="berschrift3"/>
        <w:tabs>
          <w:tab w:val="num" w:pos="720"/>
        </w:tabs>
        <w:spacing w:before="240" w:after="60"/>
        <w:ind w:left="720" w:hanging="720"/>
        <w:jc w:val="both"/>
      </w:pPr>
      <w:bookmarkStart w:id="299" w:name="_Toc290540989"/>
      <w:bookmarkStart w:id="300" w:name="_Ref317243876"/>
      <w:bookmarkStart w:id="301" w:name="_Toc488819261"/>
      <w:r>
        <w:t>NFA_</w:t>
      </w:r>
      <w:bookmarkEnd w:id="299"/>
      <w:r>
        <w:t>&lt;Name der Anforderung&gt;</w:t>
      </w:r>
      <w:bookmarkEnd w:id="300"/>
      <w:bookmarkEnd w:id="301"/>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Ein kurzer Satz, was gefordert wird.</w:t>
            </w:r>
          </w:p>
        </w:tc>
      </w:tr>
      <w:tr>
        <w:tc>
          <w:tcPr>
            <w:tcW w:w="2437" w:type="dxa"/>
            <w:shd w:val="clear" w:color="auto" w:fill="C0C0C0"/>
          </w:tcPr>
          <w:p>
            <w:pPr>
              <w:spacing w:after="60"/>
              <w:jc w:val="left"/>
              <w:rPr>
                <w:b/>
              </w:rPr>
            </w:pPr>
            <w:r>
              <w:rPr>
                <w:b/>
              </w:rPr>
              <w:t>Prüfkriterien</w:t>
            </w:r>
          </w:p>
        </w:tc>
        <w:tc>
          <w:tcPr>
            <w:tcW w:w="6671" w:type="dxa"/>
          </w:tcPr>
          <w:p>
            <w:pPr>
              <w:spacing w:after="60"/>
              <w:jc w:val="left"/>
            </w:pPr>
            <w:r>
              <w:rPr>
                <w:i/>
                <w:iCs/>
              </w:rPr>
              <w:t>wie wissen Sie, ob die Anforderung erfüllt ist?</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Wer hat die Anforderung gestellt?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Vorzugsweise Bewertung mittels Unzufriedenheits-/Zufriedenheits-Maß</w:t>
            </w:r>
          </w:p>
        </w:tc>
      </w:tr>
    </w:tbl>
    <w:p>
      <w:pPr>
        <w:rPr>
          <w:i/>
          <w:iCs/>
        </w:rPr>
      </w:pPr>
      <w:r>
        <w:rPr>
          <w:i/>
          <w:iCs/>
        </w:rPr>
        <w:t>Optional können  zusätzlich folgende Felder aufgenommen werden:</w:t>
      </w:r>
    </w:p>
    <w:p>
      <w:pPr>
        <w:numPr>
          <w:ilvl w:val="0"/>
          <w:numId w:val="10"/>
        </w:numPr>
        <w:rPr>
          <w:i/>
          <w:iCs/>
        </w:rPr>
      </w:pPr>
      <w:r>
        <w:rPr>
          <w:i/>
          <w:iCs/>
        </w:rPr>
        <w:t>Begründung (warum ist die Anforderung wichtig?)</w:t>
      </w:r>
    </w:p>
    <w:p>
      <w:pPr>
        <w:numPr>
          <w:ilvl w:val="0"/>
          <w:numId w:val="10"/>
        </w:numPr>
        <w:rPr>
          <w:i/>
          <w:iCs/>
        </w:rPr>
      </w:pPr>
      <w:r>
        <w:rPr>
          <w:i/>
          <w:iCs/>
        </w:rPr>
        <w:t>Abhängigkeiten (Verweise auf andere Anforderungen, die das gleiche Thema betreffen)</w:t>
      </w:r>
    </w:p>
    <w:p>
      <w:pPr>
        <w:numPr>
          <w:ilvl w:val="0"/>
          <w:numId w:val="10"/>
        </w:numPr>
        <w:rPr>
          <w:i/>
          <w:iCs/>
        </w:rPr>
      </w:pPr>
      <w:r>
        <w:rPr>
          <w:i/>
          <w:iCs/>
        </w:rPr>
        <w:t>Zusätzliche Materialien (Verweise auf Definitionen, Modelle und Dokumente, die die Anforderung verdeutlichen)</w:t>
      </w:r>
    </w:p>
    <w:p>
      <w:pPr>
        <w:numPr>
          <w:ilvl w:val="0"/>
          <w:numId w:val="10"/>
        </w:numPr>
        <w:rPr>
          <w:i/>
          <w:iCs/>
        </w:rPr>
      </w:pPr>
      <w:r>
        <w:rPr>
          <w:i/>
          <w:iCs/>
        </w:rPr>
        <w:t>Historie (Änderungshistorie der Anforderung)</w:t>
      </w:r>
    </w:p>
    <w:p>
      <w:pPr>
        <w:numPr>
          <w:ilvl w:val="0"/>
          <w:numId w:val="10"/>
        </w:numPr>
        <w:rPr>
          <w:i/>
          <w:iCs/>
        </w:rPr>
      </w:pPr>
      <w:r>
        <w:rPr>
          <w:i/>
          <w:iCs/>
        </w:rPr>
        <w:t>Verweise auf die Anwendungsfälle, auf welche sich die Anforderung bezieht.</w:t>
      </w:r>
    </w:p>
    <w:p>
      <w:pPr>
        <w:pStyle w:val="berschrift3"/>
        <w:tabs>
          <w:tab w:val="num" w:pos="720"/>
        </w:tabs>
        <w:spacing w:before="240" w:after="60"/>
        <w:ind w:left="720" w:hanging="720"/>
        <w:jc w:val="both"/>
      </w:pPr>
      <w:bookmarkStart w:id="302" w:name="_Toc488819262"/>
      <w:r>
        <w:t>NFA_Performanz_und_Antwortzeitverhalten (optional)</w:t>
      </w:r>
      <w:bookmarkEnd w:id="302"/>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Die Verarbeitung einer &lt;Meldung / Auskunft / …&gt; muss im &lt;System&gt; in &lt;Prozent&gt; der Fälle innerhalb von &lt;Sekunden&gt; durchgeführt werden.</w:t>
            </w:r>
          </w:p>
          <w:p>
            <w:pPr>
              <w:spacing w:after="60"/>
              <w:jc w:val="left"/>
              <w:rPr>
                <w:i/>
              </w:rPr>
            </w:pPr>
            <w:r>
              <w:rPr>
                <w:i/>
              </w:rPr>
              <w:t>In weiteren &lt;Prozent&gt; der Fälle muss sie innerhalb von &lt;Sekunden&gt; durchgeführt werden.</w:t>
            </w:r>
          </w:p>
          <w:p>
            <w:pPr>
              <w:spacing w:after="60"/>
              <w:jc w:val="left"/>
              <w:rPr>
                <w:i/>
              </w:rPr>
            </w:pPr>
            <w:r>
              <w:rPr>
                <w:i/>
              </w:rPr>
              <w:t>In &lt;Prozent&gt; der Fälle sind längere Antwortzeiten erlaubt.</w:t>
            </w:r>
          </w:p>
          <w:p>
            <w:pPr>
              <w:spacing w:after="60"/>
              <w:jc w:val="left"/>
              <w:rPr>
                <w:i/>
              </w:rPr>
            </w:pPr>
            <w:r>
              <w:rPr>
                <w:i/>
              </w:rPr>
              <w:t>Die Messung der Antwortzeit erfolgt an der &lt;Service-Schnittstelle des Systems / …&gt;.</w:t>
            </w:r>
          </w:p>
          <w:p>
            <w:pPr>
              <w:spacing w:after="60"/>
              <w:jc w:val="left"/>
              <w:rPr>
                <w:i/>
              </w:rPr>
            </w:pPr>
            <w:r>
              <w:rPr>
                <w:i/>
              </w:rPr>
              <w:t>Die Antwortzeiten von Nachbarsystemen sind &lt;nicht&gt; in den geforderten Antwortzeiten enthalten.</w:t>
            </w:r>
          </w:p>
        </w:tc>
      </w:tr>
      <w:tr>
        <w:tc>
          <w:tcPr>
            <w:tcW w:w="2437" w:type="dxa"/>
            <w:shd w:val="clear" w:color="auto" w:fill="C0C0C0"/>
          </w:tcPr>
          <w:p>
            <w:pPr>
              <w:spacing w:after="60"/>
              <w:jc w:val="left"/>
              <w:rPr>
                <w:b/>
              </w:rPr>
            </w:pPr>
            <w:r>
              <w:rPr>
                <w:b/>
              </w:rPr>
              <w:t>Prüfkriterien</w:t>
            </w:r>
          </w:p>
        </w:tc>
        <w:tc>
          <w:tcPr>
            <w:tcW w:w="6671" w:type="dxa"/>
          </w:tcPr>
          <w:p>
            <w:pPr>
              <w:spacing w:after="60"/>
              <w:jc w:val="left"/>
              <w:rPr>
                <w:i/>
              </w:rPr>
            </w:pPr>
            <w:r>
              <w:rPr>
                <w:i/>
              </w:rPr>
              <w:t>&lt;Test in Staging-Umgebung mit Echtdaten / Verwendung von JMeter /  …&gt; &lt;Nachbarsysteme werden durch Stubs ersetzt / …&gt;</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&lt;Quelle der Anforderung&gt;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&lt;hoch / mittel / niedrig&gt;</w:t>
            </w:r>
          </w:p>
        </w:tc>
      </w:tr>
    </w:tbl>
    <w:p>
      <w:pPr>
        <w:pStyle w:val="berschrift3"/>
        <w:tabs>
          <w:tab w:val="num" w:pos="720"/>
        </w:tabs>
        <w:spacing w:before="240" w:after="60"/>
        <w:ind w:left="720" w:hanging="720"/>
        <w:jc w:val="both"/>
      </w:pPr>
      <w:bookmarkStart w:id="303" w:name="_Toc488819263"/>
      <w:r>
        <w:t>NFA_&lt;Name der Anforderung&gt;</w:t>
      </w:r>
      <w:bookmarkEnd w:id="303"/>
    </w:p>
    <w:p>
      <w:pPr>
        <w:rPr>
          <w:i/>
        </w:rPr>
      </w:pPr>
      <w:r>
        <w:rPr>
          <w:i/>
        </w:rPr>
        <w:t>Dieser Abschnitt ist ein Platzhalter, um zu verdeutlichen, dass ab hier weitere nichtfunktionale Anforderungen zu beschreiben sind.</w:t>
      </w:r>
    </w:p>
    <w:p>
      <w:pPr>
        <w:pStyle w:val="berschrift2"/>
      </w:pPr>
      <w:bookmarkStart w:id="304" w:name="_Toc488819264"/>
      <w:r>
        <w:t>Lastverhalten und Mengengerüst</w:t>
      </w:r>
      <w:bookmarkEnd w:id="304"/>
    </w:p>
    <w:p>
      <w:pPr>
        <w:rPr>
          <w:i/>
          <w:iCs/>
        </w:rPr>
      </w:pPr>
      <w:r>
        <w:rPr>
          <w:i/>
          <w:iCs/>
        </w:rPr>
        <w:t>Mengengerüste können sich auf Aspekte wie Benutzerzahlen, Benutzungshäufigkeit, zeitliche und räumliche Verteilung der Benutzung, Menge fachlicher Objekte und Datenvolumen beziehen. Die Mengengerüste sind eine wichtige Bezugsgröße für nichtfunktionale Anforderungen. Zum Beispiel sind Performanzanforderungen nur dann aussagekräftig, wenn sie sich als Voraussetzung und Annahme auf ein konkretes Mengengerüst beziehen. Das Mengengerüst selbst ist auch eine wichtige Anforderung, die für die Konstruktion große Bedeutung besitzt.</w:t>
      </w:r>
    </w:p>
    <w:p>
      <w:pPr>
        <w:rPr>
          <w:i/>
        </w:rPr>
      </w:pPr>
      <w:r>
        <w:rPr>
          <w:i/>
        </w:rPr>
        <w:t>Die maximale Last, die das Anwendungssystem verarbeiten können muss, wird spezifiziert. Idealerweise kann das je Anwendungsfall angegeben werden. Außerdem sind Angaben zu der maximalen gleichzeitig zu erwartenden Benutzeranzahl (parallele Sessions) zu machen.</w:t>
      </w:r>
    </w:p>
    <w:p>
      <w:pPr>
        <w:pStyle w:val="berschrift3"/>
        <w:tabs>
          <w:tab w:val="num" w:pos="720"/>
        </w:tabs>
        <w:spacing w:before="240" w:after="60"/>
        <w:ind w:left="720" w:hanging="720"/>
        <w:jc w:val="both"/>
      </w:pPr>
      <w:bookmarkStart w:id="305" w:name="_Toc488819265"/>
      <w:r>
        <w:t>NFA_Lastverhalten_und_Mengengerüst (optional)</w:t>
      </w:r>
      <w:bookmarkEnd w:id="305"/>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&lt;Das System&gt; muss in der Lage sein, in Stoßzeiten &lt;Zahl&gt; &lt;Auskünfte/Meldungen/… pro Zeiteinheit&gt; zu verarbeiten.</w:t>
            </w:r>
          </w:p>
        </w:tc>
      </w:tr>
      <w:tr>
        <w:tc>
          <w:tcPr>
            <w:tcW w:w="2437" w:type="dxa"/>
            <w:shd w:val="clear" w:color="auto" w:fill="C0C0C0"/>
          </w:tcPr>
          <w:p>
            <w:pPr>
              <w:spacing w:after="60"/>
              <w:jc w:val="left"/>
              <w:rPr>
                <w:b/>
              </w:rPr>
            </w:pPr>
            <w:r>
              <w:rPr>
                <w:b/>
              </w:rPr>
              <w:t>Prüfkriterien</w:t>
            </w:r>
          </w:p>
        </w:tc>
        <w:tc>
          <w:tcPr>
            <w:tcW w:w="6671" w:type="dxa"/>
          </w:tcPr>
          <w:p>
            <w:pPr>
              <w:spacing w:after="60"/>
              <w:jc w:val="left"/>
              <w:rPr>
                <w:i/>
              </w:rPr>
            </w:pPr>
            <w:r>
              <w:rPr>
                <w:i/>
              </w:rPr>
              <w:t>&lt;Test in Staging-Umgebung mit Echtdaten / Verwendung von JMeter / …&gt; &lt; Nachbarsysteme werden durch Stubs ersetzt / …&gt;</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&lt;Quelle der Anforderung&gt;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&lt;hoch / mittel / niedrig&gt;</w:t>
            </w:r>
          </w:p>
        </w:tc>
      </w:tr>
    </w:tbl>
    <w:p>
      <w:pPr>
        <w:pStyle w:val="berschrift3"/>
        <w:tabs>
          <w:tab w:val="num" w:pos="720"/>
        </w:tabs>
        <w:spacing w:before="240" w:after="60"/>
        <w:ind w:left="720" w:hanging="720"/>
        <w:jc w:val="both"/>
      </w:pPr>
      <w:bookmarkStart w:id="306" w:name="_Toc488819266"/>
      <w:r>
        <w:t>NFA_&lt;Name der Anforderung&gt;</w:t>
      </w:r>
      <w:bookmarkEnd w:id="306"/>
    </w:p>
    <w:p>
      <w:r>
        <w:rPr>
          <w:i/>
        </w:rPr>
        <w:t>Dieser Abschnitt ist ein Platzhalter, um zu verdeutlichen, dass ab hier weitere nichtfunktionale Anforderungen zu beschreiben sind.</w:t>
      </w:r>
    </w:p>
    <w:p>
      <w:pPr>
        <w:pStyle w:val="berschrift2"/>
      </w:pPr>
      <w:bookmarkStart w:id="307" w:name="_Toc488819267"/>
      <w:r>
        <w:t>Verfügbarkeit</w:t>
      </w:r>
      <w:bookmarkEnd w:id="307"/>
    </w:p>
    <w:p>
      <w:pPr>
        <w:rPr>
          <w:i/>
        </w:rPr>
      </w:pPr>
      <w:r>
        <w:rPr>
          <w:i/>
        </w:rPr>
        <w:t>In diesem Kapitel werden besondere Anforderungen an die Verfügbarkeit spezifiziert. Die Verfügbarkeit wird über einen Prozentwert gemessen, der unter Berücksichtigung von definierten Betriebs- und Wartungsfenstern angibt, wie ausfallsicher ein Anwendungssystem sein soll und tatsächlich ist. Spezifiziert wird die geplante Betriebszeit, unterschieden nach Online und Batchbetrieb. Zum Beispiel wird hier angegeben, dass der Dialog jeweils Montag bis Freitag von 07:00 bis 19:00 Uhr zur Verfügung stehen muss. Alternativ wird auch einfach nur ein Prozentwert angegeben, zum Beispiel 99%.</w:t>
      </w:r>
    </w:p>
    <w:p>
      <w:pPr>
        <w:rPr>
          <w:i/>
        </w:rPr>
      </w:pPr>
      <w:r>
        <w:rPr>
          <w:i/>
        </w:rPr>
        <w:t xml:space="preserve">Wichtig ist, dass klar spezifiziert wird, wie die Verfügbarkeit des Anwendungssystems exakt definiert ist. </w:t>
      </w:r>
      <w:r>
        <w:rPr>
          <w:i/>
        </w:rPr>
        <w:fldChar w:fldCharType="begin"/>
      </w:r>
      <w:r>
        <w:rPr>
          <w:i/>
        </w:rPr>
        <w:instrText xml:space="preserve"> REF _Ref143405245 \h </w:instrText>
      </w:r>
      <w:r>
        <w:rPr>
          <w:i/>
        </w:rPr>
      </w:r>
      <w:r>
        <w:rPr>
          <w:i/>
        </w:rPr>
        <w:fldChar w:fldCharType="separate"/>
      </w:r>
      <w:r>
        <w:t xml:space="preserve">Abbildung </w:t>
      </w:r>
      <w:r>
        <w:rPr>
          <w:noProof/>
        </w:rPr>
        <w:t>24</w:t>
      </w:r>
      <w:r>
        <w:rPr>
          <w:i/>
        </w:rPr>
        <w:fldChar w:fldCharType="end"/>
      </w:r>
      <w:r>
        <w:rPr>
          <w:i/>
        </w:rPr>
        <w:t xml:space="preserve"> gibt einen Überblick, was zu berücksichtigen ist.</w:t>
      </w:r>
    </w:p>
    <w:p>
      <w:pPr>
        <w:rPr>
          <w:i/>
        </w:rPr>
      </w:pPr>
      <w:r>
        <w:rPr>
          <w:noProof/>
        </w:rPr>
        <w:drawing>
          <wp:inline distT="0" distB="0" distL="0" distR="0">
            <wp:extent cx="5796280" cy="3013710"/>
            <wp:effectExtent l="19050" t="19050" r="13970" b="15240"/>
            <wp:docPr id="25" name="Bild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4"/>
                    <pic:cNvPicPr>
                      <a:picLocks noChangeAspect="1" noChangeArrowheads="1"/>
                    </pic:cNvPicPr>
                  </pic:nvPicPr>
                  <pic:blipFill>
                    <a:blip r:embed="rId48">
                      <a:extLst>
                        <a:ext uri="{28A0092B-C50C-407E-A947-70E740481C1C}">
                          <a14:useLocalDpi xmlns:a14="http://schemas.microsoft.com/office/drawing/2010/main" val="0"/>
                        </a:ext>
                      </a:extLst>
                    </a:blip>
                    <a:srcRect l="-2477" t="-4999" r="-2477" b="-4999"/>
                    <a:stretch>
                      <a:fillRect/>
                    </a:stretch>
                  </pic:blipFill>
                  <pic:spPr bwMode="auto">
                    <a:xfrm>
                      <a:off x="0" y="0"/>
                      <a:ext cx="5796280" cy="3013710"/>
                    </a:xfrm>
                    <a:prstGeom prst="rect">
                      <a:avLst/>
                    </a:prstGeom>
                    <a:noFill/>
                    <a:ln w="6350" cmpd="sng">
                      <a:solidFill>
                        <a:srgbClr val="000000"/>
                      </a:solidFill>
                      <a:miter lim="800000"/>
                      <a:headEnd/>
                      <a:tailEnd/>
                    </a:ln>
                    <a:effectLst/>
                  </pic:spPr>
                </pic:pic>
              </a:graphicData>
            </a:graphic>
          </wp:inline>
        </w:drawing>
      </w:r>
    </w:p>
    <w:p>
      <w:pPr>
        <w:pStyle w:val="Beschriftung"/>
        <w:outlineLvl w:val="0"/>
      </w:pPr>
      <w:bookmarkStart w:id="308" w:name="_Ref143405245"/>
      <w:bookmarkStart w:id="309" w:name="_Ref143405207"/>
      <w:r>
        <w:t xml:space="preserve">Abbildung </w:t>
      </w:r>
      <w:fldSimple w:instr=" SEQ Abbildung \* ARABIC ">
        <w:r>
          <w:rPr>
            <w:noProof/>
          </w:rPr>
          <w:t>24</w:t>
        </w:r>
      </w:fldSimple>
      <w:bookmarkEnd w:id="308"/>
      <w:r>
        <w:t>: Verfügbarkeit</w:t>
      </w:r>
      <w:bookmarkEnd w:id="309"/>
    </w:p>
    <w:p>
      <w:pPr>
        <w:pStyle w:val="berschrift3"/>
        <w:tabs>
          <w:tab w:val="num" w:pos="720"/>
        </w:tabs>
        <w:spacing w:before="240" w:after="60"/>
        <w:ind w:left="720" w:hanging="720"/>
        <w:jc w:val="both"/>
      </w:pPr>
      <w:bookmarkStart w:id="310" w:name="_Toc488819268"/>
      <w:r>
        <w:t>NFA_Verfügbarkeit (optional)</w:t>
      </w:r>
      <w:bookmarkEnd w:id="310"/>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tc>
          <w:tcPr>
            <w:tcW w:w="2437" w:type="dxa"/>
            <w:shd w:val="clear" w:color="auto" w:fill="C0C0C0"/>
          </w:tcPr>
          <w:p>
            <w:pPr>
              <w:spacing w:after="60"/>
              <w:jc w:val="left"/>
              <w:rPr>
                <w:b/>
              </w:rPr>
            </w:pPr>
            <w:r>
              <w:rPr>
                <w:b/>
              </w:rPr>
              <w:t>Kurzbeschreibung</w:t>
            </w:r>
          </w:p>
        </w:tc>
        <w:tc>
          <w:tcPr>
            <w:tcW w:w="6671" w:type="dxa"/>
          </w:tcPr>
          <w:p>
            <w:pPr>
              <w:spacing w:after="60"/>
              <w:jc w:val="left"/>
              <w:rPr>
                <w:i/>
              </w:rPr>
            </w:pPr>
            <w:r>
              <w:rPr>
                <w:i/>
              </w:rPr>
              <w:t>&lt;Das System&gt; muss &lt;durchgängig (7x24) / zu den normalen Büro-Zeiten (Mo-Fr, 06:30 Uhr bis 21 Uhr) / ...&gt; zu &lt;Prozent&gt; der Zeit verfügbar sein. Ausfälle von Nachbarsystemen werden &lt;nicht&gt; als Ausfall des &lt;Systems&gt; gewertet.</w:t>
            </w:r>
          </w:p>
        </w:tc>
      </w:tr>
      <w:tr>
        <w:tc>
          <w:tcPr>
            <w:tcW w:w="2437" w:type="dxa"/>
            <w:shd w:val="clear" w:color="auto" w:fill="C0C0C0"/>
          </w:tcPr>
          <w:p>
            <w:pPr>
              <w:spacing w:after="60"/>
              <w:jc w:val="left"/>
              <w:rPr>
                <w:b/>
              </w:rPr>
            </w:pPr>
            <w:r>
              <w:rPr>
                <w:b/>
              </w:rPr>
              <w:t>Prüfkriterien</w:t>
            </w:r>
          </w:p>
        </w:tc>
        <w:tc>
          <w:tcPr>
            <w:tcW w:w="6671" w:type="dxa"/>
          </w:tcPr>
          <w:p>
            <w:pPr>
              <w:spacing w:after="60"/>
              <w:jc w:val="left"/>
              <w:rPr>
                <w:i/>
              </w:rPr>
            </w:pPr>
            <w:r>
              <w:rPr>
                <w:i/>
              </w:rPr>
              <w:t>&lt;Das System&gt; wird zunächst in der Staging-Umgebung einem Stabilitätstest unterzogen. Im laufenden Betrieb wird die Erreichung der Anforderung durch Statistiken nachgewiesen.</w:t>
            </w:r>
          </w:p>
        </w:tc>
      </w:tr>
      <w:tr>
        <w:tc>
          <w:tcPr>
            <w:tcW w:w="2437" w:type="dxa"/>
            <w:shd w:val="clear" w:color="auto" w:fill="C0C0C0"/>
          </w:tcPr>
          <w:p>
            <w:pPr>
              <w:spacing w:after="60"/>
              <w:jc w:val="left"/>
              <w:rPr>
                <w:b/>
              </w:rPr>
            </w:pPr>
            <w:r>
              <w:rPr>
                <w:b/>
              </w:rPr>
              <w:t>Quellen</w:t>
            </w:r>
          </w:p>
        </w:tc>
        <w:tc>
          <w:tcPr>
            <w:tcW w:w="6671" w:type="dxa"/>
          </w:tcPr>
          <w:p>
            <w:pPr>
              <w:spacing w:after="60"/>
              <w:jc w:val="left"/>
            </w:pPr>
            <w:r>
              <w:rPr>
                <w:i/>
                <w:iCs/>
              </w:rPr>
              <w:t>&lt;Quelle der Anforderung&gt;</w:t>
            </w:r>
          </w:p>
        </w:tc>
      </w:tr>
      <w:tr>
        <w:tc>
          <w:tcPr>
            <w:tcW w:w="2437" w:type="dxa"/>
            <w:shd w:val="clear" w:color="auto" w:fill="C0C0C0"/>
          </w:tcPr>
          <w:p>
            <w:pPr>
              <w:spacing w:after="60"/>
              <w:jc w:val="left"/>
              <w:rPr>
                <w:b/>
              </w:rPr>
            </w:pPr>
            <w:r>
              <w:rPr>
                <w:b/>
              </w:rPr>
              <w:t>Priorisierung</w:t>
            </w:r>
          </w:p>
        </w:tc>
        <w:tc>
          <w:tcPr>
            <w:tcW w:w="6671" w:type="dxa"/>
          </w:tcPr>
          <w:p>
            <w:pPr>
              <w:spacing w:after="60"/>
              <w:jc w:val="left"/>
            </w:pPr>
            <w:r>
              <w:rPr>
                <w:i/>
                <w:iCs/>
              </w:rPr>
              <w:t>&lt;hoch / mittel / niedrig&gt;</w:t>
            </w:r>
          </w:p>
        </w:tc>
      </w:tr>
    </w:tbl>
    <w:p>
      <w:pPr>
        <w:pStyle w:val="berschrift3"/>
      </w:pPr>
      <w:bookmarkStart w:id="311" w:name="_Toc488819269"/>
      <w:r>
        <w:t>NFA_&lt;Name der Anforderung&gt;</w:t>
      </w:r>
      <w:bookmarkEnd w:id="311"/>
    </w:p>
    <w:p>
      <w:r>
        <w:rPr>
          <w:i/>
        </w:rPr>
        <w:t>Dieser Abschnitt ist ein Platzhalter, um zu verdeutlichen, dass ab hier weitere nichtfunktionale Anforderungen zu beschreiben sind.</w:t>
      </w:r>
    </w:p>
    <w:p>
      <w:pPr>
        <w:pStyle w:val="berschrift2"/>
      </w:pPr>
      <w:bookmarkStart w:id="312" w:name="_Toc488819270"/>
      <w:r>
        <w:t>Systemsicherheit</w:t>
      </w:r>
      <w:bookmarkEnd w:id="312"/>
    </w:p>
    <w:p>
      <w:pPr>
        <w:rPr>
          <w:i/>
        </w:rPr>
      </w:pPr>
      <w:r>
        <w:rPr>
          <w:i/>
        </w:rPr>
        <w:t>In diesem Kapitel werden besondere Anforderungen an den Systemzugang spezifiziert. Hier ist zu spezifizieren, welche Besonderheiten für den Administrator-, Entwickler- und Anwenderzugang sowie für die Konfiguration des Systems und des unterliegenden Betriebssystems zu berücksichtigen sind.</w:t>
      </w:r>
    </w:p>
    <w:p>
      <w:pPr>
        <w:pStyle w:val="berschrift3"/>
        <w:tabs>
          <w:tab w:val="num" w:pos="720"/>
        </w:tabs>
        <w:spacing w:before="240" w:after="60"/>
        <w:ind w:left="720" w:hanging="720"/>
        <w:jc w:val="both"/>
      </w:pPr>
      <w:bookmarkStart w:id="313" w:name="_Toc488819271"/>
      <w:r>
        <w:t>NFA_&lt;Name der Anforderung&gt;</w:t>
      </w:r>
      <w:bookmarkEnd w:id="313"/>
    </w:p>
    <w:p>
      <w:pPr>
        <w:rPr>
          <w:i/>
        </w:rPr>
      </w:pPr>
      <w:r>
        <w:rPr>
          <w:i/>
        </w:rPr>
        <w:t>Dieser Abschnitt ist ein Platzhalter, um zu verdeutlichen, dass ab hier weitere nichtfunktionale Anforderungen zu beschreiben sind.</w:t>
      </w:r>
    </w:p>
    <w:p>
      <w:pPr>
        <w:pStyle w:val="berschrift2"/>
      </w:pPr>
      <w:bookmarkStart w:id="314" w:name="_Toc488819272"/>
      <w:r>
        <w:t>Vertraulichkeit</w:t>
      </w:r>
      <w:bookmarkEnd w:id="314"/>
    </w:p>
    <w:p>
      <w:pPr>
        <w:rPr>
          <w:i/>
        </w:rPr>
      </w:pPr>
      <w:r>
        <w:rPr>
          <w:i/>
        </w:rPr>
        <w:t>In diesem Kapitel werden besondere Anforderungen an den Schutz der Vertraulichkeit von Daten spezifiziert. Diese dienen der Verhinderung der Preisgabe von Informationen an Unbefugte, beispielsweise durch unverschlüsselte Übertragung.</w:t>
      </w:r>
    </w:p>
    <w:p>
      <w:pPr>
        <w:pStyle w:val="berschrift3"/>
        <w:tabs>
          <w:tab w:val="num" w:pos="720"/>
        </w:tabs>
        <w:spacing w:before="240" w:after="60"/>
        <w:ind w:left="720" w:hanging="720"/>
        <w:jc w:val="both"/>
      </w:pPr>
      <w:bookmarkStart w:id="315" w:name="_Toc488819273"/>
      <w:r>
        <w:t>NFA_&lt;Name der Anforderung&gt;</w:t>
      </w:r>
      <w:bookmarkEnd w:id="315"/>
    </w:p>
    <w:p>
      <w:r>
        <w:rPr>
          <w:i/>
        </w:rPr>
        <w:t>Dieser Abschnitt ist ein Platzhalter, um zu verdeutlichen, dass ab hier weitere nichtfunktionale Anforderungen zu beschreiben sind.</w:t>
      </w:r>
    </w:p>
    <w:p>
      <w:pPr>
        <w:pStyle w:val="berschrift2"/>
      </w:pPr>
      <w:bookmarkStart w:id="316" w:name="_Toc488819274"/>
      <w:r>
        <w:t>Datensicherheit</w:t>
      </w:r>
      <w:bookmarkEnd w:id="316"/>
    </w:p>
    <w:p>
      <w:pPr>
        <w:rPr>
          <w:i/>
        </w:rPr>
      </w:pPr>
      <w:r>
        <w:rPr>
          <w:i/>
        </w:rPr>
        <w:t>In diesem werden besondere Anforderungen an den Schutz von Daten vor Verlust und unberechtigter Veränderung spezifiziert. Das zu spezifizierende Anwendungssystem wird sich nach seiner Fertigstellung in eine bestehende Systemlandschaft integrieren. I.d.R. sind für die Systemlandschaft bereits Regeln zur Datensicherheit definiert, die dokumentiert und zu berücksichtigen sind. Gelten für das neue System keine besonderen Regeln, reicht hier der Verweis auf ein übergeordnetes Dokument.</w:t>
      </w:r>
    </w:p>
    <w:p>
      <w:pPr>
        <w:pStyle w:val="berschrift3"/>
        <w:tabs>
          <w:tab w:val="num" w:pos="720"/>
        </w:tabs>
        <w:spacing w:before="240" w:after="60"/>
        <w:ind w:left="720" w:hanging="720"/>
        <w:jc w:val="both"/>
      </w:pPr>
      <w:bookmarkStart w:id="317" w:name="_Toc488819275"/>
      <w:r>
        <w:t>NFA_&lt;Name der Anforderung&gt;</w:t>
      </w:r>
      <w:bookmarkEnd w:id="317"/>
    </w:p>
    <w:p>
      <w:pPr>
        <w:rPr>
          <w:i/>
        </w:rPr>
      </w:pPr>
      <w:r>
        <w:rPr>
          <w:i/>
        </w:rPr>
        <w:t>Dieser Abschnitt ist ein Platzhalter, um zu verdeutlichen, dass ab hier weitere nichtfunktionale Anforderungen zu beschreiben sind.</w:t>
      </w:r>
    </w:p>
    <w:p>
      <w:pPr>
        <w:pStyle w:val="berschrift2"/>
      </w:pPr>
      <w:bookmarkStart w:id="318" w:name="_Toc488819276"/>
      <w:bookmarkStart w:id="319" w:name="_Ref142999174"/>
      <w:r>
        <w:t>Nachvollziehbarkeit</w:t>
      </w:r>
      <w:bookmarkEnd w:id="318"/>
    </w:p>
    <w:p>
      <w:pPr>
        <w:rPr>
          <w:i/>
        </w:rPr>
      </w:pPr>
      <w:r>
        <w:rPr>
          <w:i/>
        </w:rPr>
        <w:t>In diesem Kapitel werden besondere Anforderungen an die Nachvollziehbarkeit spezifiziert. Nachvollziehbar gemacht werden sollen die durchgeführten Aktionen und die Bedingungen, unter denen diese ausgeführt wurden. Dies kann sich beispielsweise auf die An- und Abmeldungen eines Benutzer beziehen und auf die Aktionen, die dieser durchgeführt hat, oder auf die Durchführung eines Batches. Zur Herstellung von Nachvollziehbarkeit können Protokolleinträge verwendet werden. Die Speicherdauer von Protokolleinträgen sollte hierbei immer spezifiziert werden.</w:t>
      </w:r>
    </w:p>
    <w:p>
      <w:pPr>
        <w:pStyle w:val="berschrift3"/>
        <w:tabs>
          <w:tab w:val="num" w:pos="720"/>
        </w:tabs>
        <w:spacing w:before="240" w:after="60"/>
        <w:ind w:left="720" w:hanging="720"/>
        <w:jc w:val="both"/>
      </w:pPr>
      <w:bookmarkStart w:id="320" w:name="_Toc488819277"/>
      <w:r>
        <w:t>NFA_&lt;Name der Anforderung&gt;</w:t>
      </w:r>
      <w:bookmarkEnd w:id="320"/>
    </w:p>
    <w:p>
      <w:r>
        <w:rPr>
          <w:i/>
        </w:rPr>
        <w:t>Dieser Abschnitt ist ein Platzhalter, um zu verdeutlichen, dass ab hier weitere nichtfunktionale Anforderungen zu beschreiben sind.</w:t>
      </w:r>
    </w:p>
    <w:p>
      <w:pPr>
        <w:pStyle w:val="berschrift2"/>
      </w:pPr>
      <w:bookmarkStart w:id="321" w:name="_Toc488819278"/>
      <w:r>
        <w:t>Verbindlichkeit</w:t>
      </w:r>
      <w:bookmarkEnd w:id="321"/>
    </w:p>
    <w:p>
      <w:pPr>
        <w:rPr>
          <w:i/>
        </w:rPr>
      </w:pPr>
      <w:r>
        <w:rPr>
          <w:i/>
        </w:rPr>
        <w:t>In diesem Kapitel werden besondere Anforderungen an die Verbindlichkeit spezifiziert. Verbindlichkeit wird hier als Kombination von Authentizität und Nichtabstreitbarkeit definiert. Authentizität beschreibt die Sicherstellung der Identität eines Kommunikationspartners. Dies kann sich sowohl auf den Versender als auch auf den Empfänger von Nachrichten bzw. den Anbieter und den Nutzer von Diensten beziehen. Nichtabstreitbarkeit beschreibt die Eigenschaft, dass der Empfang von Nachrichten bzw. die Verwendung von Diensten nicht in Abrede gestellt werden kann.</w:t>
      </w:r>
    </w:p>
    <w:p>
      <w:pPr>
        <w:pStyle w:val="berschrift3"/>
        <w:tabs>
          <w:tab w:val="num" w:pos="720"/>
        </w:tabs>
        <w:spacing w:before="240" w:after="60"/>
        <w:ind w:left="720" w:hanging="720"/>
        <w:jc w:val="both"/>
      </w:pPr>
      <w:bookmarkStart w:id="322" w:name="_Toc488819279"/>
      <w:r>
        <w:t>NFA_&lt;Name der Anforderung&gt;</w:t>
      </w:r>
      <w:bookmarkEnd w:id="322"/>
    </w:p>
    <w:p>
      <w:r>
        <w:rPr>
          <w:i/>
        </w:rPr>
        <w:t>Dieser Abschnitt ist ein Platzhalter, um zu verdeutlichen, dass ab hier weitere nichtfunktionale Anforderungen zu beschreiben sind.</w:t>
      </w:r>
    </w:p>
    <w:p/>
    <w:p>
      <w:pPr>
        <w:pStyle w:val="berschrift1"/>
      </w:pPr>
      <w:bookmarkStart w:id="323" w:name="_Toc488819280"/>
      <w:r>
        <w:t>Querschnittskonzepte</w:t>
      </w:r>
      <w:bookmarkEnd w:id="319"/>
      <w:bookmarkEnd w:id="323"/>
    </w:p>
    <w:p>
      <w:pPr>
        <w:rPr>
          <w:i/>
          <w:iCs/>
        </w:rPr>
      </w:pPr>
      <w:r>
        <w:rPr>
          <w:i/>
          <w:iCs/>
        </w:rPr>
        <w:t>Die Spezifikation der Querschnittskonzepte enthält fachliche und technische Anforderungen, die für das gesamte zu erstellende Anwendungssystem gelten und in keinen der anderen Spezifikationsteile sinnvoll eingeordnet werden können oder mehrere andere Spezifikationsteile zugleich betreffen würden.</w:t>
      </w:r>
    </w:p>
    <w:p>
      <w:pPr>
        <w:rPr>
          <w:i/>
          <w:iCs/>
        </w:rPr>
      </w:pPr>
      <w:r>
        <w:rPr>
          <w:i/>
          <w:iCs/>
        </w:rPr>
        <w:t>Die folgenden Querschnittskonzepte finden sich in fast jedem größeren Projekt:</w:t>
      </w:r>
    </w:p>
    <w:p>
      <w:pPr>
        <w:numPr>
          <w:ilvl w:val="0"/>
          <w:numId w:val="11"/>
        </w:numPr>
        <w:rPr>
          <w:i/>
          <w:iCs/>
        </w:rPr>
      </w:pPr>
      <w:r>
        <w:rPr>
          <w:i/>
          <w:iCs/>
        </w:rPr>
        <w:t>Protokollierung</w:t>
      </w:r>
    </w:p>
    <w:p>
      <w:pPr>
        <w:numPr>
          <w:ilvl w:val="0"/>
          <w:numId w:val="11"/>
        </w:numPr>
        <w:rPr>
          <w:i/>
          <w:iCs/>
        </w:rPr>
      </w:pPr>
      <w:r>
        <w:rPr>
          <w:i/>
          <w:iCs/>
        </w:rPr>
        <w:t>Berechtigungen, Zugriffsschutz und Sicherheit</w:t>
      </w:r>
    </w:p>
    <w:p>
      <w:pPr>
        <w:numPr>
          <w:ilvl w:val="0"/>
          <w:numId w:val="11"/>
        </w:numPr>
        <w:rPr>
          <w:i/>
          <w:iCs/>
        </w:rPr>
      </w:pPr>
      <w:r>
        <w:rPr>
          <w:i/>
          <w:iCs/>
        </w:rPr>
        <w:t>Historisierung</w:t>
      </w:r>
    </w:p>
    <w:p>
      <w:pPr>
        <w:numPr>
          <w:ilvl w:val="0"/>
          <w:numId w:val="11"/>
        </w:numPr>
        <w:rPr>
          <w:i/>
          <w:iCs/>
        </w:rPr>
      </w:pPr>
      <w:r>
        <w:rPr>
          <w:i/>
          <w:iCs/>
        </w:rPr>
        <w:t>Mandantenfähigkeit</w:t>
      </w:r>
    </w:p>
    <w:p>
      <w:pPr>
        <w:numPr>
          <w:ilvl w:val="0"/>
          <w:numId w:val="11"/>
        </w:numPr>
        <w:rPr>
          <w:i/>
          <w:iCs/>
        </w:rPr>
      </w:pPr>
      <w:r>
        <w:rPr>
          <w:i/>
          <w:iCs/>
        </w:rPr>
        <w:t>Mehrsprachigkeit</w:t>
      </w:r>
    </w:p>
    <w:p>
      <w:pPr>
        <w:numPr>
          <w:ilvl w:val="0"/>
          <w:numId w:val="11"/>
        </w:numPr>
        <w:rPr>
          <w:i/>
          <w:iCs/>
        </w:rPr>
      </w:pPr>
      <w:r>
        <w:rPr>
          <w:i/>
          <w:iCs/>
        </w:rPr>
        <w:t>Konfiguration</w:t>
      </w:r>
    </w:p>
    <w:p>
      <w:pPr>
        <w:numPr>
          <w:ilvl w:val="0"/>
          <w:numId w:val="11"/>
        </w:numPr>
        <w:rPr>
          <w:i/>
          <w:iCs/>
        </w:rPr>
      </w:pPr>
      <w:r>
        <w:rPr>
          <w:i/>
          <w:iCs/>
        </w:rPr>
        <w:t>Monitoring (System-Logs, Fehlermeldungen)</w:t>
      </w:r>
    </w:p>
    <w:p>
      <w:pPr>
        <w:rPr>
          <w:i/>
          <w:iCs/>
        </w:rPr>
      </w:pPr>
      <w:r>
        <w:rPr>
          <w:i/>
          <w:iCs/>
        </w:rPr>
        <w:t xml:space="preserve">Im Rahmen von Großprojekten können diese Querschnittskonzepte systemübergreifend erstellt, gepflegt und für jedes System in der Anwendungslandschaft des Großprojekts wiederverwendet werden. Hierdurch ergibt sich sowohl Kostenersparnis als auch eine einheitlichere Umsetzung der Anwendungslandschaft. </w:t>
      </w:r>
    </w:p>
    <w:p>
      <w:pPr>
        <w:pStyle w:val="berschrift1"/>
      </w:pPr>
      <w:bookmarkStart w:id="324" w:name="_Toc488819281"/>
      <w:r>
        <w:t>Betriebliche Anforderungen</w:t>
      </w:r>
      <w:bookmarkEnd w:id="324"/>
    </w:p>
    <w:p>
      <w:pPr>
        <w:rPr>
          <w:i/>
          <w:iCs/>
        </w:rPr>
      </w:pPr>
      <w:r>
        <w:rPr>
          <w:i/>
          <w:iCs/>
        </w:rPr>
        <w:t>Betriebsanforderungen sind die Anforderungen, die der Betrieb an das zu entwickelnde Anwendungssystem stellt. Sie dienen dazu, die Belange des späteren Betriebes schon frühzeitig bei der Systementwicklung zu berücksichtigen und spätere Nachbesserungen zu vermeiden.</w:t>
      </w:r>
    </w:p>
    <w:p>
      <w:pPr>
        <w:rPr>
          <w:i/>
          <w:iCs/>
        </w:rPr>
      </w:pPr>
      <w:r>
        <w:rPr>
          <w:i/>
          <w:iCs/>
        </w:rPr>
        <w:t>Der Betrieb spielt eine gewichtige Rolle und trägt wesentlich zum Projekterfolg bei, sobald das Anwendungssystem implementiert ist und schrittweise in den Produktivbetrieb überführt wird. Allerdings stehen zu Projektbeginn funktionale Aspekte des zu entwickelnden Anwendungssystems im Vordergrund und die Belange des Betriebes werden oft übersehen. Dadurch entstehen später dann häufig Reibungen und aufwändiger Nachbesserungsbedarf.</w:t>
      </w:r>
    </w:p>
    <w:p>
      <w:pPr>
        <w:rPr>
          <w:i/>
          <w:iCs/>
        </w:rPr>
      </w:pPr>
      <w:r>
        <w:rPr>
          <w:i/>
          <w:iCs/>
        </w:rPr>
        <w:t>Betriebsanforderungen unterscheiden sich nicht von anderen Anforderungen an das Anwendungssystem. Die betrieblichen Anforderungen betreffen jedoch jedes Anwendungssystem der Anwendungslandschaft, und sind oft über verschiedene Anwendungssysteme hinweg sehr ähnlich. Somit besteht bei den Betriebsanforderungen ein hohes Wiederverwendungspotenzial über Projektgrenzen hinweg.</w:t>
      </w:r>
    </w:p>
    <w:p>
      <w:pPr>
        <w:rPr>
          <w:i/>
          <w:iCs/>
        </w:rPr>
      </w:pPr>
      <w:r>
        <w:rPr>
          <w:i/>
          <w:iCs/>
        </w:rPr>
        <w:t>Die Betriebsanforderungen umfassen in der Regel Anforderungen aus den folgenden Themengebieten:</w:t>
      </w:r>
    </w:p>
    <w:p>
      <w:pPr>
        <w:numPr>
          <w:ilvl w:val="0"/>
          <w:numId w:val="21"/>
        </w:numPr>
        <w:rPr>
          <w:i/>
          <w:iCs/>
        </w:rPr>
      </w:pPr>
      <w:r>
        <w:rPr>
          <w:i/>
          <w:iCs/>
        </w:rPr>
        <w:t>Technische Plattform (relevant insbesondere für TI-Architektur)</w:t>
      </w:r>
    </w:p>
    <w:p>
      <w:pPr>
        <w:numPr>
          <w:ilvl w:val="0"/>
          <w:numId w:val="21"/>
        </w:numPr>
        <w:rPr>
          <w:i/>
          <w:iCs/>
        </w:rPr>
      </w:pPr>
      <w:r>
        <w:rPr>
          <w:i/>
          <w:iCs/>
        </w:rPr>
        <w:t>Schnittstellen zum Anwendungssystem für den Betrieb</w:t>
      </w:r>
    </w:p>
    <w:p>
      <w:pPr>
        <w:numPr>
          <w:ilvl w:val="0"/>
          <w:numId w:val="21"/>
        </w:numPr>
        <w:rPr>
          <w:i/>
          <w:iCs/>
        </w:rPr>
      </w:pPr>
      <w:r>
        <w:rPr>
          <w:i/>
          <w:iCs/>
        </w:rPr>
        <w:t>Migration</w:t>
      </w:r>
    </w:p>
    <w:p>
      <w:pPr>
        <w:numPr>
          <w:ilvl w:val="0"/>
          <w:numId w:val="21"/>
        </w:numPr>
        <w:rPr>
          <w:i/>
          <w:iCs/>
        </w:rPr>
      </w:pPr>
      <w:r>
        <w:rPr>
          <w:i/>
          <w:iCs/>
        </w:rPr>
        <w:t>Überwachbarkeit, Konfigurierbarkeit, Wiederherstellbarkeit, Deployment</w:t>
      </w:r>
    </w:p>
    <w:p>
      <w:pPr>
        <w:numPr>
          <w:ilvl w:val="0"/>
          <w:numId w:val="21"/>
        </w:numPr>
        <w:rPr>
          <w:i/>
          <w:iCs/>
        </w:rPr>
      </w:pPr>
      <w:r>
        <w:rPr>
          <w:i/>
          <w:iCs/>
        </w:rPr>
        <w:t>Systemeinführung</w:t>
      </w:r>
    </w:p>
    <w:p>
      <w:pPr>
        <w:numPr>
          <w:ilvl w:val="0"/>
          <w:numId w:val="21"/>
        </w:numPr>
        <w:rPr>
          <w:i/>
          <w:iCs/>
        </w:rPr>
      </w:pPr>
      <w:r>
        <w:rPr>
          <w:i/>
          <w:iCs/>
        </w:rPr>
        <w:t>Betriebsdokumentation</w:t>
      </w:r>
    </w:p>
    <w:p>
      <w:pPr>
        <w:numPr>
          <w:ilvl w:val="0"/>
          <w:numId w:val="21"/>
        </w:numPr>
        <w:rPr>
          <w:i/>
          <w:iCs/>
        </w:rPr>
      </w:pPr>
      <w:r>
        <w:rPr>
          <w:i/>
        </w:rPr>
        <w:t xml:space="preserve">Art und Umfang von Datensicherungen, Sicherungszyklen, Aufbewahrungsfristen, etc. </w:t>
      </w:r>
    </w:p>
    <w:p>
      <w:pPr>
        <w:rPr>
          <w:i/>
          <w:iCs/>
        </w:rPr>
      </w:pPr>
      <w:r>
        <w:rPr>
          <w:i/>
          <w:iCs/>
        </w:rPr>
        <w:t>Die Betriebsanforderungen stehen oft in engem Zusammenhang mit anderen technischen, projektbezogenen oder querschnittlichen Anforderungen. Falls für diese anderen Anforderungen separate Spezifikationskapitel existieren, sollten sie eher an diesen anderen Stellen zusammenhängend beschrieben werden. Hier finden sich dann kurz erläuterte Querverweise auf jene Kapitel.</w:t>
      </w:r>
    </w:p>
    <w:p/>
    <w:p>
      <w:pPr>
        <w:pStyle w:val="berschrift1"/>
      </w:pPr>
      <w:bookmarkStart w:id="325" w:name="_Toc488819282"/>
      <w:r>
        <w:t>Offene Punkte</w:t>
      </w:r>
      <w:bookmarkEnd w:id="325"/>
    </w:p>
    <w:p>
      <w:pPr>
        <w:rPr>
          <w:i/>
          <w:iCs/>
        </w:rPr>
      </w:pPr>
      <w:r>
        <w:rPr>
          <w:i/>
          <w:iCs/>
        </w:rPr>
        <w:t>Die zur Abnahme des Dokuments noch zu klärenden offenen Punkte in Listenform.</w:t>
      </w:r>
    </w:p>
    <w:p>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tc>
          <w:tcPr>
            <w:tcW w:w="1060" w:type="dxa"/>
            <w:shd w:val="clear" w:color="auto" w:fill="C0C0C0"/>
          </w:tcPr>
          <w:p>
            <w:pPr>
              <w:spacing w:after="60"/>
              <w:jc w:val="left"/>
              <w:rPr>
                <w:b/>
                <w:iCs/>
              </w:rPr>
            </w:pPr>
            <w:r>
              <w:rPr>
                <w:b/>
                <w:iCs/>
              </w:rPr>
              <w:t>Nummer</w:t>
            </w:r>
          </w:p>
        </w:tc>
        <w:tc>
          <w:tcPr>
            <w:tcW w:w="8226" w:type="dxa"/>
            <w:shd w:val="clear" w:color="auto" w:fill="C0C0C0"/>
          </w:tcPr>
          <w:p>
            <w:pPr>
              <w:spacing w:after="60"/>
              <w:jc w:val="left"/>
              <w:rPr>
                <w:b/>
                <w:iCs/>
              </w:rPr>
            </w:pPr>
            <w:r>
              <w:rPr>
                <w:b/>
                <w:iCs/>
              </w:rPr>
              <w:t>Beschreibung</w:t>
            </w:r>
          </w:p>
        </w:tc>
      </w:tr>
      <w:tr>
        <w:tc>
          <w:tcPr>
            <w:tcW w:w="1060" w:type="dxa"/>
            <w:shd w:val="clear" w:color="auto" w:fill="auto"/>
          </w:tcPr>
          <w:p>
            <w:pPr>
              <w:tabs>
                <w:tab w:val="left" w:pos="735"/>
              </w:tabs>
              <w:spacing w:after="60"/>
              <w:jc w:val="left"/>
              <w:rPr>
                <w:iCs/>
              </w:rPr>
            </w:pPr>
            <w:r>
              <w:rPr>
                <w:iCs/>
              </w:rPr>
              <w:t>1</w:t>
            </w:r>
          </w:p>
        </w:tc>
        <w:tc>
          <w:tcPr>
            <w:tcW w:w="8226" w:type="dxa"/>
            <w:shd w:val="clear" w:color="auto" w:fill="auto"/>
          </w:tcPr>
          <w:p>
            <w:pPr>
              <w:spacing w:after="60"/>
              <w:jc w:val="left"/>
              <w:rPr>
                <w:i/>
                <w:iCs/>
              </w:rPr>
            </w:pPr>
            <w:r>
              <w:rPr>
                <w:i/>
                <w:iCs/>
              </w:rPr>
              <w:t>Ein offener Punkt</w:t>
            </w:r>
          </w:p>
        </w:tc>
      </w:tr>
      <w:tr>
        <w:tc>
          <w:tcPr>
            <w:tcW w:w="1060" w:type="dxa"/>
            <w:shd w:val="clear" w:color="auto" w:fill="auto"/>
          </w:tcPr>
          <w:p>
            <w:pPr>
              <w:tabs>
                <w:tab w:val="left" w:pos="735"/>
              </w:tabs>
              <w:spacing w:after="60"/>
              <w:jc w:val="left"/>
              <w:rPr>
                <w:iCs/>
              </w:rPr>
            </w:pPr>
          </w:p>
        </w:tc>
        <w:tc>
          <w:tcPr>
            <w:tcW w:w="8226" w:type="dxa"/>
            <w:shd w:val="clear" w:color="auto" w:fill="auto"/>
          </w:tcPr>
          <w:p>
            <w:pPr>
              <w:spacing w:after="60"/>
              <w:jc w:val="left"/>
              <w:rPr>
                <w:i/>
                <w:iCs/>
              </w:rPr>
            </w:pPr>
          </w:p>
        </w:tc>
      </w:tr>
    </w:tbl>
    <w:p>
      <w:pPr>
        <w:rPr>
          <w:i/>
          <w:iCs/>
        </w:rPr>
      </w:pPr>
    </w:p>
    <w:p>
      <w:pPr>
        <w:pStyle w:val="berschrift1"/>
      </w:pPr>
      <w:bookmarkStart w:id="326" w:name="_Toc488819283"/>
      <w:r>
        <w:t>Anhang</w:t>
      </w:r>
      <w:bookmarkEnd w:id="326"/>
    </w:p>
    <w:p>
      <w:pPr>
        <w:pStyle w:val="berschrift2"/>
      </w:pPr>
      <w:bookmarkStart w:id="327" w:name="_Toc488819284"/>
      <w:r>
        <w:t>Glossar</w:t>
      </w:r>
      <w:bookmarkEnd w:id="327"/>
    </w:p>
    <w:p>
      <w:pPr>
        <w:rPr>
          <w:i/>
          <w:iCs/>
        </w:rPr>
      </w:pPr>
      <w:r>
        <w:rPr>
          <w:i/>
          <w:iCs/>
        </w:rPr>
        <w:t>Das Glossar definiert die wichtigen fachlichen und technischen Begriffe und Abkürzungen des Projekts. Zudem werden häufig verwendete fremdsprachige Begriffe übersetzt und erläutert. Das Glossar klärt somit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8"/>
        <w:gridCol w:w="1732"/>
        <w:gridCol w:w="3438"/>
        <w:gridCol w:w="2200"/>
      </w:tblGrid>
      <w:tr>
        <w:trPr>
          <w:trHeight w:val="406"/>
          <w:tblHeader/>
        </w:trPr>
        <w:tc>
          <w:tcPr>
            <w:tcW w:w="2088" w:type="dxa"/>
            <w:shd w:val="clear" w:color="auto" w:fill="C0C0C0"/>
          </w:tcPr>
          <w:p>
            <w:pPr>
              <w:pStyle w:val="Tabellenberschrift"/>
              <w:jc w:val="left"/>
              <w:rPr>
                <w:rFonts w:ascii="Times New Roman" w:hAnsi="Times New Roman"/>
                <w:sz w:val="18"/>
              </w:rPr>
            </w:pPr>
            <w:r>
              <w:rPr>
                <w:rFonts w:ascii="Times New Roman" w:hAnsi="Times New Roman"/>
                <w:sz w:val="18"/>
              </w:rPr>
              <w:t>Begriff</w:t>
            </w:r>
          </w:p>
        </w:tc>
        <w:tc>
          <w:tcPr>
            <w:tcW w:w="1732" w:type="dxa"/>
            <w:shd w:val="clear" w:color="auto" w:fill="C0C0C0"/>
          </w:tcPr>
          <w:p>
            <w:pPr>
              <w:pStyle w:val="Tabellenberschrift"/>
              <w:jc w:val="left"/>
              <w:rPr>
                <w:rFonts w:ascii="Times New Roman" w:hAnsi="Times New Roman"/>
                <w:sz w:val="18"/>
              </w:rPr>
            </w:pPr>
            <w:r>
              <w:rPr>
                <w:rFonts w:ascii="Times New Roman" w:hAnsi="Times New Roman"/>
                <w:sz w:val="18"/>
              </w:rPr>
              <w:t>Kategorie</w:t>
            </w:r>
          </w:p>
        </w:tc>
        <w:tc>
          <w:tcPr>
            <w:tcW w:w="3438" w:type="dxa"/>
            <w:shd w:val="clear" w:color="auto" w:fill="C0C0C0"/>
          </w:tcPr>
          <w:p>
            <w:pPr>
              <w:pStyle w:val="Tabellenberschrift"/>
              <w:jc w:val="left"/>
              <w:rPr>
                <w:rFonts w:ascii="Times New Roman" w:hAnsi="Times New Roman"/>
                <w:sz w:val="18"/>
              </w:rPr>
            </w:pPr>
            <w:r>
              <w:rPr>
                <w:rFonts w:ascii="Times New Roman" w:hAnsi="Times New Roman"/>
                <w:sz w:val="18"/>
              </w:rPr>
              <w:t>Erläuterung</w:t>
            </w:r>
          </w:p>
        </w:tc>
        <w:tc>
          <w:tcPr>
            <w:tcW w:w="2200" w:type="dxa"/>
            <w:shd w:val="clear" w:color="auto" w:fill="C0C0C0"/>
          </w:tcPr>
          <w:p>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tc>
          <w:tcPr>
            <w:tcW w:w="2088" w:type="dxa"/>
          </w:tcPr>
          <w:p>
            <w:pPr>
              <w:spacing w:before="120" w:after="120"/>
              <w:rPr>
                <w:i/>
                <w:iCs/>
                <w:sz w:val="18"/>
                <w:lang w:val="en-GB"/>
              </w:rPr>
            </w:pPr>
            <w:bookmarkStart w:id="328" w:name="OLE_LINK3"/>
            <w:r>
              <w:rPr>
                <w:i/>
                <w:iCs/>
                <w:sz w:val="18"/>
                <w:lang w:val="en-GB"/>
              </w:rPr>
              <w:t>Ablaufverfolgung</w:t>
            </w:r>
          </w:p>
        </w:tc>
        <w:tc>
          <w:tcPr>
            <w:tcW w:w="1732" w:type="dxa"/>
          </w:tcPr>
          <w:p>
            <w:pPr>
              <w:spacing w:before="120" w:after="120"/>
              <w:rPr>
                <w:i/>
                <w:iCs/>
                <w:sz w:val="18"/>
              </w:rPr>
            </w:pPr>
            <w:r>
              <w:rPr>
                <w:i/>
                <w:iCs/>
                <w:sz w:val="18"/>
              </w:rPr>
              <w:t>Nichtfunktionale Anforderungen</w:t>
            </w:r>
          </w:p>
        </w:tc>
        <w:tc>
          <w:tcPr>
            <w:tcW w:w="3438" w:type="dxa"/>
          </w:tcPr>
          <w:p>
            <w:pPr>
              <w:spacing w:before="120" w:after="120"/>
              <w:rPr>
                <w:i/>
                <w:iCs/>
                <w:sz w:val="18"/>
              </w:rPr>
            </w:pPr>
            <w:r>
              <w:rPr>
                <w:i/>
                <w:iCs/>
                <w:sz w:val="18"/>
              </w:rPr>
              <w:t>Mit Ablaufverfolgung bezeichnet man in der Programmierung eine Funktion zur Analyse von Fehlersuche von Programmen. Dabei wird z.B. bei jedem Einsprung in eine Funktion, sowie bei jedem Verlassen eine Meldung ausgegeben, sodass der Programmierer mitverfolgen kann, wann und von wo welche Funktion aufgerufen wird. Die Meldungen können auch die Argumente an die Funktion enthalten. Zusammen mit weiteren Diagnose-Ausgaben lässt sich so der Programmablauf eines fehlerhaften Programmes häufig sehr schnell bis zu der fehlerverursachenden Funktion zurückverfolgen.</w:t>
            </w:r>
          </w:p>
        </w:tc>
        <w:tc>
          <w:tcPr>
            <w:tcW w:w="2200" w:type="dxa"/>
          </w:tcPr>
          <w:p>
            <w:pPr>
              <w:spacing w:before="120" w:after="120"/>
              <w:rPr>
                <w:i/>
                <w:iCs/>
                <w:sz w:val="18"/>
              </w:rPr>
            </w:pPr>
            <w:r>
              <w:rPr>
                <w:i/>
                <w:iCs/>
                <w:sz w:val="18"/>
              </w:rPr>
              <w:t>Tracing</w:t>
            </w:r>
          </w:p>
        </w:tc>
      </w:tr>
      <w:tr>
        <w:tc>
          <w:tcPr>
            <w:tcW w:w="2088" w:type="dxa"/>
          </w:tcPr>
          <w:p>
            <w:pPr>
              <w:spacing w:before="120" w:after="120"/>
              <w:rPr>
                <w:i/>
                <w:iCs/>
                <w:sz w:val="18"/>
                <w:lang w:val="en-GB"/>
              </w:rPr>
            </w:pPr>
            <w:bookmarkStart w:id="329" w:name="OLE_LINK4"/>
            <w:bookmarkEnd w:id="328"/>
            <w:r>
              <w:rPr>
                <w:i/>
                <w:iCs/>
                <w:sz w:val="18"/>
                <w:lang w:val="en-GB"/>
              </w:rPr>
              <w:t>Akteur</w:t>
            </w:r>
          </w:p>
        </w:tc>
        <w:tc>
          <w:tcPr>
            <w:tcW w:w="1732" w:type="dxa"/>
          </w:tcPr>
          <w:p>
            <w:pPr>
              <w:spacing w:before="120" w:after="120"/>
              <w:rPr>
                <w:i/>
                <w:iCs/>
                <w:sz w:val="18"/>
                <w:lang w:val="en-GB"/>
              </w:rPr>
            </w:pPr>
            <w:r>
              <w:rPr>
                <w:i/>
                <w:iCs/>
                <w:sz w:val="18"/>
                <w:lang w:val="en-GB"/>
              </w:rPr>
              <w:t>Abläufe</w:t>
            </w:r>
          </w:p>
        </w:tc>
        <w:tc>
          <w:tcPr>
            <w:tcW w:w="3438" w:type="dxa"/>
          </w:tcPr>
          <w:p>
            <w:pPr>
              <w:spacing w:before="120" w:after="120"/>
              <w:rPr>
                <w:i/>
                <w:iCs/>
                <w:sz w:val="18"/>
              </w:rPr>
            </w:pPr>
            <w:r>
              <w:rPr>
                <w:i/>
                <w:iCs/>
                <w:sz w:val="18"/>
              </w:rPr>
              <w:t>Ein Akteur ist ein außerhalb des Anwendungssystems agierender Beteiligter, der den in einem Anwendungsfall beschriebenen Ablauf anstößt.</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Aktivität</w:t>
            </w:r>
          </w:p>
        </w:tc>
        <w:tc>
          <w:tcPr>
            <w:tcW w:w="1732" w:type="dxa"/>
          </w:tcPr>
          <w:p>
            <w:pPr>
              <w:spacing w:before="120" w:after="120"/>
              <w:rPr>
                <w:i/>
                <w:iCs/>
                <w:sz w:val="18"/>
                <w:lang w:val="en-GB"/>
              </w:rPr>
            </w:pPr>
            <w:r>
              <w:rPr>
                <w:i/>
                <w:iCs/>
                <w:sz w:val="18"/>
                <w:lang w:val="en-GB"/>
              </w:rPr>
              <w:t>Abläufe</w:t>
            </w:r>
          </w:p>
        </w:tc>
        <w:tc>
          <w:tcPr>
            <w:tcW w:w="3438" w:type="dxa"/>
          </w:tcPr>
          <w:p>
            <w:pPr>
              <w:spacing w:before="120" w:after="120"/>
              <w:rPr>
                <w:i/>
                <w:iCs/>
                <w:sz w:val="18"/>
              </w:rPr>
            </w:pPr>
            <w:r>
              <w:rPr>
                <w:i/>
                <w:iCs/>
                <w:sz w:val="18"/>
              </w:rPr>
              <w:t>Eine Aktivität ist eine Tätigkeit, die einen elementaren, logischen Schritt innerhalb eines Geschäftsvorfalls bildet. Sie wird von einem Akteur mit einem bestimmten Ziel ausgeführt. Eine Aktivität kann sowohl manuell als auch teilweise oder vollständig automatisiert (computer-unterstützt) ablaufen.</w:t>
            </w:r>
          </w:p>
        </w:tc>
        <w:tc>
          <w:tcPr>
            <w:tcW w:w="2200" w:type="dxa"/>
          </w:tcPr>
          <w:p>
            <w:pPr>
              <w:spacing w:before="120" w:after="120"/>
              <w:rPr>
                <w:i/>
                <w:iCs/>
                <w:sz w:val="18"/>
              </w:rPr>
            </w:pPr>
          </w:p>
        </w:tc>
      </w:tr>
      <w:tr>
        <w:tc>
          <w:tcPr>
            <w:tcW w:w="2088" w:type="dxa"/>
          </w:tcPr>
          <w:p>
            <w:pPr>
              <w:spacing w:before="120" w:after="120"/>
              <w:rPr>
                <w:i/>
                <w:iCs/>
                <w:sz w:val="18"/>
                <w:lang w:val="en-GB"/>
              </w:rPr>
            </w:pPr>
            <w:bookmarkStart w:id="330" w:name="OLE_LINK5"/>
            <w:bookmarkEnd w:id="329"/>
            <w:r>
              <w:rPr>
                <w:i/>
                <w:iCs/>
                <w:sz w:val="18"/>
                <w:lang w:val="en-GB"/>
              </w:rPr>
              <w:t>Anwendungsfall</w:t>
            </w:r>
          </w:p>
        </w:tc>
        <w:tc>
          <w:tcPr>
            <w:tcW w:w="1732" w:type="dxa"/>
          </w:tcPr>
          <w:p>
            <w:pPr>
              <w:spacing w:before="120" w:after="120"/>
              <w:rPr>
                <w:i/>
                <w:iCs/>
                <w:sz w:val="18"/>
                <w:lang w:val="en-GB"/>
              </w:rPr>
            </w:pPr>
            <w:r>
              <w:rPr>
                <w:i/>
                <w:iCs/>
                <w:sz w:val="18"/>
                <w:lang w:val="en-GB"/>
              </w:rPr>
              <w:t>Abläufe</w:t>
            </w:r>
          </w:p>
        </w:tc>
        <w:tc>
          <w:tcPr>
            <w:tcW w:w="3438" w:type="dxa"/>
          </w:tcPr>
          <w:p>
            <w:pPr>
              <w:spacing w:before="120" w:after="120"/>
              <w:rPr>
                <w:i/>
                <w:iCs/>
                <w:sz w:val="18"/>
              </w:rPr>
            </w:pPr>
            <w:r>
              <w:rPr>
                <w:i/>
                <w:iCs/>
                <w:sz w:val="18"/>
              </w:rPr>
              <w:t>Ein Anwendungsfall ist eine Abfolge zielgerichteter Interaktionen zwischen Akteuren und einem Anwendungssystem.</w:t>
            </w:r>
          </w:p>
        </w:tc>
        <w:tc>
          <w:tcPr>
            <w:tcW w:w="2200" w:type="dxa"/>
          </w:tcPr>
          <w:p>
            <w:pPr>
              <w:spacing w:before="120" w:after="120"/>
              <w:rPr>
                <w:i/>
                <w:iCs/>
                <w:sz w:val="18"/>
              </w:rPr>
            </w:pPr>
            <w:r>
              <w:rPr>
                <w:i/>
                <w:iCs/>
                <w:sz w:val="18"/>
              </w:rPr>
              <w:t>Use Case</w:t>
            </w:r>
          </w:p>
        </w:tc>
      </w:tr>
      <w:bookmarkEnd w:id="330"/>
      <w:tr>
        <w:tc>
          <w:tcPr>
            <w:tcW w:w="2088" w:type="dxa"/>
          </w:tcPr>
          <w:p>
            <w:pPr>
              <w:spacing w:before="120" w:after="120"/>
              <w:rPr>
                <w:i/>
                <w:iCs/>
                <w:sz w:val="18"/>
                <w:lang w:val="en-GB"/>
              </w:rPr>
            </w:pPr>
            <w:r>
              <w:rPr>
                <w:i/>
                <w:iCs/>
                <w:sz w:val="18"/>
                <w:lang w:val="en-GB"/>
              </w:rPr>
              <w:t>Anwendungsfunktion</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Eine Anwendungsfunktion ist ein Ausschnitt eines Anwendungsfalls, der ohne Unterbrechung vom Awendungssystem ausgeführt wird.</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Anwendungskomponente</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Eine Anwendungskomponente beschreibt eine Menge funktional zusammenhängender Anwendungsfälle.</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Anwendungslandschaft</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Die Anwendungslandschaft einer Organisation ist bestimmt durch die Menge der von der Organisationseinheit betriebenen Anwendungssysteme.</w:t>
            </w:r>
          </w:p>
        </w:tc>
        <w:tc>
          <w:tcPr>
            <w:tcW w:w="2200" w:type="dxa"/>
          </w:tcPr>
          <w:p>
            <w:pPr>
              <w:spacing w:before="120" w:after="120"/>
              <w:rPr>
                <w:i/>
                <w:iCs/>
                <w:sz w:val="18"/>
              </w:rPr>
            </w:pPr>
            <w:r>
              <w:rPr>
                <w:i/>
                <w:iCs/>
                <w:sz w:val="18"/>
              </w:rPr>
              <w:t>IT-Anwendungslandschaft</w:t>
            </w:r>
          </w:p>
        </w:tc>
      </w:tr>
      <w:tr>
        <w:tc>
          <w:tcPr>
            <w:tcW w:w="2088" w:type="dxa"/>
          </w:tcPr>
          <w:p>
            <w:pPr>
              <w:spacing w:before="120" w:after="120"/>
              <w:rPr>
                <w:i/>
                <w:iCs/>
                <w:sz w:val="18"/>
              </w:rPr>
            </w:pPr>
            <w:r>
              <w:rPr>
                <w:i/>
                <w:iCs/>
                <w:sz w:val="18"/>
              </w:rPr>
              <w:t>Anwendungssystem</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 Anwendungssystem ist eine zusam</w:t>
            </w:r>
            <w:r>
              <w:rPr>
                <w:i/>
                <w:iCs/>
                <w:sz w:val="18"/>
              </w:rPr>
              <w:softHyphen/>
              <w:t>mengehörende, logische Einheit aus Funktionen, Daten und Benutzungsschnittstellen.</w:t>
            </w:r>
          </w:p>
        </w:tc>
        <w:tc>
          <w:tcPr>
            <w:tcW w:w="2200" w:type="dxa"/>
          </w:tcPr>
          <w:p>
            <w:pPr>
              <w:spacing w:before="120" w:after="120"/>
              <w:rPr>
                <w:i/>
                <w:iCs/>
                <w:sz w:val="18"/>
              </w:rPr>
            </w:pPr>
            <w:r>
              <w:rPr>
                <w:i/>
                <w:iCs/>
                <w:sz w:val="18"/>
              </w:rPr>
              <w:t>Anwendung, IT-System</w:t>
            </w:r>
          </w:p>
        </w:tc>
      </w:tr>
      <w:tr>
        <w:tc>
          <w:tcPr>
            <w:tcW w:w="2088" w:type="dxa"/>
          </w:tcPr>
          <w:p>
            <w:pPr>
              <w:spacing w:before="120" w:after="120"/>
              <w:rPr>
                <w:i/>
                <w:iCs/>
                <w:sz w:val="18"/>
                <w:lang w:val="en-GB"/>
              </w:rPr>
            </w:pPr>
            <w:r>
              <w:rPr>
                <w:i/>
                <w:iCs/>
                <w:sz w:val="18"/>
              </w:rPr>
              <w:t>Assoziation</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Eine Assoziation beschreibt eine Beziehung zwischen zwei oder mehr Entitätstypen.</w:t>
            </w:r>
          </w:p>
        </w:tc>
        <w:tc>
          <w:tcPr>
            <w:tcW w:w="2200" w:type="dxa"/>
          </w:tcPr>
          <w:p>
            <w:pPr>
              <w:spacing w:before="120" w:after="120"/>
              <w:rPr>
                <w:i/>
                <w:iCs/>
                <w:sz w:val="18"/>
              </w:rPr>
            </w:pPr>
            <w:r>
              <w:rPr>
                <w:i/>
                <w:iCs/>
                <w:sz w:val="18"/>
              </w:rPr>
              <w:t>Beziehung</w:t>
            </w:r>
          </w:p>
        </w:tc>
      </w:tr>
      <w:tr>
        <w:tc>
          <w:tcPr>
            <w:tcW w:w="2088" w:type="dxa"/>
          </w:tcPr>
          <w:p>
            <w:pPr>
              <w:spacing w:before="120" w:after="120"/>
              <w:rPr>
                <w:i/>
                <w:iCs/>
                <w:sz w:val="18"/>
                <w:lang w:val="en-GB"/>
              </w:rPr>
            </w:pPr>
            <w:r>
              <w:rPr>
                <w:i/>
                <w:iCs/>
                <w:sz w:val="18"/>
              </w:rPr>
              <w:t>Attribut</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Als „Attribut“ versteht man eine dem Entitätstyp zugeordnete Information.</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Batch</w:t>
            </w:r>
          </w:p>
        </w:tc>
        <w:tc>
          <w:tcPr>
            <w:tcW w:w="1732" w:type="dxa"/>
          </w:tcPr>
          <w:p>
            <w:pPr>
              <w:spacing w:before="120" w:after="120"/>
              <w:rPr>
                <w:i/>
                <w:iCs/>
                <w:sz w:val="18"/>
              </w:rPr>
            </w:pPr>
            <w:r>
              <w:rPr>
                <w:i/>
                <w:iCs/>
                <w:sz w:val="18"/>
              </w:rPr>
              <w:t>Benutzungsschnitt</w:t>
            </w:r>
            <w:r>
              <w:rPr>
                <w:i/>
                <w:iCs/>
                <w:sz w:val="18"/>
              </w:rPr>
              <w:softHyphen/>
              <w:t>stelle</w:t>
            </w:r>
          </w:p>
        </w:tc>
        <w:tc>
          <w:tcPr>
            <w:tcW w:w="3438" w:type="dxa"/>
          </w:tcPr>
          <w:p>
            <w:pPr>
              <w:spacing w:before="120" w:after="120"/>
              <w:rPr>
                <w:i/>
                <w:iCs/>
                <w:sz w:val="18"/>
              </w:rPr>
            </w:pPr>
            <w:r>
              <w:rPr>
                <w:i/>
                <w:iCs/>
                <w:sz w:val="18"/>
              </w:rPr>
              <w:t>Ein Batchprogramm realisiert eine eigenständige Verarbeitung ohne direkten Benutzereingriff während des Ablaufes.</w:t>
            </w:r>
          </w:p>
        </w:tc>
        <w:tc>
          <w:tcPr>
            <w:tcW w:w="2200" w:type="dxa"/>
          </w:tcPr>
          <w:p>
            <w:pPr>
              <w:spacing w:before="120" w:after="120"/>
              <w:rPr>
                <w:i/>
                <w:iCs/>
                <w:sz w:val="18"/>
              </w:rPr>
            </w:pPr>
            <w:r>
              <w:rPr>
                <w:i/>
                <w:iCs/>
                <w:sz w:val="18"/>
              </w:rPr>
              <w:t>Batchprogramm, Batchverarbeitung</w:t>
            </w:r>
          </w:p>
        </w:tc>
      </w:tr>
      <w:tr>
        <w:tc>
          <w:tcPr>
            <w:tcW w:w="2088" w:type="dxa"/>
          </w:tcPr>
          <w:p>
            <w:pPr>
              <w:spacing w:before="120" w:after="120"/>
              <w:rPr>
                <w:i/>
                <w:iCs/>
                <w:sz w:val="18"/>
              </w:rPr>
            </w:pPr>
            <w:r>
              <w:rPr>
                <w:i/>
                <w:iCs/>
                <w:sz w:val="18"/>
              </w:rPr>
              <w:t xml:space="preserve">Business </w:t>
            </w:r>
            <w:r>
              <w:rPr>
                <w:i/>
                <w:iCs/>
                <w:sz w:val="18"/>
                <w:lang w:val="en-US"/>
              </w:rPr>
              <w:t>Process</w:t>
            </w:r>
            <w:r>
              <w:rPr>
                <w:i/>
                <w:iCs/>
                <w:sz w:val="18"/>
              </w:rPr>
              <w:t xml:space="preserve"> </w:t>
            </w:r>
            <w:r>
              <w:rPr>
                <w:i/>
                <w:iCs/>
                <w:sz w:val="18"/>
                <w:lang w:val="en-US"/>
              </w:rPr>
              <w:t>Diagram</w:t>
            </w:r>
            <w:r>
              <w:rPr>
                <w:i/>
                <w:iCs/>
                <w:sz w:val="18"/>
              </w:rPr>
              <w:t xml:space="preserve"> (BPD)</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Diagramme in der BPMN heißen Business Process Diagram (BPD).</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Business Process Modelling Notation (BPMN)</w:t>
            </w:r>
          </w:p>
        </w:tc>
        <w:tc>
          <w:tcPr>
            <w:tcW w:w="1732" w:type="dxa"/>
          </w:tcPr>
          <w:p>
            <w:pPr>
              <w:spacing w:before="120" w:after="120"/>
              <w:rPr>
                <w:i/>
                <w:iCs/>
                <w:sz w:val="18"/>
                <w:lang w:val="en-GB"/>
              </w:rPr>
            </w:pPr>
            <w:r>
              <w:rPr>
                <w:i/>
                <w:iCs/>
                <w:sz w:val="18"/>
              </w:rPr>
              <w:t>Methodik</w:t>
            </w:r>
          </w:p>
        </w:tc>
        <w:tc>
          <w:tcPr>
            <w:tcW w:w="3438" w:type="dxa"/>
          </w:tcPr>
          <w:p>
            <w:pPr>
              <w:spacing w:before="120" w:after="120"/>
              <w:rPr>
                <w:i/>
                <w:iCs/>
                <w:sz w:val="18"/>
              </w:rPr>
            </w:pPr>
            <w:r>
              <w:rPr>
                <w:i/>
                <w:iCs/>
                <w:sz w:val="18"/>
              </w:rPr>
              <w:t>Die Business Process Modeling Notation (BPMN) ist eine grafische Spezifikationssprache in der Wirtschaftsinformatik. Sie stellt Symbole zur Verfügung, mit denen Fach- und Informatikspezialisten Geschäftsprozesse modellieren können.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Datenhaltung</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Eine Datenhaltung ist eine physikalisch abgrenzbare Menge nicht-flüchtiger Daten.</w:t>
            </w:r>
          </w:p>
        </w:tc>
        <w:tc>
          <w:tcPr>
            <w:tcW w:w="2200" w:type="dxa"/>
          </w:tcPr>
          <w:p>
            <w:pPr>
              <w:spacing w:before="120" w:after="120"/>
              <w:rPr>
                <w:i/>
                <w:iCs/>
                <w:sz w:val="18"/>
              </w:rPr>
            </w:pPr>
            <w:r>
              <w:rPr>
                <w:i/>
                <w:iCs/>
                <w:sz w:val="18"/>
              </w:rPr>
              <w:t>Datensenke</w:t>
            </w:r>
          </w:p>
        </w:tc>
      </w:tr>
      <w:tr>
        <w:tc>
          <w:tcPr>
            <w:tcW w:w="2088" w:type="dxa"/>
          </w:tcPr>
          <w:p>
            <w:pPr>
              <w:spacing w:before="120" w:after="120"/>
              <w:rPr>
                <w:i/>
                <w:iCs/>
                <w:sz w:val="18"/>
                <w:lang w:val="en-GB"/>
              </w:rPr>
            </w:pPr>
            <w:r>
              <w:rPr>
                <w:i/>
                <w:iCs/>
                <w:sz w:val="18"/>
                <w:lang w:val="en-GB"/>
              </w:rPr>
              <w:t>Dialog</w:t>
            </w:r>
          </w:p>
        </w:tc>
        <w:tc>
          <w:tcPr>
            <w:tcW w:w="1732" w:type="dxa"/>
          </w:tcPr>
          <w:p>
            <w:pPr>
              <w:spacing w:before="120" w:after="120"/>
              <w:rPr>
                <w:i/>
                <w:iCs/>
                <w:sz w:val="18"/>
                <w:lang w:val="en-GB"/>
              </w:rPr>
            </w:pPr>
            <w:r>
              <w:rPr>
                <w:i/>
                <w:iCs/>
                <w:sz w:val="18"/>
              </w:rPr>
              <w:t>Benutzungsschnitt</w:t>
            </w:r>
            <w:r>
              <w:rPr>
                <w:i/>
                <w:iCs/>
                <w:sz w:val="18"/>
              </w:rPr>
              <w:softHyphen/>
              <w:t>stelle</w:t>
            </w:r>
          </w:p>
        </w:tc>
        <w:tc>
          <w:tcPr>
            <w:tcW w:w="3438" w:type="dxa"/>
          </w:tcPr>
          <w:p>
            <w:pPr>
              <w:spacing w:before="120" w:after="120"/>
              <w:rPr>
                <w:i/>
                <w:iCs/>
                <w:sz w:val="18"/>
              </w:rPr>
            </w:pPr>
            <w:r>
              <w:rPr>
                <w:i/>
                <w:iCs/>
                <w:sz w:val="18"/>
              </w:rPr>
              <w:t>Der Begriff „Dialog“ bezeichnet die gesamte Benutzungsschnittstelle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Dialog-Gestaltungsvorgabe</w:t>
            </w:r>
          </w:p>
        </w:tc>
        <w:tc>
          <w:tcPr>
            <w:tcW w:w="1732" w:type="dxa"/>
          </w:tcPr>
          <w:p>
            <w:pPr>
              <w:spacing w:before="120" w:after="120"/>
              <w:rPr>
                <w:i/>
                <w:iCs/>
                <w:sz w:val="18"/>
                <w:lang w:val="en-GB"/>
              </w:rPr>
            </w:pPr>
            <w:r>
              <w:rPr>
                <w:i/>
                <w:iCs/>
                <w:sz w:val="18"/>
              </w:rPr>
              <w:t>Benutzungsschnitt</w:t>
            </w:r>
            <w:r>
              <w:rPr>
                <w:i/>
                <w:iCs/>
                <w:sz w:val="18"/>
              </w:rPr>
              <w:softHyphen/>
              <w:t>stelle</w:t>
            </w:r>
          </w:p>
        </w:tc>
        <w:tc>
          <w:tcPr>
            <w:tcW w:w="3438" w:type="dxa"/>
          </w:tcPr>
          <w:p>
            <w:pPr>
              <w:spacing w:before="120" w:after="120"/>
              <w:rPr>
                <w:i/>
                <w:iCs/>
                <w:sz w:val="18"/>
              </w:rPr>
            </w:pPr>
            <w:r>
              <w:rPr>
                <w:i/>
                <w:iCs/>
                <w:sz w:val="18"/>
              </w:rPr>
              <w:t>Die Dialog-Gestaltungsvorgabe spezifiziert grundlegende Eigenschaften der Benutzerschnittstelle. Sie umfasst Grundprinzipien des Dialogaufbaus, des Layouts und der Benutzerinteraktion. Oft setzt die Dialog-Gestaltungsvorgabe unternehmensweit gültige Vorgaben für das zu entwickelnde Anwendungssystem um. Sie vereinheitlicht die Benutzerschnittstelle und trägt wesentlich zur effizienten Dialogspezifikation bei.</w:t>
            </w:r>
          </w:p>
        </w:tc>
        <w:tc>
          <w:tcPr>
            <w:tcW w:w="2200" w:type="dxa"/>
          </w:tcPr>
          <w:p>
            <w:pPr>
              <w:spacing w:before="120" w:after="120"/>
              <w:rPr>
                <w:i/>
                <w:iCs/>
                <w:sz w:val="18"/>
              </w:rPr>
            </w:pPr>
            <w:r>
              <w:rPr>
                <w:i/>
                <w:iCs/>
                <w:sz w:val="18"/>
              </w:rPr>
              <w:t>Styleguide</w:t>
            </w:r>
          </w:p>
        </w:tc>
      </w:tr>
      <w:tr>
        <w:tc>
          <w:tcPr>
            <w:tcW w:w="2088" w:type="dxa"/>
          </w:tcPr>
          <w:p>
            <w:pPr>
              <w:spacing w:before="120" w:after="120"/>
              <w:rPr>
                <w:i/>
                <w:iCs/>
                <w:sz w:val="18"/>
                <w:lang w:val="en-GB"/>
              </w:rPr>
            </w:pPr>
            <w:r>
              <w:rPr>
                <w:i/>
                <w:iCs/>
                <w:sz w:val="18"/>
              </w:rPr>
              <w:t>Entität</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Als Entität wird ein eindeutig zu bestimmendes Objekt bezeichnet, dem Informationen zugeordnet werden. Die Objekte können materiell oder immateriell sein.</w:t>
            </w:r>
          </w:p>
        </w:tc>
        <w:tc>
          <w:tcPr>
            <w:tcW w:w="2200" w:type="dxa"/>
          </w:tcPr>
          <w:p>
            <w:pPr>
              <w:spacing w:before="120" w:after="120"/>
              <w:rPr>
                <w:i/>
                <w:iCs/>
                <w:sz w:val="18"/>
              </w:rPr>
            </w:pPr>
            <w:r>
              <w:rPr>
                <w:i/>
                <w:iCs/>
                <w:sz w:val="18"/>
              </w:rPr>
              <w:t>Informationsobjekt, Objekt</w:t>
            </w:r>
          </w:p>
        </w:tc>
      </w:tr>
      <w:tr>
        <w:tc>
          <w:tcPr>
            <w:tcW w:w="2088" w:type="dxa"/>
          </w:tcPr>
          <w:p>
            <w:pPr>
              <w:spacing w:before="120" w:after="120"/>
              <w:rPr>
                <w:i/>
                <w:iCs/>
                <w:sz w:val="18"/>
                <w:lang w:val="en-GB"/>
              </w:rPr>
            </w:pPr>
            <w:r>
              <w:rPr>
                <w:i/>
                <w:iCs/>
                <w:sz w:val="18"/>
              </w:rPr>
              <w:t>Entitätstyp</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Jede Entität (das einzelne Objekt) wird einem Entitätstyp zugeordnet. Entitäten sind konkrete Ausprägungen eines Entitätstyps.</w:t>
            </w:r>
          </w:p>
        </w:tc>
        <w:tc>
          <w:tcPr>
            <w:tcW w:w="2200" w:type="dxa"/>
          </w:tcPr>
          <w:p>
            <w:pPr>
              <w:spacing w:before="120" w:after="120"/>
              <w:rPr>
                <w:i/>
                <w:iCs/>
                <w:sz w:val="18"/>
              </w:rPr>
            </w:pPr>
            <w:r>
              <w:rPr>
                <w:i/>
                <w:iCs/>
                <w:sz w:val="18"/>
              </w:rPr>
              <w:t>Klasse</w:t>
            </w:r>
          </w:p>
        </w:tc>
      </w:tr>
      <w:tr>
        <w:tc>
          <w:tcPr>
            <w:tcW w:w="2088" w:type="dxa"/>
          </w:tcPr>
          <w:p>
            <w:pPr>
              <w:spacing w:before="120" w:after="120"/>
              <w:rPr>
                <w:i/>
                <w:iCs/>
                <w:sz w:val="18"/>
                <w:lang w:val="en-GB"/>
              </w:rPr>
            </w:pPr>
            <w:r>
              <w:rPr>
                <w:i/>
                <w:iCs/>
                <w:sz w:val="18"/>
              </w:rPr>
              <w:t>Fachlicher Datentyp</w:t>
            </w:r>
          </w:p>
        </w:tc>
        <w:tc>
          <w:tcPr>
            <w:tcW w:w="1732" w:type="dxa"/>
          </w:tcPr>
          <w:p>
            <w:pPr>
              <w:spacing w:before="120" w:after="120"/>
              <w:rPr>
                <w:i/>
                <w:iCs/>
                <w:sz w:val="18"/>
                <w:lang w:val="en-GB"/>
              </w:rPr>
            </w:pPr>
            <w:r>
              <w:rPr>
                <w:i/>
                <w:iCs/>
                <w:sz w:val="18"/>
              </w:rPr>
              <w:t>Daten</w:t>
            </w:r>
          </w:p>
        </w:tc>
        <w:tc>
          <w:tcPr>
            <w:tcW w:w="3438" w:type="dxa"/>
          </w:tcPr>
          <w:p>
            <w:pPr>
              <w:spacing w:before="120" w:after="120"/>
              <w:rPr>
                <w:i/>
                <w:iCs/>
                <w:sz w:val="18"/>
              </w:rPr>
            </w:pPr>
            <w:r>
              <w:rPr>
                <w:i/>
                <w:iCs/>
                <w:sz w:val="18"/>
              </w:rPr>
              <w:t>Fachliche Datentypen werden verwendet, um Typ und Wertebereichsangaben von Attributen gruppieren zu können.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Geschäftsprozess</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Geschäftsvorfall</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 Geschäftsvorfall ist die Bündelung elementarer Tätigkeiten (Aktivitäten) innerhalb eines Geschäftsprozesses, die durch ein Ereignis ausgelöst werden.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Kernprozess</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Kernprozesse sind die wertschöpfenden Prozesse. Im Dienstleistungsbereich beschäftigen sich die Kernprozesse mit denjenigen Leistungen, die direkt von einem externen Kunden bezahlt werden.</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Logisches Datenmodell</w:t>
            </w:r>
          </w:p>
        </w:tc>
        <w:tc>
          <w:tcPr>
            <w:tcW w:w="1732" w:type="dxa"/>
          </w:tcPr>
          <w:p>
            <w:pPr>
              <w:spacing w:before="120" w:after="120"/>
              <w:rPr>
                <w:i/>
                <w:iCs/>
                <w:sz w:val="18"/>
              </w:rPr>
            </w:pPr>
            <w:r>
              <w:rPr>
                <w:i/>
                <w:iCs/>
                <w:sz w:val="18"/>
              </w:rPr>
              <w:t>Daten</w:t>
            </w:r>
          </w:p>
        </w:tc>
        <w:tc>
          <w:tcPr>
            <w:tcW w:w="3438" w:type="dxa"/>
          </w:tcPr>
          <w:p>
            <w:pPr>
              <w:spacing w:before="120" w:after="120"/>
              <w:rPr>
                <w:i/>
                <w:iCs/>
                <w:sz w:val="18"/>
              </w:rPr>
            </w:pPr>
            <w:r>
              <w:rPr>
                <w:i/>
                <w:iCs/>
                <w:sz w:val="18"/>
              </w:rPr>
              <w:t>Das logische Datenmodell einer Anwendung beschreibt die Struktur der permanent gespeicherten Daten aus fachlicher Sicht.</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Logging</w:t>
            </w:r>
          </w:p>
        </w:tc>
        <w:tc>
          <w:tcPr>
            <w:tcW w:w="1732" w:type="dxa"/>
          </w:tcPr>
          <w:p>
            <w:pPr>
              <w:spacing w:before="120" w:after="120"/>
              <w:rPr>
                <w:i/>
                <w:iCs/>
                <w:sz w:val="18"/>
              </w:rPr>
            </w:pPr>
            <w:r>
              <w:rPr>
                <w:i/>
                <w:iCs/>
                <w:sz w:val="18"/>
              </w:rPr>
              <w:t>Nichtfunktionale Anforderung</w:t>
            </w:r>
          </w:p>
        </w:tc>
        <w:tc>
          <w:tcPr>
            <w:tcW w:w="3438" w:type="dxa"/>
          </w:tcPr>
          <w:p>
            <w:pPr>
              <w:spacing w:before="120" w:after="120"/>
              <w:rPr>
                <w:i/>
                <w:iCs/>
                <w:sz w:val="18"/>
              </w:rPr>
            </w:pPr>
            <w:r>
              <w:rPr>
                <w:i/>
                <w:iCs/>
                <w:sz w:val="18"/>
              </w:rPr>
              <w:t>Unter Logging sind systemnahe und sicherheitsrelevante Meldungen zu verstehen für das Erkennen, Behandeln und Beheben von Fehlern, Analyse und Nachvollziehen von Systemereignissen und des Systemzustands und weitere systemspezifische Auswertungen.</w:t>
            </w:r>
          </w:p>
          <w:p>
            <w:pPr>
              <w:spacing w:before="120" w:after="120"/>
              <w:rPr>
                <w:i/>
                <w:iCs/>
                <w:sz w:val="18"/>
              </w:rPr>
            </w:pPr>
            <w:r>
              <w:rPr>
                <w:i/>
                <w:iCs/>
                <w:sz w:val="18"/>
              </w:rPr>
              <w:t>Es handelt sich nicht um Protokollierung!</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Maske</w:t>
            </w:r>
          </w:p>
        </w:tc>
        <w:tc>
          <w:tcPr>
            <w:tcW w:w="1732" w:type="dxa"/>
          </w:tcPr>
          <w:p>
            <w:pPr>
              <w:spacing w:before="120" w:after="120"/>
              <w:rPr>
                <w:i/>
                <w:iCs/>
                <w:sz w:val="18"/>
                <w:lang w:val="en-GB"/>
              </w:rPr>
            </w:pPr>
            <w:r>
              <w:rPr>
                <w:i/>
                <w:iCs/>
                <w:sz w:val="18"/>
              </w:rPr>
              <w:t>Benutzungsschnitt</w:t>
            </w:r>
            <w:r>
              <w:rPr>
                <w:i/>
                <w:iCs/>
                <w:sz w:val="18"/>
              </w:rPr>
              <w:softHyphen/>
              <w:t>stelle</w:t>
            </w:r>
          </w:p>
        </w:tc>
        <w:tc>
          <w:tcPr>
            <w:tcW w:w="3438" w:type="dxa"/>
          </w:tcPr>
          <w:p>
            <w:pPr>
              <w:spacing w:before="120" w:after="120"/>
              <w:rPr>
                <w:i/>
                <w:iCs/>
                <w:sz w:val="18"/>
              </w:rPr>
            </w:pPr>
            <w:r>
              <w:rPr>
                <w:i/>
                <w:iCs/>
                <w:sz w:val="18"/>
              </w:rPr>
              <w:t>Eine „Maske“ entspricht einem Bildschirmbereich zur Bearbeitung eines Arbeitsschritts eines Anwendungsfalls, z.B. ein Fenster. Eine Maske entspricht bei einer GUI meist genau einem Fenster.</w:t>
            </w:r>
          </w:p>
        </w:tc>
        <w:tc>
          <w:tcPr>
            <w:tcW w:w="2200" w:type="dxa"/>
          </w:tcPr>
          <w:p>
            <w:pPr>
              <w:spacing w:before="120" w:after="120"/>
              <w:rPr>
                <w:i/>
                <w:iCs/>
                <w:sz w:val="18"/>
              </w:rPr>
            </w:pPr>
            <w:r>
              <w:rPr>
                <w:i/>
                <w:iCs/>
                <w:sz w:val="18"/>
              </w:rPr>
              <w:t>Screen</w:t>
            </w:r>
          </w:p>
        </w:tc>
      </w:tr>
      <w:tr>
        <w:tc>
          <w:tcPr>
            <w:tcW w:w="2088" w:type="dxa"/>
          </w:tcPr>
          <w:p>
            <w:pPr>
              <w:spacing w:before="120" w:after="120"/>
              <w:rPr>
                <w:i/>
                <w:iCs/>
                <w:sz w:val="18"/>
                <w:lang w:val="en-GB"/>
              </w:rPr>
            </w:pPr>
            <w:r>
              <w:rPr>
                <w:i/>
                <w:iCs/>
                <w:sz w:val="18"/>
              </w:rPr>
              <w:t>Maskentyp</w:t>
            </w:r>
          </w:p>
        </w:tc>
        <w:tc>
          <w:tcPr>
            <w:tcW w:w="1732" w:type="dxa"/>
          </w:tcPr>
          <w:p>
            <w:pPr>
              <w:spacing w:before="120" w:after="120"/>
              <w:rPr>
                <w:i/>
                <w:iCs/>
                <w:sz w:val="18"/>
              </w:rPr>
            </w:pPr>
            <w:r>
              <w:rPr>
                <w:i/>
                <w:iCs/>
                <w:sz w:val="18"/>
              </w:rPr>
              <w:t>Benutzungsschnitt</w:t>
            </w:r>
            <w:r>
              <w:rPr>
                <w:i/>
                <w:iCs/>
                <w:sz w:val="18"/>
              </w:rPr>
              <w:softHyphen/>
              <w:t>stelle</w:t>
            </w:r>
          </w:p>
        </w:tc>
        <w:tc>
          <w:tcPr>
            <w:tcW w:w="3438" w:type="dxa"/>
          </w:tcPr>
          <w:p>
            <w:pPr>
              <w:spacing w:before="120" w:after="120"/>
              <w:rPr>
                <w:i/>
                <w:iCs/>
                <w:sz w:val="18"/>
              </w:rPr>
            </w:pPr>
            <w:r>
              <w:rPr>
                <w:i/>
                <w:iCs/>
                <w:sz w:val="18"/>
              </w:rPr>
              <w:t>Maskentypen fassen Masken mit gleichartigem Verhalten zusammen (z.B. Eingabe).</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Modellkomponente</w:t>
            </w:r>
          </w:p>
        </w:tc>
        <w:tc>
          <w:tcPr>
            <w:tcW w:w="1732" w:type="dxa"/>
          </w:tcPr>
          <w:p>
            <w:pPr>
              <w:spacing w:before="120" w:after="120"/>
              <w:rPr>
                <w:i/>
                <w:iCs/>
                <w:sz w:val="18"/>
              </w:rPr>
            </w:pPr>
            <w:r>
              <w:rPr>
                <w:i/>
                <w:iCs/>
                <w:sz w:val="18"/>
              </w:rPr>
              <w:t>Daten</w:t>
            </w:r>
          </w:p>
        </w:tc>
        <w:tc>
          <w:tcPr>
            <w:tcW w:w="3438" w:type="dxa"/>
          </w:tcPr>
          <w:p>
            <w:pPr>
              <w:spacing w:before="120" w:after="120"/>
              <w:rPr>
                <w:i/>
                <w:iCs/>
                <w:sz w:val="18"/>
              </w:rPr>
            </w:pPr>
            <w:r>
              <w:rPr>
                <w:i/>
                <w:iCs/>
                <w:sz w:val="18"/>
              </w:rPr>
              <w:t>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Nachbarsystem</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Ein externes System mit dem über eine Schnittstelle kommuniziert wird.</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rPr>
              <w:t>Nachbarsystemschnitt</w:t>
            </w:r>
            <w:r>
              <w:rPr>
                <w:i/>
                <w:iCs/>
                <w:sz w:val="18"/>
              </w:rPr>
              <w:softHyphen/>
              <w:t>stelle</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Über eine Nachbarsystemschnittstelle werden zwischen zwei Anwendungssystemen Daten ausgetauscht oder externe Dienste benutzt.</w:t>
            </w:r>
          </w:p>
        </w:tc>
        <w:tc>
          <w:tcPr>
            <w:tcW w:w="2200" w:type="dxa"/>
          </w:tcPr>
          <w:p>
            <w:pPr>
              <w:spacing w:before="120" w:after="120"/>
              <w:rPr>
                <w:i/>
                <w:iCs/>
                <w:sz w:val="18"/>
              </w:rPr>
            </w:pPr>
            <w:r>
              <w:rPr>
                <w:i/>
                <w:iCs/>
                <w:sz w:val="18"/>
              </w:rPr>
              <w:t>Schnittstellen</w:t>
            </w:r>
          </w:p>
        </w:tc>
      </w:tr>
      <w:tr>
        <w:tc>
          <w:tcPr>
            <w:tcW w:w="2088" w:type="dxa"/>
          </w:tcPr>
          <w:p>
            <w:pPr>
              <w:spacing w:before="120" w:after="120"/>
              <w:rPr>
                <w:i/>
                <w:iCs/>
                <w:sz w:val="18"/>
                <w:lang w:val="en-GB"/>
              </w:rPr>
            </w:pPr>
            <w:r>
              <w:rPr>
                <w:i/>
                <w:iCs/>
                <w:sz w:val="18"/>
              </w:rPr>
              <w:t>Nichtfunktionale</w:t>
            </w:r>
            <w:r>
              <w:rPr>
                <w:i/>
                <w:iCs/>
                <w:sz w:val="18"/>
                <w:lang w:val="en-GB"/>
              </w:rPr>
              <w:t xml:space="preserve"> </w:t>
            </w:r>
            <w:r>
              <w:rPr>
                <w:i/>
                <w:iCs/>
                <w:sz w:val="18"/>
              </w:rPr>
              <w:t>Anforderung</w:t>
            </w:r>
          </w:p>
        </w:tc>
        <w:tc>
          <w:tcPr>
            <w:tcW w:w="1732" w:type="dxa"/>
          </w:tcPr>
          <w:p>
            <w:pPr>
              <w:spacing w:before="120" w:after="120"/>
              <w:rPr>
                <w:i/>
                <w:iCs/>
                <w:sz w:val="18"/>
              </w:rPr>
            </w:pPr>
            <w:r>
              <w:rPr>
                <w:i/>
                <w:iCs/>
                <w:sz w:val="18"/>
              </w:rPr>
              <w:t>Architektur</w:t>
            </w:r>
          </w:p>
        </w:tc>
        <w:tc>
          <w:tcPr>
            <w:tcW w:w="3438" w:type="dxa"/>
          </w:tcPr>
          <w:p>
            <w:pPr>
              <w:spacing w:before="120" w:after="120"/>
              <w:rPr>
                <w:i/>
                <w:iCs/>
                <w:sz w:val="18"/>
              </w:rPr>
            </w:pPr>
            <w:r>
              <w:rPr>
                <w:i/>
                <w:iCs/>
                <w:sz w:val="18"/>
              </w:rPr>
              <w:t>Während die funktionalen Anforderungen die geforderten Fähigkeiten des Anwendungssystems beschreiben, stellen die nichtfunktionalen Anforderungen die zu erfüllenden Rahmenbedingungen für die Anwendung dar (z.B. Performanz, Verfügbarkeit).</w:t>
            </w:r>
          </w:p>
        </w:tc>
        <w:tc>
          <w:tcPr>
            <w:tcW w:w="2200" w:type="dxa"/>
          </w:tcPr>
          <w:p>
            <w:pPr>
              <w:spacing w:before="120" w:after="120"/>
              <w:rPr>
                <w:i/>
                <w:iCs/>
                <w:sz w:val="18"/>
              </w:rPr>
            </w:pPr>
            <w:r>
              <w:rPr>
                <w:i/>
                <w:iCs/>
                <w:sz w:val="18"/>
              </w:rPr>
              <w:t>Non-</w:t>
            </w:r>
            <w:r>
              <w:rPr>
                <w:i/>
                <w:iCs/>
                <w:sz w:val="18"/>
                <w:lang w:val="en-US"/>
              </w:rPr>
              <w:t>functional</w:t>
            </w:r>
            <w:r>
              <w:rPr>
                <w:i/>
                <w:iCs/>
                <w:sz w:val="18"/>
              </w:rPr>
              <w:t xml:space="preserve"> </w:t>
            </w:r>
            <w:r>
              <w:rPr>
                <w:i/>
                <w:iCs/>
                <w:sz w:val="18"/>
                <w:lang w:val="en-US"/>
              </w:rPr>
              <w:t>requirement</w:t>
            </w:r>
          </w:p>
        </w:tc>
      </w:tr>
      <w:tr>
        <w:tc>
          <w:tcPr>
            <w:tcW w:w="2088" w:type="dxa"/>
          </w:tcPr>
          <w:p>
            <w:pPr>
              <w:spacing w:before="120" w:after="120"/>
              <w:rPr>
                <w:i/>
                <w:iCs/>
                <w:sz w:val="18"/>
              </w:rPr>
            </w:pPr>
            <w:r>
              <w:rPr>
                <w:i/>
                <w:iCs/>
                <w:sz w:val="18"/>
              </w:rPr>
              <w:t>Organisationseinheit</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Einheiten des Unternehmens, die eine Aktivität ausführen bzw. Personen, die in einer bestimmte Rolle am Prozess beteiligt sind.</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Projekt</w:t>
            </w:r>
          </w:p>
        </w:tc>
        <w:tc>
          <w:tcPr>
            <w:tcW w:w="1732" w:type="dxa"/>
          </w:tcPr>
          <w:p>
            <w:pPr>
              <w:spacing w:before="120" w:after="120"/>
              <w:rPr>
                <w:i/>
                <w:iCs/>
                <w:sz w:val="18"/>
              </w:rPr>
            </w:pPr>
            <w:r>
              <w:rPr>
                <w:i/>
                <w:iCs/>
                <w:sz w:val="18"/>
              </w:rPr>
              <w:t>Vorgehen</w:t>
            </w:r>
          </w:p>
        </w:tc>
        <w:tc>
          <w:tcPr>
            <w:tcW w:w="3438" w:type="dxa"/>
          </w:tcPr>
          <w:p>
            <w:pPr>
              <w:spacing w:before="120" w:after="120"/>
              <w:rPr>
                <w:i/>
                <w:iCs/>
                <w:sz w:val="18"/>
              </w:rPr>
            </w:pPr>
            <w:r>
              <w:rPr>
                <w:i/>
                <w:iCs/>
                <w:sz w:val="18"/>
              </w:rPr>
              <w:t>Ein Projekt ist ein Vorhaben, bei dem innerhalb einer definierten Zeitspanne ein definiertes Ziel erreicht werden soll, und das sich dadurch auszeichnet, dass es im Wesentlichen ein einmaliges Vorhaben ist.</w:t>
            </w:r>
          </w:p>
        </w:tc>
        <w:tc>
          <w:tcPr>
            <w:tcW w:w="2200" w:type="dxa"/>
          </w:tcPr>
          <w:p>
            <w:pPr>
              <w:spacing w:before="120" w:after="120"/>
              <w:rPr>
                <w:i/>
                <w:iCs/>
                <w:sz w:val="18"/>
              </w:rPr>
            </w:pPr>
            <w:r>
              <w:rPr>
                <w:i/>
                <w:iCs/>
                <w:sz w:val="18"/>
              </w:rPr>
              <w:t>IT-Projekt</w:t>
            </w:r>
          </w:p>
        </w:tc>
      </w:tr>
      <w:tr>
        <w:tc>
          <w:tcPr>
            <w:tcW w:w="2088" w:type="dxa"/>
          </w:tcPr>
          <w:p>
            <w:pPr>
              <w:spacing w:before="120" w:after="120"/>
              <w:rPr>
                <w:i/>
                <w:iCs/>
                <w:sz w:val="18"/>
                <w:lang w:val="en-GB"/>
              </w:rPr>
            </w:pPr>
            <w:r>
              <w:rPr>
                <w:i/>
                <w:iCs/>
                <w:sz w:val="18"/>
              </w:rPr>
              <w:t>Protokollierung</w:t>
            </w:r>
          </w:p>
        </w:tc>
        <w:tc>
          <w:tcPr>
            <w:tcW w:w="1732" w:type="dxa"/>
          </w:tcPr>
          <w:p>
            <w:pPr>
              <w:spacing w:before="120" w:after="120"/>
              <w:rPr>
                <w:i/>
                <w:iCs/>
                <w:sz w:val="18"/>
              </w:rPr>
            </w:pPr>
            <w:r>
              <w:rPr>
                <w:i/>
                <w:iCs/>
                <w:sz w:val="18"/>
              </w:rPr>
              <w:t>Nichtfunktionale Anforderungen</w:t>
            </w:r>
          </w:p>
        </w:tc>
        <w:tc>
          <w:tcPr>
            <w:tcW w:w="3438" w:type="dxa"/>
          </w:tcPr>
          <w:p>
            <w:pPr>
              <w:spacing w:before="120" w:after="120"/>
              <w:rPr>
                <w:i/>
                <w:iCs/>
                <w:sz w:val="18"/>
              </w:rPr>
            </w:pPr>
            <w:r>
              <w:rPr>
                <w:i/>
                <w:iCs/>
                <w:sz w:val="18"/>
              </w:rPr>
              <w:t>Die Protokollierung erfasst Informationen zu fachlichen Abläufen, um diese zu einem späteren Zeitpunkt nachvollziehbar zu machen.</w:t>
            </w:r>
          </w:p>
          <w:p>
            <w:pPr>
              <w:spacing w:before="120" w:after="120"/>
              <w:rPr>
                <w:i/>
                <w:iCs/>
                <w:sz w:val="18"/>
              </w:rPr>
            </w:pPr>
            <w:r>
              <w:rPr>
                <w:i/>
                <w:iCs/>
                <w:sz w:val="18"/>
              </w:rPr>
              <w:t>Es handelt sich nicht um Logging!</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Stützprozess</w:t>
            </w:r>
          </w:p>
        </w:tc>
        <w:tc>
          <w:tcPr>
            <w:tcW w:w="1732" w:type="dxa"/>
          </w:tcPr>
          <w:p>
            <w:pPr>
              <w:spacing w:before="120" w:after="120"/>
              <w:rPr>
                <w:i/>
                <w:iCs/>
                <w:sz w:val="18"/>
              </w:rPr>
            </w:pPr>
            <w:r>
              <w:rPr>
                <w:i/>
                <w:iCs/>
                <w:sz w:val="18"/>
              </w:rPr>
              <w:t>Abläufe</w:t>
            </w:r>
          </w:p>
        </w:tc>
        <w:tc>
          <w:tcPr>
            <w:tcW w:w="3438" w:type="dxa"/>
          </w:tcPr>
          <w:p>
            <w:pPr>
              <w:spacing w:before="120" w:after="120"/>
              <w:rPr>
                <w:i/>
                <w:iCs/>
                <w:sz w:val="18"/>
              </w:rPr>
            </w:pPr>
            <w:r>
              <w:rPr>
                <w:i/>
                <w:iCs/>
                <w:sz w:val="18"/>
              </w:rPr>
              <w:t>Stützprozesse sind die unterstützenden Prozesse, die notwendig sind, um die Kernprozesse am Laufen zu halten. Externe Nutzer nehmen sie nicht wahr.</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UML-Aktivitäten</w:t>
            </w:r>
            <w:r>
              <w:rPr>
                <w:i/>
                <w:iCs/>
                <w:sz w:val="18"/>
              </w:rPr>
              <w:softHyphen/>
              <w:t>diagramm</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Das Aktivitätsdiagramm ist ein Verhaltensdiagramm. Es zeigt eine bestimmte Sicht auf die dynamischen Aspekte des modellierten Anwendungssystems.</w:t>
            </w:r>
          </w:p>
        </w:tc>
        <w:tc>
          <w:tcPr>
            <w:tcW w:w="2200" w:type="dxa"/>
          </w:tcPr>
          <w:p>
            <w:pPr>
              <w:spacing w:before="120" w:after="120"/>
              <w:rPr>
                <w:i/>
                <w:iCs/>
                <w:sz w:val="18"/>
              </w:rPr>
            </w:pPr>
          </w:p>
        </w:tc>
      </w:tr>
      <w:tr>
        <w:tc>
          <w:tcPr>
            <w:tcW w:w="2088" w:type="dxa"/>
          </w:tcPr>
          <w:p>
            <w:pPr>
              <w:spacing w:before="120" w:after="120"/>
              <w:rPr>
                <w:i/>
                <w:iCs/>
                <w:sz w:val="18"/>
                <w:lang w:val="en-GB"/>
              </w:rPr>
            </w:pPr>
            <w:r>
              <w:rPr>
                <w:i/>
                <w:iCs/>
                <w:sz w:val="18"/>
                <w:lang w:val="en-GB"/>
              </w:rPr>
              <w:t>UML-Klassendiagramm</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Ein Klassendiagramm ist in der Informatik eine grafische Darstellung von Entitätstypen sowie der Assoziationen zwischen diesen Entitätstypen.</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UML-Komponenten</w:t>
            </w:r>
            <w:r>
              <w:rPr>
                <w:i/>
                <w:iCs/>
                <w:sz w:val="18"/>
              </w:rPr>
              <w:softHyphen/>
              <w:t>diagramm</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Das Komponentendiagramm ist ein Strukturdiagramm. Es zeigt eine bestimmte Sicht auf die Struktur des modellierten Anwendungssystems.</w:t>
            </w:r>
          </w:p>
        </w:tc>
        <w:tc>
          <w:tcPr>
            <w:tcW w:w="2200" w:type="dxa"/>
          </w:tcPr>
          <w:p>
            <w:pPr>
              <w:spacing w:before="120" w:after="120"/>
              <w:rPr>
                <w:i/>
                <w:iCs/>
                <w:sz w:val="18"/>
              </w:rPr>
            </w:pPr>
          </w:p>
        </w:tc>
      </w:tr>
      <w:tr>
        <w:tc>
          <w:tcPr>
            <w:tcW w:w="2088" w:type="dxa"/>
          </w:tcPr>
          <w:p>
            <w:pPr>
              <w:spacing w:before="120" w:after="120"/>
              <w:rPr>
                <w:i/>
                <w:iCs/>
                <w:sz w:val="18"/>
              </w:rPr>
            </w:pPr>
            <w:r>
              <w:rPr>
                <w:i/>
                <w:iCs/>
                <w:sz w:val="18"/>
              </w:rPr>
              <w:t>Unified Modelling Language (UML)</w:t>
            </w:r>
          </w:p>
        </w:tc>
        <w:tc>
          <w:tcPr>
            <w:tcW w:w="1732" w:type="dxa"/>
          </w:tcPr>
          <w:p>
            <w:pPr>
              <w:spacing w:before="120" w:after="120"/>
              <w:rPr>
                <w:i/>
                <w:iCs/>
                <w:sz w:val="18"/>
              </w:rPr>
            </w:pPr>
            <w:r>
              <w:rPr>
                <w:i/>
                <w:iCs/>
                <w:sz w:val="18"/>
              </w:rPr>
              <w:t>Methodik</w:t>
            </w:r>
          </w:p>
        </w:tc>
        <w:tc>
          <w:tcPr>
            <w:tcW w:w="3438" w:type="dxa"/>
          </w:tcPr>
          <w:p>
            <w:pPr>
              <w:spacing w:before="120" w:after="120"/>
              <w:rPr>
                <w:i/>
                <w:iCs/>
                <w:sz w:val="18"/>
              </w:rPr>
            </w:pPr>
            <w:r>
              <w:rPr>
                <w:i/>
                <w:iCs/>
                <w:sz w:val="18"/>
              </w:rPr>
              <w:t>Die Unified Modeling Language (UML) ist eine von der Object Management Group (OMG) entwickelte und standardisierte Sprache für die Modellierung von Software und anderen Anwendungssystemen.</w:t>
            </w:r>
          </w:p>
        </w:tc>
        <w:tc>
          <w:tcPr>
            <w:tcW w:w="2200" w:type="dxa"/>
          </w:tcPr>
          <w:p>
            <w:pPr>
              <w:spacing w:before="120" w:after="120"/>
              <w:rPr>
                <w:i/>
                <w:iCs/>
                <w:sz w:val="18"/>
              </w:rPr>
            </w:pPr>
          </w:p>
        </w:tc>
      </w:tr>
    </w:tbl>
    <w:p>
      <w:pPr>
        <w:pStyle w:val="berschrift2"/>
      </w:pPr>
      <w:bookmarkStart w:id="331" w:name="_Toc317363931"/>
      <w:bookmarkStart w:id="332" w:name="_Toc317364761"/>
      <w:bookmarkStart w:id="333" w:name="_Toc317368695"/>
      <w:bookmarkStart w:id="334" w:name="_Toc488819285"/>
      <w:bookmarkEnd w:id="331"/>
      <w:bookmarkEnd w:id="332"/>
      <w:bookmarkEnd w:id="333"/>
      <w:r>
        <w:t>Fachliche Grundlagen</w:t>
      </w:r>
      <w:bookmarkEnd w:id="334"/>
    </w:p>
    <w:p>
      <w:pPr>
        <w:rPr>
          <w:i/>
          <w:iCs/>
        </w:rPr>
      </w:pPr>
      <w:r>
        <w:rPr>
          <w:i/>
          <w:iCs/>
        </w:rPr>
        <w:t>Die fachlichen Grundlagen dokumentieren Fakten und Hintergrundinformationen zum Anwendungsbereich. Es handelt sich dabei um solche Informationen, die für das Verständnis der Spezifikation und für die Entwicklung des Anwendungssystems hilfreich sind, sich aber nicht in den Anforderungen direkt widerspiegeln.</w:t>
      </w:r>
    </w:p>
    <w:p>
      <w:pPr>
        <w:rPr>
          <w:i/>
          <w:iCs/>
        </w:rPr>
      </w:pPr>
      <w:r>
        <w:rPr>
          <w:i/>
          <w:iCs/>
        </w:rPr>
        <w:t>Fachliche Grundlagen werden in diesem Abschnitt beschrieben und können aus allen anderen Abschnitten der Systemspezifikation referenziert werden.</w:t>
      </w:r>
    </w:p>
    <w:p>
      <w:pPr>
        <w:pStyle w:val="berschrift2"/>
      </w:pPr>
      <w:bookmarkStart w:id="335" w:name="_Toc488819286"/>
      <w:r>
        <w:t>Rollen und Berechtigungen</w:t>
      </w:r>
      <w:bookmarkEnd w:id="335"/>
    </w:p>
    <w:p>
      <w:pPr>
        <w:spacing w:after="120"/>
        <w:rPr>
          <w:i/>
        </w:rPr>
      </w:pPr>
      <w:r>
        <w:rPr>
          <w:i/>
        </w:rPr>
        <w:t>Das Kapitel Rollen und Berechtigungen dokumentiert, welche Rollen es in einem System gibt. Es liefert eine kurze Beschreibung, welche Bedeutung jede Rolle hat. Darüber hinaus muss aufgeführt werden, welche Rechte die jeweiligen Rollen in dem System haben (d.h. z. B. welchen Anwendungsfall ein Anwender mit einer bestimmten Rolle nutzen darf oder welche Maskenelemente diesem zur Verfügung stehen). Rollen können dabei Anwender oder Systeme repräsentieren. Außerdem dokumentiert das Kapitel, welche Rollen die jeweiligen Akteure eines Systems einnehmen können.</w:t>
      </w:r>
    </w:p>
    <w:p>
      <w:pPr>
        <w:spacing w:after="120"/>
        <w:rPr>
          <w:i/>
        </w:rPr>
      </w:pPr>
      <w:r>
        <w:rPr>
          <w:i/>
        </w:rPr>
        <w:t>Für das Bestimmen und Benennen der Rollen der gibt es folgende Richtlinien.</w:t>
      </w:r>
    </w:p>
    <w:p>
      <w:pPr>
        <w:spacing w:after="120"/>
        <w:rPr>
          <w:i/>
          <w:u w:val="single"/>
        </w:rPr>
      </w:pPr>
      <w:r>
        <w:rPr>
          <w:i/>
          <w:u w:val="single"/>
        </w:rPr>
        <w:t>Rollenschnitt</w:t>
      </w:r>
    </w:p>
    <w:p>
      <w:pPr>
        <w:spacing w:after="120"/>
        <w:rPr>
          <w:i/>
        </w:rPr>
      </w:pPr>
      <w:r>
        <w:rPr>
          <w:i/>
        </w:rPr>
        <w:t>Die Rollen des Benutzerverzeichnisses sind in fachliche und technische Rollen aufgeteilt. Fachliche Rollen können im Gegensatz zu technischen Rollen über die Oberfläche des Benutzerverzeichnisses administriert werden.  Technische Rollen können dafür als Unterrollen von anderen technischen oder fachlichen Rollen dienen.</w:t>
      </w:r>
    </w:p>
    <w:p>
      <w:pPr>
        <w:keepNext/>
        <w:spacing w:after="120"/>
        <w:jc w:val="center"/>
      </w:pPr>
      <w:r>
        <w:rPr>
          <w:noProof/>
        </w:rPr>
        <w:drawing>
          <wp:inline distT="0" distB="0" distL="0" distR="0">
            <wp:extent cx="3761105" cy="2449195"/>
            <wp:effectExtent l="0" t="0" r="0" b="8255"/>
            <wp:docPr id="26" name="Picture 43" descr="Bild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Bild1"/>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3761105" cy="2449195"/>
                    </a:xfrm>
                    <a:prstGeom prst="rect">
                      <a:avLst/>
                    </a:prstGeom>
                    <a:noFill/>
                    <a:ln>
                      <a:noFill/>
                    </a:ln>
                  </pic:spPr>
                </pic:pic>
              </a:graphicData>
            </a:graphic>
          </wp:inline>
        </w:drawing>
      </w:r>
    </w:p>
    <w:p>
      <w:pPr>
        <w:pStyle w:val="Beschriftung"/>
        <w:rPr>
          <w:i w:val="0"/>
        </w:rPr>
      </w:pPr>
      <w:r>
        <w:t xml:space="preserve">Abbildung </w:t>
      </w:r>
      <w:fldSimple w:instr=" SEQ Abbildung \* ARABIC ">
        <w:r>
          <w:rPr>
            <w:noProof/>
          </w:rPr>
          <w:t>25</w:t>
        </w:r>
      </w:fldSimple>
      <w:r>
        <w:t xml:space="preserve">: </w:t>
      </w:r>
      <w:r>
        <w:rPr>
          <w:noProof/>
        </w:rPr>
        <w:t>Rollenschnitt am Beispiel einer CD-Verwaltung</w:t>
      </w:r>
    </w:p>
    <w:p>
      <w:pPr>
        <w:pStyle w:val="Listenabsatz"/>
        <w:numPr>
          <w:ilvl w:val="0"/>
          <w:numId w:val="29"/>
        </w:numPr>
        <w:spacing w:after="120"/>
        <w:rPr>
          <w:rFonts w:ascii="Times New Roman" w:hAnsi="Times New Roman"/>
          <w:i/>
        </w:rPr>
      </w:pPr>
      <w:r>
        <w:rPr>
          <w:rFonts w:ascii="Times New Roman" w:hAnsi="Times New Roman"/>
          <w:i/>
        </w:rPr>
        <w:t>Fachliche Rollen werden für Schnittstellen von PLIS-Anwendungen vergeben, welche Zugänge zur PLIS-Anwendungslandschaft geben (GUI-Oberflächen, Service-Gateway Zugänge, interne Systeme wie Systemtasks oder Batches). Die einzelnen angebotenen Services werden über Rechte abgesichert.</w:t>
      </w:r>
    </w:p>
    <w:p>
      <w:pPr>
        <w:pStyle w:val="Listenabsatz"/>
        <w:numPr>
          <w:ilvl w:val="0"/>
          <w:numId w:val="29"/>
        </w:numPr>
        <w:spacing w:after="120"/>
        <w:rPr>
          <w:rFonts w:ascii="Times New Roman" w:hAnsi="Times New Roman"/>
          <w:i/>
        </w:rPr>
      </w:pPr>
      <w:r>
        <w:rPr>
          <w:rFonts w:ascii="Times New Roman" w:hAnsi="Times New Roman"/>
          <w:i/>
        </w:rPr>
        <w:t xml:space="preserve">Technische Rollen sichern die Kommunikationswege innerhalb der PLIS-Anwendungslandschaft ab. Sie werden für die Schnittstellen von PLIS-Anwendungen verwendet, welche nur von anderen PLIS-Anwendungen aufgerufen werden. Die einzelnen Schnittstellen werden durch Rechte abgesichert. </w:t>
      </w:r>
    </w:p>
    <w:p>
      <w:pPr>
        <w:pStyle w:val="Listenabsatz"/>
        <w:numPr>
          <w:ilvl w:val="0"/>
          <w:numId w:val="29"/>
        </w:numPr>
        <w:spacing w:after="120"/>
        <w:rPr>
          <w:rFonts w:ascii="Times New Roman" w:hAnsi="Times New Roman"/>
          <w:i/>
        </w:rPr>
      </w:pPr>
      <w:r>
        <w:rPr>
          <w:rFonts w:ascii="Times New Roman" w:hAnsi="Times New Roman"/>
          <w:i/>
        </w:rPr>
        <w:t xml:space="preserve">Die Querschnittsrolle „QK_Nutzer“ ist eine einheitliche Rolle </w:t>
      </w:r>
      <w:r>
        <w:rPr>
          <w:rFonts w:ascii="Times New Roman" w:hAnsi="Times New Roman"/>
          <w:i/>
          <w:lang w:eastAsia="x-none"/>
        </w:rPr>
        <w:t>zur Absicherung von unkritischen  Querschnittssysteme, deren Services von fast jeden Aufruf benötig werden. Sie ist a</w:t>
      </w:r>
      <w:r>
        <w:rPr>
          <w:rFonts w:ascii="Times New Roman" w:hAnsi="Times New Roman"/>
          <w:i/>
        </w:rPr>
        <w:t>ls Unterrolle von Zugang_Portal und Zugang_SGW definiert.</w:t>
      </w:r>
    </w:p>
    <w:p>
      <w:pPr>
        <w:spacing w:after="120"/>
        <w:rPr>
          <w:i/>
          <w:u w:val="single"/>
        </w:rPr>
      </w:pPr>
      <w:r>
        <w:rPr>
          <w:i/>
          <w:u w:val="single"/>
        </w:rPr>
        <w:t>Namenskonventionen für die Benennung</w:t>
      </w:r>
    </w:p>
    <w:p>
      <w:pPr>
        <w:spacing w:after="120"/>
        <w:rPr>
          <w:i/>
        </w:rPr>
      </w:pPr>
      <w:r>
        <w:rPr>
          <w:i/>
        </w:rPr>
        <w:t>Die Benennung von Rollen muss fachlich getrieben sein. Rollen werden für eine fachliche Operation bzw. den Akteur angelegt. Grundsätzlich werden die Rollen in CamelCase-Schreibweise geschrieben, sofern der Name der Rolle nicht zu lang wird. In diesem Fall sollte auf eine Abkürzung des Rollennamens zurückgegriffen werden und ein sprechendes Label für die Administration der Rollen vergeben werden.</w:t>
      </w:r>
    </w:p>
    <w:p>
      <w:pPr>
        <w:spacing w:after="120"/>
        <w:rPr>
          <w:i/>
          <w:lang w:eastAsia="en-US"/>
        </w:rPr>
      </w:pPr>
      <w:r>
        <w:rPr>
          <w:i/>
          <w:lang w:eastAsia="x-none"/>
        </w:rPr>
        <w:t xml:space="preserve">Das Schema zur Benennung einer fachlichen Rolle </w:t>
      </w:r>
      <w:r>
        <w:rPr>
          <w:i/>
        </w:rPr>
        <w:t>für GUI oder Service-Gateway</w:t>
      </w:r>
      <w:r>
        <w:rPr>
          <w:i/>
          <w:lang w:eastAsia="x-none"/>
        </w:rPr>
        <w:t xml:space="preserve"> ist: </w:t>
      </w:r>
    </w:p>
    <w:p>
      <w:pPr>
        <w:spacing w:after="120"/>
        <w:ind w:left="360"/>
        <w:jc w:val="center"/>
        <w:rPr>
          <w:b/>
          <w:i/>
        </w:rPr>
      </w:pPr>
      <w:r>
        <w:rPr>
          <w:b/>
          <w:i/>
        </w:rPr>
        <w:t xml:space="preserve">&lt;Fachlicher Systemname&gt;_&lt;Funktion&gt; </w:t>
      </w:r>
    </w:p>
    <w:p>
      <w:pPr>
        <w:spacing w:after="120"/>
        <w:rPr>
          <w:i/>
        </w:rPr>
      </w:pPr>
      <w:r>
        <w:rPr>
          <w:i/>
        </w:rPr>
        <w:t xml:space="preserve">Für &lt;Fachlicher Systemname&gt; wird der abgekürzte Namen des Systems bzw. der Anwendungsdomäne aus der Spezifikation ohne Zusätze wie GA, Register eingesetzt, z. B. „CD_Auskunft“. </w:t>
      </w:r>
    </w:p>
    <w:p>
      <w:pPr>
        <w:spacing w:after="120"/>
        <w:rPr>
          <w:i/>
          <w:lang w:eastAsia="x-none"/>
        </w:rPr>
      </w:pPr>
      <w:r>
        <w:rPr>
          <w:i/>
          <w:lang w:eastAsia="x-none"/>
        </w:rPr>
        <w:t xml:space="preserve">Das Schema zur Benennung einer fachlichen Rolle </w:t>
      </w:r>
      <w:r>
        <w:rPr>
          <w:i/>
        </w:rPr>
        <w:t xml:space="preserve">für ein internes System (Batch/Task) </w:t>
      </w:r>
      <w:r>
        <w:rPr>
          <w:i/>
          <w:lang w:eastAsia="x-none"/>
        </w:rPr>
        <w:t xml:space="preserve">ist: </w:t>
      </w:r>
    </w:p>
    <w:p>
      <w:pPr>
        <w:jc w:val="center"/>
        <w:rPr>
          <w:b/>
          <w:i/>
        </w:rPr>
      </w:pPr>
      <w:r>
        <w:rPr>
          <w:b/>
          <w:i/>
        </w:rPr>
        <w:t xml:space="preserve">&lt;Fachlicher Systemname&gt;_SYSTEM_&lt;Suffix&gt; </w:t>
      </w:r>
    </w:p>
    <w:p>
      <w:pPr>
        <w:jc w:val="center"/>
        <w:rPr>
          <w:i/>
        </w:rPr>
      </w:pPr>
      <w:r>
        <w:rPr>
          <w:i/>
        </w:rPr>
        <w:t>Auch hier wird &lt;Fachlicher Systemname&gt; mit dem abgekürzten Namen des Systems aus der Spezifikation ohne Zusätze ersetzt, z. B. „CD_SYSTEM“ oder komplexer „CD_SYSTEM_ABLAGE“.</w:t>
      </w:r>
    </w:p>
    <w:p>
      <w:pPr>
        <w:spacing w:after="120"/>
        <w:rPr>
          <w:i/>
          <w:lang w:eastAsia="x-none"/>
        </w:rPr>
      </w:pPr>
      <w:r>
        <w:rPr>
          <w:i/>
          <w:lang w:eastAsia="x-none"/>
        </w:rPr>
        <w:t xml:space="preserve">Das Schema zur Benennung einer technischen Rolle </w:t>
      </w:r>
      <w:r>
        <w:rPr>
          <w:i/>
        </w:rPr>
        <w:t xml:space="preserve">für interne Services </w:t>
      </w:r>
      <w:r>
        <w:rPr>
          <w:i/>
          <w:lang w:eastAsia="x-none"/>
        </w:rPr>
        <w:t xml:space="preserve">ist: </w:t>
      </w:r>
    </w:p>
    <w:p>
      <w:pPr>
        <w:jc w:val="center"/>
        <w:rPr>
          <w:b/>
          <w:i/>
        </w:rPr>
      </w:pPr>
      <w:r>
        <w:rPr>
          <w:b/>
          <w:i/>
        </w:rPr>
        <w:t xml:space="preserve">&lt;Technischer Systemname&gt;_&lt;Servicename&gt; </w:t>
      </w:r>
    </w:p>
    <w:p>
      <w:pPr>
        <w:spacing w:after="120"/>
        <w:rPr>
          <w:i/>
        </w:rPr>
      </w:pPr>
      <w:r>
        <w:rPr>
          <w:i/>
        </w:rPr>
        <w:t>&lt;Technischer Systemname&gt; wird mit dem abgekürzten Namen des Systems aus der Spezifikation ersetzt, inklusive der Bezeichnung um welche Art von System es sich handelt (Register, GA, usw.), z. B. „CD-GA_AntragEmpfangen“ oder „CD-REG_Nutzung“.</w:t>
      </w:r>
    </w:p>
    <w:p>
      <w:pPr>
        <w:spacing w:after="120"/>
        <w:rPr>
          <w:i/>
        </w:rPr>
      </w:pPr>
      <w:r>
        <w:rPr>
          <w:b/>
          <w:i/>
        </w:rPr>
        <w:t>Prinzipiell sollten so wenig Rollen wie möglich und so viele wie nötig vergeben werden</w:t>
      </w:r>
      <w:r>
        <w:rPr>
          <w:i/>
        </w:rPr>
        <w:t xml:space="preserve">. Die Liste  der zugeordneten Rechte je Rolle kann je nach Umfang auch als externes Dokument verknüpft werden, z. B.: [Externe_Dokumente]/Querschnitt/Berechtigungen.xls. </w:t>
      </w:r>
    </w:p>
    <w:p>
      <w:pPr>
        <w:spacing w:after="120"/>
        <w:rPr>
          <w:rFonts w:ascii="Calibri" w:eastAsia="Calibri" w:hAnsi="Calibri"/>
          <w:i/>
          <w:szCs w:val="22"/>
          <w:lang w:eastAsia="en-US"/>
        </w:rPr>
      </w:pPr>
      <w:r>
        <w:rPr>
          <w:i/>
        </w:rPr>
        <w:t>Eine beispielhafte Liste mit Rollen, deren Beschreibung und zugeordneten Rechten sieht wie folgt aus:</w:t>
      </w:r>
    </w:p>
    <w:tbl>
      <w:tblPr>
        <w:tblW w:w="0" w:type="auto"/>
        <w:jc w:val="center"/>
        <w:tblCellMar>
          <w:left w:w="85" w:type="dxa"/>
          <w:right w:w="0" w:type="dxa"/>
        </w:tblCellMar>
        <w:tblLook w:val="04A0" w:firstRow="1" w:lastRow="0" w:firstColumn="1" w:lastColumn="0" w:noHBand="0" w:noVBand="1"/>
      </w:tblPr>
      <w:tblGrid>
        <w:gridCol w:w="2056"/>
        <w:gridCol w:w="5447"/>
        <w:gridCol w:w="1889"/>
      </w:tblGrid>
      <w:tr>
        <w:trPr>
          <w:tblHeader/>
          <w:jc w:val="center"/>
        </w:trPr>
        <w:tc>
          <w:tcPr>
            <w:tcW w:w="205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pPr>
              <w:spacing w:after="60"/>
              <w:jc w:val="left"/>
              <w:rPr>
                <w:b/>
                <w:bCs/>
                <w:i/>
                <w:sz w:val="18"/>
                <w:szCs w:val="18"/>
              </w:rPr>
            </w:pPr>
            <w:r>
              <w:rPr>
                <w:b/>
                <w:bCs/>
                <w:i/>
                <w:sz w:val="18"/>
                <w:szCs w:val="18"/>
              </w:rPr>
              <w:t>Rolle</w:t>
            </w:r>
          </w:p>
        </w:tc>
        <w:tc>
          <w:tcPr>
            <w:tcW w:w="5447" w:type="dxa"/>
            <w:tcBorders>
              <w:top w:val="single" w:sz="8" w:space="0" w:color="auto"/>
              <w:left w:val="nil"/>
              <w:bottom w:val="single" w:sz="8" w:space="0" w:color="auto"/>
              <w:right w:val="single" w:sz="8" w:space="0" w:color="auto"/>
            </w:tcBorders>
            <w:shd w:val="clear" w:color="auto" w:fill="BFBFBF"/>
            <w:tcMar>
              <w:top w:w="0" w:type="dxa"/>
              <w:left w:w="108" w:type="dxa"/>
              <w:bottom w:w="0" w:type="dxa"/>
              <w:right w:w="108" w:type="dxa"/>
            </w:tcMar>
            <w:hideMark/>
          </w:tcPr>
          <w:p>
            <w:pPr>
              <w:spacing w:after="60"/>
              <w:jc w:val="left"/>
              <w:rPr>
                <w:b/>
                <w:bCs/>
                <w:i/>
                <w:sz w:val="18"/>
                <w:szCs w:val="18"/>
              </w:rPr>
            </w:pPr>
            <w:r>
              <w:rPr>
                <w:b/>
                <w:bCs/>
                <w:i/>
                <w:sz w:val="18"/>
                <w:szCs w:val="18"/>
              </w:rPr>
              <w:t>Beschreibung</w:t>
            </w:r>
          </w:p>
        </w:tc>
        <w:tc>
          <w:tcPr>
            <w:tcW w:w="1889" w:type="dxa"/>
            <w:tcBorders>
              <w:top w:val="single" w:sz="8" w:space="0" w:color="auto"/>
              <w:left w:val="nil"/>
              <w:bottom w:val="single" w:sz="8" w:space="0" w:color="auto"/>
              <w:right w:val="single" w:sz="8" w:space="0" w:color="auto"/>
            </w:tcBorders>
            <w:shd w:val="clear" w:color="auto" w:fill="BFBFBF"/>
          </w:tcPr>
          <w:p>
            <w:pPr>
              <w:spacing w:after="60"/>
              <w:jc w:val="left"/>
              <w:rPr>
                <w:b/>
                <w:bCs/>
                <w:i/>
                <w:sz w:val="18"/>
                <w:szCs w:val="18"/>
              </w:rPr>
            </w:pPr>
            <w:r>
              <w:rPr>
                <w:b/>
                <w:bCs/>
                <w:i/>
                <w:sz w:val="18"/>
                <w:szCs w:val="18"/>
              </w:rPr>
              <w:t>Rechte</w:t>
            </w:r>
          </w:p>
        </w:tc>
      </w:tr>
      <w:tr>
        <w:trPr>
          <w:trHeight w:val="622"/>
          <w:jc w:val="center"/>
        </w:trPr>
        <w:tc>
          <w:tcPr>
            <w:tcW w:w="2056" w:type="dxa"/>
            <w:tcBorders>
              <w:top w:val="nil"/>
              <w:left w:val="single" w:sz="8" w:space="0" w:color="auto"/>
              <w:bottom w:val="single" w:sz="4"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Rolle_Nutzung</w:t>
            </w:r>
          </w:p>
        </w:tc>
        <w:tc>
          <w:tcPr>
            <w:tcW w:w="5447" w:type="dxa"/>
            <w:tcBorders>
              <w:top w:val="nil"/>
              <w:left w:val="nil"/>
              <w:bottom w:val="single" w:sz="4"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Für den Zugriff auf das System ohne Administrationsfunktionalität.</w:t>
            </w:r>
          </w:p>
        </w:tc>
        <w:tc>
          <w:tcPr>
            <w:tcW w:w="1889" w:type="dxa"/>
            <w:tcBorders>
              <w:top w:val="nil"/>
              <w:left w:val="nil"/>
              <w:bottom w:val="single" w:sz="4" w:space="0" w:color="auto"/>
              <w:right w:val="single" w:sz="8" w:space="0" w:color="auto"/>
            </w:tcBorders>
          </w:tcPr>
          <w:p>
            <w:pPr>
              <w:spacing w:after="60"/>
              <w:jc w:val="left"/>
              <w:rPr>
                <w:i/>
                <w:sz w:val="18"/>
                <w:szCs w:val="18"/>
              </w:rPr>
            </w:pPr>
            <w:r>
              <w:rPr>
                <w:i/>
                <w:sz w:val="18"/>
                <w:szCs w:val="18"/>
              </w:rPr>
              <w:t>Recht_1, Recht_2</w:t>
            </w:r>
          </w:p>
        </w:tc>
      </w:tr>
      <w:tr>
        <w:trPr>
          <w:jc w:val="center"/>
        </w:trPr>
        <w:tc>
          <w:tcPr>
            <w:tcW w:w="2056" w:type="dxa"/>
            <w:tcBorders>
              <w:top w:val="single" w:sz="4" w:space="0" w:color="auto"/>
              <w:left w:val="single" w:sz="8" w:space="0" w:color="auto"/>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Rolle_Reporting</w:t>
            </w:r>
          </w:p>
        </w:tc>
        <w:tc>
          <w:tcPr>
            <w:tcW w:w="5447" w:type="dxa"/>
            <w:tcBorders>
              <w:top w:val="single" w:sz="4" w:space="0" w:color="auto"/>
              <w:left w:val="nil"/>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Für die Verwaltung von Reports.</w:t>
            </w:r>
          </w:p>
        </w:tc>
        <w:tc>
          <w:tcPr>
            <w:tcW w:w="1889" w:type="dxa"/>
            <w:tcBorders>
              <w:top w:val="single" w:sz="4" w:space="0" w:color="auto"/>
              <w:left w:val="nil"/>
              <w:bottom w:val="single" w:sz="8" w:space="0" w:color="auto"/>
              <w:right w:val="single" w:sz="8" w:space="0" w:color="auto"/>
            </w:tcBorders>
          </w:tcPr>
          <w:p>
            <w:pPr>
              <w:spacing w:after="60"/>
              <w:jc w:val="left"/>
              <w:rPr>
                <w:i/>
                <w:sz w:val="18"/>
                <w:szCs w:val="18"/>
              </w:rPr>
            </w:pPr>
            <w:r>
              <w:rPr>
                <w:i/>
                <w:sz w:val="18"/>
                <w:szCs w:val="18"/>
              </w:rPr>
              <w:t>Recht_3</w:t>
            </w:r>
          </w:p>
        </w:tc>
      </w:tr>
      <w:tr>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Rolle_System</w:t>
            </w:r>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Interne Rolle für den Systembenutzer.</w:t>
            </w:r>
          </w:p>
        </w:tc>
        <w:tc>
          <w:tcPr>
            <w:tcW w:w="1889" w:type="dxa"/>
            <w:tcBorders>
              <w:top w:val="nil"/>
              <w:left w:val="nil"/>
              <w:bottom w:val="single" w:sz="8" w:space="0" w:color="auto"/>
              <w:right w:val="single" w:sz="8" w:space="0" w:color="auto"/>
            </w:tcBorders>
          </w:tcPr>
          <w:p>
            <w:pPr>
              <w:spacing w:after="60"/>
              <w:jc w:val="left"/>
              <w:rPr>
                <w:i/>
                <w:sz w:val="18"/>
                <w:szCs w:val="18"/>
              </w:rPr>
            </w:pPr>
            <w:r>
              <w:rPr>
                <w:i/>
                <w:sz w:val="18"/>
                <w:szCs w:val="18"/>
              </w:rPr>
              <w:t>Recht_4</w:t>
            </w:r>
          </w:p>
        </w:tc>
      </w:tr>
      <w:tr>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Rolle_Batch</w:t>
            </w:r>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pPr>
              <w:spacing w:after="60"/>
              <w:jc w:val="left"/>
              <w:rPr>
                <w:i/>
                <w:sz w:val="18"/>
                <w:szCs w:val="18"/>
              </w:rPr>
            </w:pPr>
            <w:r>
              <w:rPr>
                <w:i/>
                <w:sz w:val="18"/>
                <w:szCs w:val="18"/>
              </w:rPr>
              <w:t>Interne Rolle für den Batchbenutzer.</w:t>
            </w:r>
          </w:p>
        </w:tc>
        <w:tc>
          <w:tcPr>
            <w:tcW w:w="1889" w:type="dxa"/>
            <w:tcBorders>
              <w:top w:val="nil"/>
              <w:left w:val="nil"/>
              <w:bottom w:val="single" w:sz="8" w:space="0" w:color="auto"/>
              <w:right w:val="single" w:sz="8" w:space="0" w:color="auto"/>
            </w:tcBorders>
          </w:tcPr>
          <w:p>
            <w:pPr>
              <w:spacing w:after="60"/>
              <w:jc w:val="left"/>
              <w:rPr>
                <w:i/>
                <w:sz w:val="18"/>
                <w:szCs w:val="18"/>
              </w:rPr>
            </w:pPr>
            <w:r>
              <w:rPr>
                <w:i/>
                <w:sz w:val="18"/>
                <w:szCs w:val="18"/>
              </w:rPr>
              <w:t>Recht_5</w:t>
            </w:r>
          </w:p>
        </w:tc>
      </w:tr>
    </w:tbl>
    <w:p>
      <w:pPr>
        <w:spacing w:after="120"/>
        <w:rPr>
          <w:i/>
        </w:rPr>
      </w:pPr>
      <w:r>
        <w:rPr>
          <w:i/>
        </w:rPr>
        <w:t>Eine beispielhafte Liste von Akteuren eines Systems und deren Rolle(n) sieht wie folgt aus: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37"/>
        <w:gridCol w:w="4665"/>
      </w:tblGrid>
      <w:tr>
        <w:tc>
          <w:tcPr>
            <w:tcW w:w="4737" w:type="dxa"/>
            <w:shd w:val="clear" w:color="auto" w:fill="BFBFBF"/>
          </w:tcPr>
          <w:p>
            <w:pPr>
              <w:rPr>
                <w:b/>
                <w:i/>
                <w:sz w:val="18"/>
              </w:rPr>
            </w:pPr>
            <w:r>
              <w:rPr>
                <w:b/>
                <w:i/>
                <w:sz w:val="18"/>
              </w:rPr>
              <w:t>Akteur</w:t>
            </w:r>
          </w:p>
        </w:tc>
        <w:tc>
          <w:tcPr>
            <w:tcW w:w="4665" w:type="dxa"/>
            <w:shd w:val="clear" w:color="auto" w:fill="BFBFBF"/>
          </w:tcPr>
          <w:p>
            <w:pPr>
              <w:rPr>
                <w:b/>
                <w:i/>
                <w:sz w:val="18"/>
              </w:rPr>
            </w:pPr>
            <w:r>
              <w:rPr>
                <w:b/>
                <w:i/>
                <w:sz w:val="18"/>
              </w:rPr>
              <w:t>Rolle</w:t>
            </w:r>
          </w:p>
        </w:tc>
      </w:tr>
      <w:tr>
        <w:trPr>
          <w:trHeight w:val="545"/>
        </w:trPr>
        <w:tc>
          <w:tcPr>
            <w:tcW w:w="4737" w:type="dxa"/>
            <w:shd w:val="clear" w:color="auto" w:fill="auto"/>
          </w:tcPr>
          <w:p>
            <w:pPr>
              <w:rPr>
                <w:i/>
                <w:sz w:val="18"/>
              </w:rPr>
            </w:pPr>
            <w:r>
              <w:rPr>
                <w:i/>
                <w:sz w:val="18"/>
              </w:rPr>
              <w:t>AKR_Nutzer</w:t>
            </w:r>
          </w:p>
        </w:tc>
        <w:tc>
          <w:tcPr>
            <w:tcW w:w="4665" w:type="dxa"/>
            <w:shd w:val="clear" w:color="auto" w:fill="auto"/>
          </w:tcPr>
          <w:p>
            <w:pPr>
              <w:rPr>
                <w:i/>
                <w:sz w:val="18"/>
              </w:rPr>
            </w:pPr>
            <w:r>
              <w:rPr>
                <w:i/>
                <w:sz w:val="18"/>
                <w:szCs w:val="18"/>
              </w:rPr>
              <w:t>Rolle_Nutzung</w:t>
            </w:r>
          </w:p>
        </w:tc>
      </w:tr>
      <w:tr>
        <w:trPr>
          <w:trHeight w:val="545"/>
        </w:trPr>
        <w:tc>
          <w:tcPr>
            <w:tcW w:w="4737" w:type="dxa"/>
            <w:shd w:val="clear" w:color="auto" w:fill="auto"/>
          </w:tcPr>
          <w:p>
            <w:pPr>
              <w:rPr>
                <w:i/>
                <w:sz w:val="18"/>
              </w:rPr>
            </w:pPr>
            <w:r>
              <w:rPr>
                <w:i/>
                <w:sz w:val="18"/>
              </w:rPr>
              <w:t xml:space="preserve">AKR_Reporter </w:t>
            </w:r>
          </w:p>
        </w:tc>
        <w:tc>
          <w:tcPr>
            <w:tcW w:w="4665" w:type="dxa"/>
            <w:shd w:val="clear" w:color="auto" w:fill="auto"/>
          </w:tcPr>
          <w:p>
            <w:pPr>
              <w:rPr>
                <w:i/>
                <w:sz w:val="18"/>
                <w:szCs w:val="18"/>
              </w:rPr>
            </w:pPr>
            <w:r>
              <w:rPr>
                <w:i/>
                <w:sz w:val="18"/>
                <w:szCs w:val="18"/>
              </w:rPr>
              <w:t>Rolle_Reporting</w:t>
            </w:r>
          </w:p>
        </w:tc>
      </w:tr>
      <w:tr>
        <w:trPr>
          <w:trHeight w:val="521"/>
        </w:trPr>
        <w:tc>
          <w:tcPr>
            <w:tcW w:w="4737" w:type="dxa"/>
            <w:shd w:val="clear" w:color="auto" w:fill="auto"/>
          </w:tcPr>
          <w:p>
            <w:pPr>
              <w:rPr>
                <w:i/>
                <w:sz w:val="18"/>
              </w:rPr>
            </w:pPr>
            <w:r>
              <w:rPr>
                <w:i/>
                <w:sz w:val="18"/>
              </w:rPr>
              <w:t>AKR_Interner_Nutzer</w:t>
            </w:r>
          </w:p>
        </w:tc>
        <w:tc>
          <w:tcPr>
            <w:tcW w:w="4665" w:type="dxa"/>
            <w:shd w:val="clear" w:color="auto" w:fill="auto"/>
          </w:tcPr>
          <w:p>
            <w:pPr>
              <w:rPr>
                <w:i/>
                <w:sz w:val="18"/>
              </w:rPr>
            </w:pPr>
            <w:r>
              <w:rPr>
                <w:i/>
                <w:sz w:val="18"/>
              </w:rPr>
              <w:t>Rolle_System, Rolle_Batch</w:t>
            </w:r>
          </w:p>
        </w:tc>
      </w:tr>
    </w:tbl>
    <w:p>
      <w:pPr>
        <w:rPr>
          <w:iCs/>
        </w:rPr>
      </w:pPr>
    </w:p>
    <w:p>
      <w:pPr>
        <w:pStyle w:val="berschrift2"/>
      </w:pPr>
      <w:bookmarkStart w:id="336" w:name="_Toc488819287"/>
      <w:r>
        <w:t>Weiterführende Dokumente</w:t>
      </w:r>
      <w:bookmarkEnd w:id="336"/>
    </w:p>
    <w:p>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pPr>
              <w:spacing w:after="60"/>
              <w:jc w:val="left"/>
              <w:rPr>
                <w:b/>
                <w:bCs/>
                <w:sz w:val="18"/>
                <w:szCs w:val="18"/>
              </w:rPr>
            </w:pPr>
            <w:r>
              <w:rPr>
                <w:b/>
                <w:bCs/>
                <w:sz w:val="18"/>
                <w:szCs w:val="18"/>
              </w:rPr>
              <w:t>Ablage</w:t>
            </w:r>
          </w:p>
        </w:tc>
      </w:tr>
      <w:tr>
        <w:tc>
          <w:tcPr>
            <w:tcW w:w="1728" w:type="dxa"/>
            <w:tcBorders>
              <w:top w:val="single" w:sz="4" w:space="0" w:color="auto"/>
              <w:left w:val="single" w:sz="4" w:space="0" w:color="auto"/>
              <w:bottom w:val="single" w:sz="4" w:space="0" w:color="auto"/>
              <w:right w:val="single" w:sz="4" w:space="0" w:color="auto"/>
            </w:tcBorders>
            <w:shd w:val="clear" w:color="auto" w:fill="FFFFFF"/>
          </w:tcPr>
          <w:p>
            <w:pPr>
              <w:spacing w:after="60"/>
              <w:jc w:val="left"/>
              <w:rPr>
                <w:sz w:val="18"/>
                <w:szCs w:val="18"/>
              </w:rPr>
            </w:pPr>
            <w:r>
              <w:rPr>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pPr>
              <w:spacing w:after="60"/>
              <w:jc w:val="left"/>
              <w:rPr>
                <w:sz w:val="18"/>
                <w:szCs w:val="18"/>
              </w:rPr>
            </w:pPr>
            <w:r>
              <w:rPr>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pPr>
              <w:tabs>
                <w:tab w:val="left" w:pos="3960"/>
              </w:tabs>
              <w:spacing w:after="60"/>
              <w:jc w:val="left"/>
              <w:rPr>
                <w:sz w:val="18"/>
                <w:szCs w:val="18"/>
              </w:rPr>
            </w:pPr>
            <w:r>
              <w:rPr>
                <w:sz w:val="18"/>
                <w:szCs w:val="18"/>
              </w:rPr>
              <w:t>Verweis auf den Ablageort des Dokuments, z.B. eine URL.</w:t>
            </w:r>
          </w:p>
        </w:tc>
      </w:tr>
    </w:tbl>
    <w:p>
      <w:pPr>
        <w:pStyle w:val="berschrift1"/>
      </w:pPr>
      <w:bookmarkStart w:id="337" w:name="_Ref317361861"/>
      <w:bookmarkStart w:id="338" w:name="_Toc488819288"/>
      <w:r>
        <w:t>Anleitung zur Nutzung des Enterprise Architect</w:t>
      </w:r>
      <w:bookmarkEnd w:id="337"/>
      <w:bookmarkEnd w:id="338"/>
    </w:p>
    <w:p>
      <w:r>
        <w:t>Dieses Kapitel ist nicht Teil der Vorlage für die Systemspezifikation und muss aus dem erstellten Spezifikationsdokument entfernt werden. Hier werden Details zur Nutzung des Enterprise Architect zur Erstellung von Spezifikationsdokumenten beschrieben.</w:t>
      </w:r>
    </w:p>
    <w:p>
      <w:pPr>
        <w:pStyle w:val="berschrift2"/>
      </w:pPr>
      <w:bookmarkStart w:id="339" w:name="_Toc488819289"/>
      <w:r>
        <w:t>Vorgehen zur Erstellung der Spezifikationsdokumente</w:t>
      </w:r>
      <w:bookmarkEnd w:id="339"/>
    </w:p>
    <w:p>
      <w:r>
        <w:t>Man erstellt die Dokumente Systemspezifikation und Geschäftsprozesse nach den hier beschriebenen Vorgaben in Microsoft Word (oder einer dazu kompatiblen Textverarbeitung). Diagramme aus dem Enterprise Architect kopiert man nach der Erstellung / Aktualisierung in MS Word. Die beschriebenen Aufzählungen der Elemente unter den Diagrammen dienen dazu, Querverweise auf die Spezifikationselemente hinzufügen zu können.</w:t>
      </w:r>
    </w:p>
    <w:p>
      <w:pPr>
        <w:pStyle w:val="berschrift2"/>
      </w:pPr>
      <w:bookmarkStart w:id="340" w:name="_Toc488819290"/>
      <w:r>
        <w:t>Nutzung des Enterprise Architect zur Erstellung von Systemspezifikationen</w:t>
      </w:r>
      <w:bookmarkEnd w:id="340"/>
    </w:p>
    <w:p>
      <w:r>
        <w:t>Die Software „Enterprise Architect“ (nachfolgend kurz „EA“) der Firma SparxSystems ist für die Erstellung der Systemspezifikation und der zugehörigen Geschäftsprozesse in der im Projekt abgestimmten Version zu verwenden (Diese Dokumentation wurde für EA 7.5 erstellt). Die Anleitungen in diesem Dokument sollen dafür sorgen, dass alle damit erstellten Modelle einer einheitlichen Methodik folgen. Dies verringert den Einarbeitungsaufwand für neue Projektmitarbeiter, verbessert die Wartbarkeit der erstellten Modelle und erleichtert die Übernahme von Spezifikationen in die Masterspezifikation.</w:t>
      </w:r>
    </w:p>
    <w:p>
      <w:pPr>
        <w:pStyle w:val="berschrift3"/>
      </w:pPr>
      <w:bookmarkStart w:id="341" w:name="_Toc488819291"/>
      <w:r>
        <w:t>UML-Profile einbinden</w:t>
      </w:r>
      <w:bookmarkEnd w:id="341"/>
    </w:p>
    <w:p>
      <w:r>
        <w:t>Um eine einheitliche Nutzung des EA zu vereinfachen, wurden vorgefertigte UML Profile erstellt, die die benötigten Elementtypen enthalten. Diese Profile werden auf Anfrage bereitgestellt.</w:t>
      </w:r>
    </w:p>
    <w:p>
      <w:r>
        <w:t>Im EA kann man zur Erstellung der Spezifikation mit einem neuen, leeren Modell beginnen (File &gt; New Project…).</w:t>
      </w:r>
    </w:p>
    <w:p>
      <w:r>
        <w:t>Nun fügt man die UML Profiles hinzu. Hierzu nutzt man den „Resource Browser“ (View &gt; Resources). Dort wählt man im Kontextmenü von „UML Profiles“ „Import Profile“ aus und importiert so nacheinander alle Dateien.</w:t>
      </w:r>
    </w:p>
    <w:p>
      <w:r>
        <w:t>Danach sollte das Resource Window etwa wie folgt aussehen:</w:t>
      </w:r>
    </w:p>
    <w:p>
      <w:pPr>
        <w:keepNext/>
        <w:jc w:val="center"/>
      </w:pPr>
      <w:r>
        <w:rPr>
          <w:noProof/>
        </w:rPr>
        <w:drawing>
          <wp:inline distT="0" distB="0" distL="0" distR="0">
            <wp:extent cx="2440940" cy="2536190"/>
            <wp:effectExtent l="0" t="0" r="0" b="0"/>
            <wp:docPr id="27"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440940" cy="25361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26</w:t>
        </w:r>
      </w:fldSimple>
      <w:r>
        <w:t>: Resource Browser mit hinzugefügten UML Profiles</w:t>
      </w:r>
    </w:p>
    <w:p>
      <w:r>
        <w:t>Nun kann man die einzelnen Elemente aus den UML-Profilen nutzen. Elemente wie Anwendungsfälle erzeugt man, indem man sie in ein Diagramm zieht und benennt. Verbinder erzeugt man, indem man sie im UML Profile auswählt und dann die Verbindung zwischen zwei Elementen zieht.</w:t>
      </w:r>
    </w:p>
    <w:p>
      <w:pPr>
        <w:pStyle w:val="berschrift3"/>
      </w:pPr>
      <w:bookmarkStart w:id="342" w:name="_Toc488819292"/>
      <w:r>
        <w:t>Struktur des Modells im Enterprise Architect</w:t>
      </w:r>
      <w:bookmarkEnd w:id="342"/>
    </w:p>
    <w:p>
      <w:r>
        <w:t>Generell orientiert sich die Struktur im EA am Aufbau des zu erstellenden Dokuments. Die folgende Struktur muss man beim Aufbau des EA-Modells der Geschäftsprozesse und der Systemspezifikation im EA einhalten.</w:t>
      </w:r>
    </w:p>
    <w:p>
      <w:pPr>
        <w:keepNext/>
        <w:jc w:val="center"/>
      </w:pPr>
      <w:r>
        <w:rPr>
          <w:noProof/>
        </w:rPr>
        <w:drawing>
          <wp:inline distT="0" distB="0" distL="0" distR="0">
            <wp:extent cx="4166235" cy="7362825"/>
            <wp:effectExtent l="0" t="0" r="5715" b="9525"/>
            <wp:docPr id="28" name="Bild 26" descr="verfahr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6" descr="verfahren"/>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166235" cy="736282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27</w:t>
        </w:r>
      </w:fldSimple>
      <w:r>
        <w:t>: EA-Struktur der Geschäftsprozessmodellierung</w:t>
      </w:r>
    </w:p>
    <w:p>
      <w:pPr>
        <w:keepNext/>
        <w:jc w:val="center"/>
      </w:pPr>
      <w:r>
        <w:rPr>
          <w:noProof/>
        </w:rPr>
        <w:drawing>
          <wp:inline distT="0" distB="0" distL="0" distR="0">
            <wp:extent cx="3943985" cy="5669280"/>
            <wp:effectExtent l="0" t="0" r="0" b="7620"/>
            <wp:docPr id="29" name="Bild 27" descr="a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7" descr="ank"/>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943985" cy="566928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28</w:t>
        </w:r>
      </w:fldSimple>
      <w:r>
        <w:t>: EA-Struktur der Spezifikation: Anwendungskomponenten</w:t>
      </w:r>
    </w:p>
    <w:p>
      <w:pPr>
        <w:keepNext/>
        <w:jc w:val="center"/>
      </w:pPr>
      <w:r>
        <w:rPr>
          <w:noProof/>
        </w:rPr>
        <w:drawing>
          <wp:inline distT="0" distB="0" distL="0" distR="0">
            <wp:extent cx="3387090" cy="4301490"/>
            <wp:effectExtent l="0" t="0" r="3810" b="3810"/>
            <wp:docPr id="3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387090" cy="430149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29</w:t>
        </w:r>
      </w:fldSimple>
      <w:r>
        <w:t>: EA-Struktur der Spezifikation: Datenmodell</w:t>
      </w:r>
    </w:p>
    <w:p>
      <w:pPr>
        <w:keepNext/>
        <w:jc w:val="center"/>
      </w:pPr>
      <w:r>
        <w:rPr>
          <w:noProof/>
        </w:rPr>
        <w:drawing>
          <wp:inline distT="0" distB="0" distL="0" distR="0">
            <wp:extent cx="3339465" cy="5231765"/>
            <wp:effectExtent l="0" t="0" r="0" b="6985"/>
            <wp:docPr id="31" name="Bild 29" descr="dialo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dialoge"/>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339465" cy="523176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30</w:t>
        </w:r>
      </w:fldSimple>
      <w:r>
        <w:t>: EA-Struktur der Spezifikation: Dialoge</w:t>
      </w:r>
    </w:p>
    <w:p>
      <w:pPr>
        <w:keepNext/>
        <w:jc w:val="center"/>
      </w:pPr>
      <w:r>
        <w:rPr>
          <w:noProof/>
        </w:rPr>
        <w:drawing>
          <wp:inline distT="0" distB="0" distL="0" distR="0">
            <wp:extent cx="3450590" cy="3093085"/>
            <wp:effectExtent l="0" t="0" r="0" b="0"/>
            <wp:docPr id="32" name="Bild 30" descr="druckausgab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0" descr="druckausgaben"/>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450590" cy="309308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31</w:t>
        </w:r>
      </w:fldSimple>
      <w:r>
        <w:t>: EA-Struktur der Spezifikation: Druckausgaben</w:t>
      </w:r>
    </w:p>
    <w:p>
      <w:pPr>
        <w:keepNext/>
        <w:jc w:val="center"/>
      </w:pPr>
      <w:r>
        <w:rPr>
          <w:noProof/>
        </w:rPr>
        <w:drawing>
          <wp:inline distT="0" distB="0" distL="0" distR="0">
            <wp:extent cx="3951605" cy="4913630"/>
            <wp:effectExtent l="0" t="0" r="0" b="1270"/>
            <wp:docPr id="33" name="Bild 31" descr="schnittstel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1" descr="schnittstellen"/>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951605" cy="491363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32</w:t>
        </w:r>
      </w:fldSimple>
      <w:r>
        <w:t>: EA-Struktur der Spezifikation: Schnittstellen</w:t>
      </w:r>
    </w:p>
    <w:p>
      <w:pPr>
        <w:keepNext/>
        <w:jc w:val="center"/>
      </w:pPr>
      <w:r>
        <w:rPr>
          <w:noProof/>
        </w:rPr>
        <w:drawing>
          <wp:inline distT="0" distB="0" distL="0" distR="0">
            <wp:extent cx="4079240" cy="3124835"/>
            <wp:effectExtent l="0" t="0" r="0" b="0"/>
            <wp:docPr id="34" name="Bild 32" descr="nf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2" descr="nfa"/>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079240" cy="312483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33</w:t>
        </w:r>
      </w:fldSimple>
      <w:r>
        <w:t>: EA-Struktur der Spezifikation: Nichtfunktionale Anforderungen</w:t>
      </w:r>
    </w:p>
    <w:p>
      <w:r>
        <w:t>Elemente, die in der Systemspezifikation benannt werden (z.B. Anwendungsfälle, Entitätstypen, usw.) dürfen nur einmal im EA-Modell enthalten sein. Wird dieselbe Entität in mehreren Diagrammen verwendet, erzeugt man sie initial durch Ziehen aus den UML-Profilen in das erste Diagramm. Danach holt man sie aus dem Project Browser, um sie in weiteren Diagrammen zu nutzen. Falls man diese Regel nicht einhält, besteht die Gefahr der Inkonsistenz bei Umbenennungen.</w:t>
      </w:r>
    </w:p>
    <w:p>
      <w:pPr>
        <w:pStyle w:val="berschrift3"/>
      </w:pPr>
      <w:bookmarkStart w:id="343" w:name="_Toc488819293"/>
      <w:r>
        <w:t>Tipps zur Arbeit mit dem Enterprise Architect</w:t>
      </w:r>
      <w:bookmarkEnd w:id="343"/>
    </w:p>
    <w:p>
      <w:pPr>
        <w:pStyle w:val="berschrift4"/>
      </w:pPr>
      <w:bookmarkStart w:id="344" w:name="_Toc488819294"/>
      <w:r>
        <w:t>Farben von Elementen anpassen</w:t>
      </w:r>
      <w:bookmarkEnd w:id="344"/>
    </w:p>
    <w:p>
      <w:r>
        <w:t>Meistens haben Elemente, die aus den UML-Profiles erzeugt werden, schon die richtige Farbe. Wenn diese verändert werden soll, dann muss man hierzu die Elemente im Diagramm auswählen im Kontextmenü der markierten Elemente „Appearance &gt; Default Appearance“ auswählen (oder F4 drücken). Damit kann man die Standarddarstellung der markierten Elemente für alle Diagramme setzen. Nun kann man RGB-Farbwerte eingeben.</w:t>
      </w:r>
    </w:p>
    <w:p>
      <w:pPr>
        <w:keepNext/>
        <w:jc w:val="center"/>
      </w:pPr>
      <w:r>
        <w:rPr>
          <w:noProof/>
        </w:rPr>
        <w:drawing>
          <wp:inline distT="0" distB="0" distL="0" distR="0">
            <wp:extent cx="3180715" cy="1463040"/>
            <wp:effectExtent l="0" t="0" r="635" b="3810"/>
            <wp:docPr id="35" name="Bild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180715" cy="146304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34</w:t>
        </w:r>
      </w:fldSimple>
      <w:r>
        <w:t>: Dialog "Default Appearance“</w:t>
      </w:r>
    </w:p>
    <w:p>
      <w:r>
        <w:t xml:space="preserve">Alternativ kann man seit EA Version 7 die Farbe des Elements für ein einzelnes Diagramm setzen, indem man den Pinsel neben dem markierten Element anklickt und das Farbwahl-Feld nutzt (siehe </w:t>
      </w:r>
      <w:r>
        <w:fldChar w:fldCharType="begin"/>
      </w:r>
      <w:r>
        <w:instrText xml:space="preserve"> REF _Ref317063783 \h </w:instrText>
      </w:r>
      <w:r>
        <w:fldChar w:fldCharType="separate"/>
      </w:r>
      <w:r>
        <w:t xml:space="preserve">Abbildung </w:t>
      </w:r>
      <w:r>
        <w:rPr>
          <w:noProof/>
        </w:rPr>
        <w:t>35</w:t>
      </w:r>
      <w:r>
        <w:fldChar w:fldCharType="end"/>
      </w:r>
      <w:r>
        <w:t>).</w:t>
      </w:r>
    </w:p>
    <w:p>
      <w:pPr>
        <w:keepNext/>
        <w:jc w:val="center"/>
      </w:pPr>
      <w:r>
        <w:rPr>
          <w:noProof/>
        </w:rPr>
        <mc:AlternateContent>
          <mc:Choice Requires="wps">
            <w:drawing>
              <wp:anchor distT="0" distB="0" distL="114300" distR="114300" simplePos="0" relativeHeight="251659264" behindDoc="0" locked="0" layoutInCell="1" allowOverlap="1">
                <wp:simplePos x="0" y="0"/>
                <wp:positionH relativeFrom="column">
                  <wp:posOffset>3281680</wp:posOffset>
                </wp:positionH>
                <wp:positionV relativeFrom="paragraph">
                  <wp:posOffset>298450</wp:posOffset>
                </wp:positionV>
                <wp:extent cx="218440" cy="234315"/>
                <wp:effectExtent l="8890" t="13335" r="10795" b="9525"/>
                <wp:wrapNone/>
                <wp:docPr id="43" name="Oval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8440" cy="23431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5" o:spid="_x0000_s1026" style="position:absolute;margin-left:258.4pt;margin-top:23.5pt;width:17.2pt;height:18.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" filled="f" strokecolor="red"/>
            </w:pict>
          </mc:Fallback>
        </mc:AlternateContent>
      </w:r>
      <w:r>
        <w:rPr>
          <w:noProof/>
        </w:rPr>
        <w:drawing>
          <wp:inline distT="0" distB="0" distL="0" distR="0">
            <wp:extent cx="2950210" cy="803275"/>
            <wp:effectExtent l="0" t="0" r="2540" b="0"/>
            <wp:docPr id="36" name="Bild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pPr>
        <w:pStyle w:val="Beschriftung"/>
        <w:outlineLvl w:val="0"/>
      </w:pPr>
      <w:bookmarkStart w:id="345" w:name="_Ref317063783"/>
      <w:r>
        <w:t xml:space="preserve">Abbildung </w:t>
      </w:r>
      <w:fldSimple w:instr=" SEQ Abbildung \* ARABIC ">
        <w:r>
          <w:rPr>
            <w:noProof/>
          </w:rPr>
          <w:t>35</w:t>
        </w:r>
      </w:fldSimple>
      <w:bookmarkEnd w:id="345"/>
      <w:r>
        <w:t>: Farbwahl-Feld</w:t>
      </w:r>
    </w:p>
    <w:p>
      <w:r>
        <w:t>Die genutzten Farbwerte in RGB werden in folgendem Diagramm gezeigt.</w:t>
      </w:r>
    </w:p>
    <w:p>
      <w:pPr>
        <w:keepNext/>
      </w:pPr>
      <w:r>
        <w:rPr>
          <w:noProof/>
        </w:rPr>
        <w:drawing>
          <wp:inline distT="0" distB="0" distL="0" distR="0">
            <wp:extent cx="5979160" cy="4262120"/>
            <wp:effectExtent l="0" t="0" r="0" b="0"/>
            <wp:docPr id="37" name="Bild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5979160" cy="4262120"/>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36</w:t>
        </w:r>
      </w:fldSimple>
      <w:r>
        <w:t>: Farbwerte</w:t>
      </w:r>
    </w:p>
    <w:p/>
    <w:p>
      <w:pPr>
        <w:pStyle w:val="berschrift4"/>
      </w:pPr>
      <w:bookmarkStart w:id="346" w:name="_Toc488819295"/>
      <w:r>
        <w:t>Schriftart von Elementen anpassen</w:t>
      </w:r>
      <w:bookmarkEnd w:id="346"/>
    </w:p>
    <w:p>
      <w:r>
        <w:t xml:space="preserve">Seit EA Version 7 kann man die Schriftart eines Elements für ein einzelnes Diagramm setzen, indem man den Pinsel neben dem markierten Element anklickt und das Schriftart-Feld nutzt (siehe </w:t>
      </w:r>
      <w:r>
        <w:fldChar w:fldCharType="begin"/>
      </w:r>
      <w:r>
        <w:instrText xml:space="preserve"> REF _Ref415154268 \h </w:instrText>
      </w:r>
      <w:r>
        <w:fldChar w:fldCharType="separate"/>
      </w:r>
      <w:r>
        <w:t xml:space="preserve">Abbildung </w:t>
      </w:r>
      <w:r>
        <w:rPr>
          <w:noProof/>
        </w:rPr>
        <w:t>37</w:t>
      </w:r>
      <w:r>
        <w:fldChar w:fldCharType="end"/>
      </w:r>
      <w:r>
        <w:t>).</w:t>
      </w:r>
    </w:p>
    <w:p>
      <w:pPr>
        <w:keepNext/>
        <w:jc w:val="center"/>
      </w:pPr>
      <w:r>
        <w:rPr>
          <w:noProof/>
        </w:rPr>
        <mc:AlternateContent>
          <mc:Choice Requires="wps">
            <w:drawing>
              <wp:anchor distT="0" distB="0" distL="114300" distR="114300" simplePos="0" relativeHeight="251658240" behindDoc="0" locked="0" layoutInCell="1" allowOverlap="1">
                <wp:simplePos x="0" y="0"/>
                <wp:positionH relativeFrom="column">
                  <wp:posOffset>2933700</wp:posOffset>
                </wp:positionH>
                <wp:positionV relativeFrom="paragraph">
                  <wp:posOffset>332105</wp:posOffset>
                </wp:positionV>
                <wp:extent cx="226695" cy="210820"/>
                <wp:effectExtent l="13335" t="13335" r="7620" b="13970"/>
                <wp:wrapNone/>
                <wp:docPr id="42" name="Oval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6695" cy="21082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4" o:spid="_x0000_s1026" style="position:absolute;margin-left:231pt;margin-top:26.15pt;width:17.85pt;height:16.6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" filled="f" strokecolor="red"/>
            </w:pict>
          </mc:Fallback>
        </mc:AlternateContent>
      </w:r>
      <w:r>
        <w:rPr>
          <w:noProof/>
        </w:rPr>
        <w:drawing>
          <wp:inline distT="0" distB="0" distL="0" distR="0">
            <wp:extent cx="2950210" cy="803275"/>
            <wp:effectExtent l="0" t="0" r="2540" b="0"/>
            <wp:docPr id="38"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6"/>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pPr>
        <w:pStyle w:val="Beschriftung"/>
        <w:outlineLvl w:val="0"/>
      </w:pPr>
      <w:bookmarkStart w:id="347" w:name="_Ref415154268"/>
      <w:r>
        <w:t xml:space="preserve">Abbildung </w:t>
      </w:r>
      <w:fldSimple w:instr=" SEQ Abbildung \* ARABIC ">
        <w:r>
          <w:rPr>
            <w:noProof/>
          </w:rPr>
          <w:t>37</w:t>
        </w:r>
      </w:fldSimple>
      <w:bookmarkEnd w:id="347"/>
      <w:r>
        <w:t>: Farbwahl-Feld</w:t>
      </w:r>
    </w:p>
    <w:p/>
    <w:p>
      <w:pPr>
        <w:pStyle w:val="berschrift4"/>
      </w:pPr>
      <w:bookmarkStart w:id="348" w:name="_Toc488819296"/>
      <w:r>
        <w:t>Markierung von Elementen aus anderen Ordnern im EA abschalten</w:t>
      </w:r>
      <w:bookmarkEnd w:id="348"/>
    </w:p>
    <w:p>
      <w:r>
        <w:t>Standardmäßig zeichnet der EA Diagrammelemente aus anderen Ordnern als dem des Diagramms speziell aus.</w:t>
      </w:r>
    </w:p>
    <w:p>
      <w:pPr>
        <w:keepNext/>
        <w:jc w:val="center"/>
      </w:pPr>
      <w:r>
        <w:rPr>
          <w:noProof/>
        </w:rPr>
        <mc:AlternateContent>
          <mc:Choice Requires="wps">
            <w:drawing>
              <wp:anchor distT="0" distB="0" distL="114300" distR="114300" simplePos="0" relativeHeight="251657216" behindDoc="0" locked="0" layoutInCell="1" allowOverlap="1">
                <wp:simplePos x="0" y="0"/>
                <wp:positionH relativeFrom="column">
                  <wp:posOffset>3168015</wp:posOffset>
                </wp:positionH>
                <wp:positionV relativeFrom="paragraph">
                  <wp:posOffset>371475</wp:posOffset>
                </wp:positionV>
                <wp:extent cx="701675" cy="144145"/>
                <wp:effectExtent l="9525" t="11430" r="12700" b="6350"/>
                <wp:wrapNone/>
                <wp:docPr id="41" name="Oval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167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3" o:spid="_x0000_s1026" style="position:absolute;margin-left:249.45pt;margin-top:29.25pt;width:55.25pt;height:11.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" filled="f" strokecolor="red"/>
            </w:pict>
          </mc:Fallback>
        </mc:AlternateContent>
      </w:r>
      <w:r>
        <w:rPr>
          <w:noProof/>
        </w:rPr>
        <mc:AlternateContent>
          <mc:Choice Requires="wps">
            <w:drawing>
              <wp:anchor distT="0" distB="0" distL="114300" distR="114300" simplePos="0" relativeHeight="251656192" behindDoc="0" locked="0" layoutInCell="1" allowOverlap="1">
                <wp:simplePos x="0" y="0"/>
                <wp:positionH relativeFrom="column">
                  <wp:posOffset>1812290</wp:posOffset>
                </wp:positionH>
                <wp:positionV relativeFrom="paragraph">
                  <wp:posOffset>485775</wp:posOffset>
                </wp:positionV>
                <wp:extent cx="794385" cy="144145"/>
                <wp:effectExtent l="6350" t="11430" r="8890" b="6350"/>
                <wp:wrapNone/>
                <wp:docPr id="40"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438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2" o:spid="_x0000_s1026" style="position:absolute;margin-left:142.7pt;margin-top:38.25pt;width:62.55pt;height:11.3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" filled="f" strokecolor="red"/>
            </w:pict>
          </mc:Fallback>
        </mc:AlternateContent>
      </w:r>
      <w:r>
        <w:rPr>
          <w:noProof/>
        </w:rPr>
        <w:drawing>
          <wp:inline distT="0" distB="0" distL="0" distR="0">
            <wp:extent cx="2934335" cy="898525"/>
            <wp:effectExtent l="0" t="0" r="0" b="0"/>
            <wp:docPr id="39" name="Bild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7"/>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934335" cy="898525"/>
                    </a:xfrm>
                    <a:prstGeom prst="rect">
                      <a:avLst/>
                    </a:prstGeom>
                    <a:noFill/>
                    <a:ln>
                      <a:noFill/>
                    </a:ln>
                  </pic:spPr>
                </pic:pic>
              </a:graphicData>
            </a:graphic>
          </wp:inline>
        </w:drawing>
      </w:r>
    </w:p>
    <w:p>
      <w:pPr>
        <w:pStyle w:val="Beschriftung"/>
        <w:outlineLvl w:val="0"/>
      </w:pPr>
      <w:r>
        <w:t xml:space="preserve">Abbildung </w:t>
      </w:r>
      <w:fldSimple w:instr=" SEQ Abbildung \* ARABIC ">
        <w:r>
          <w:rPr>
            <w:noProof/>
          </w:rPr>
          <w:t>38</w:t>
        </w:r>
      </w:fldSimple>
      <w:r>
        <w:t>: Auszeichnung von Elementen aus anderen Ordnern im Diagramm</w:t>
      </w:r>
    </w:p>
    <w:p>
      <w:r>
        <w:t xml:space="preserve">Man muss dies je Diagramm wie folgt abschalten: Rechte Maustaste auf Diagramm-Hintergrund, „Properties… &gt; </w:t>
      </w:r>
      <w:r>
        <w:rPr>
          <w:lang w:val="en-US"/>
        </w:rPr>
        <w:t>Diagram</w:t>
      </w:r>
      <w:r>
        <w:t xml:space="preserve"> &gt; Show Namespace“</w:t>
      </w:r>
    </w:p>
    <w:p>
      <w:pPr>
        <w:pStyle w:val="berschrift4"/>
      </w:pPr>
      <w:bookmarkStart w:id="349" w:name="_Toc488819297"/>
      <w:r>
        <w:t>Inhalte einzelner Elemente und aller Elemente im Diagramm ausblenden</w:t>
      </w:r>
      <w:bookmarkEnd w:id="349"/>
    </w:p>
    <w:p>
      <w:r>
        <w:t>Um die Inhalte eines Elements (z.B. Elemente in einem Ordner, oder Attribute in einer Entität) auszublenden, wählt man in dessen Kontextmenü „Feature Visibility…“ und entfernt die Häkchen bei „Attribute Visibility“ sowie „Operation Visibility“.</w:t>
      </w:r>
    </w:p>
    <w:p>
      <w:r>
        <w:t>Um die Inhalte aller Elemente in einem Diagramm auszublenden, muss man in dessen Kontextmenü „Properties…“ auswählen und unter „Elements“ Die Häkchen „Attributes“, „Operations“ und „Package Contents“ entfernen.</w:t>
      </w:r>
    </w:p>
    <w:p>
      <w:pPr>
        <w:pStyle w:val="berschrift4"/>
      </w:pPr>
      <w:bookmarkStart w:id="350" w:name="_Toc488819298"/>
      <w:r>
        <w:t>Rahmen um Diagramme beim Kopieren unterdrücken</w:t>
      </w:r>
      <w:bookmarkEnd w:id="350"/>
    </w:p>
    <w:p>
      <w:r>
        <w:t>Im Dialog “Tools &gt; Options &gt; Diagram“ kann man den Rahmen der Diagramme beim Druck (Checkbox „Print with Border“) oder Export über den Zwischenspeicher (Checkbox „On Clipboard Images“) unterdrücken.</w:t>
      </w:r>
    </w:p>
    <w:p>
      <w:pPr>
        <w:pStyle w:val="berschrift4"/>
      </w:pPr>
      <w:bookmarkStart w:id="351" w:name="_Toc488819299"/>
      <w:r>
        <w:t>Verbinder im aktuellen Diagramm, in allen anderen Diagrammen und in ausgewählten Diagrammen ausblenden</w:t>
      </w:r>
      <w:bookmarkEnd w:id="351"/>
    </w:p>
    <w:p>
      <w:r>
        <w:t>Die Verbinder zwischen verschiedenen Elementen kann man über ihr Kontextmenü im Diagramm mit „Visibility &gt; Hide Connector“ ausblenden. Über „Visibility &gt; Hide Connector in other Diagrams“ kann man die Diagramme (außer dem aktuellen) auswählen, in denen der Verbinder angezeigt werden soll. Um den Verbinder im aktuellen Diagramm wieder anzuzeigen, geht man auf die Properties eines der beiden verbundenen Elemente im Diagramm, sucht ihn unter „Links“ heraus und wählt per Kontextmenü „Show Property“.</w:t>
      </w:r>
    </w:p>
    <w:p>
      <w:pPr>
        <w:pStyle w:val="berschrift4"/>
      </w:pPr>
      <w:bookmarkStart w:id="352" w:name="_Toc488819300"/>
      <w:r>
        <w:t>Mehrere gleichartige Verbinder nacheinander zeichnen</w:t>
      </w:r>
      <w:bookmarkEnd w:id="352"/>
    </w:p>
    <w:p>
      <w:r>
        <w:t>Wenn man einen Verbinder mit bestimmtem Stereotyp aus dem UML-Profil gezeichnet hat, kann man mit [F3] weitere Verbinder derselben Art zeichnen.</w:t>
      </w:r>
    </w:p>
    <w:p>
      <w:pPr>
        <w:pStyle w:val="berschrift3"/>
      </w:pPr>
      <w:bookmarkStart w:id="353" w:name="_Toc488819301"/>
      <w:r>
        <w:t>Import und Export in EA-Modellen</w:t>
      </w:r>
      <w:bookmarkEnd w:id="353"/>
    </w:p>
    <w:p>
      <w:r>
        <w:t>Für die Übernahme von Teilen eines Modells in ein anderes geht man wie folgt vor:</w:t>
      </w:r>
    </w:p>
    <w:p>
      <w:pPr>
        <w:numPr>
          <w:ilvl w:val="0"/>
          <w:numId w:val="26"/>
        </w:numPr>
      </w:pPr>
      <w:r>
        <w:t>Export aus dem ersten Modell: Man wählt im Kontextmenü des zu exportierenden Ordners „Import/Export &gt; Export Package To XMI File…“ aus und erzeugt so eine .XMI-Datei.</w:t>
      </w:r>
    </w:p>
    <w:p>
      <w:pPr>
        <w:numPr>
          <w:ilvl w:val="0"/>
          <w:numId w:val="26"/>
        </w:numPr>
      </w:pPr>
      <w:r>
        <w:t>Import in das zweite Modell: Man wählt im Kontextmenü des Ordners, in den importiert werden soll Import/Export &gt; Import Package From XMI File…“ aus. Hier kann man sich entscheiden:</w:t>
      </w:r>
    </w:p>
    <w:p>
      <w:pPr>
        <w:numPr>
          <w:ilvl w:val="1"/>
          <w:numId w:val="26"/>
        </w:numPr>
      </w:pPr>
      <w:r>
        <w:t>Setzt man das Häkchen bei „Strip GUIDs“, dann werden die eindeutigen IDs der Elemente verworfen und neu vergeben. Falls die Elemente in einer früheren Version bereits im Modell sind, dann werden Kopien der Elemente danebengelegt.</w:t>
      </w:r>
    </w:p>
    <w:p>
      <w:pPr>
        <w:numPr>
          <w:ilvl w:val="1"/>
          <w:numId w:val="26"/>
        </w:numPr>
      </w:pPr>
      <w:r>
        <w:t>Entfernt man das Häkchen bei „Strip GUIDs“, dann werden die eindeutigen IDs der Elemente beibehalten. Falls Elemente mit denselben GUIDs bereits im Modell sind, dann werden sie durch die neuen Versionen überschrieben.</w:t>
      </w:r>
    </w:p>
    <w:p>
      <w:r>
        <w:t>Beide Vorgehen können in unterschiedlichen Situationen sinnvoll sein: Wenn man z.B. eine Altsystem-Spezifikation „kopiert“ um das Neusystem zu beschreiben, dann will man beide Spezifikationen nicht vermischen. Hier sollte man „Strip GUIDs“ anschalten.</w:t>
      </w:r>
    </w:p>
    <w:p>
      <w:r>
        <w:t>Will man ein in einem Teilprojekt verändertes System hingegen zurück in ein zentrales Modell bringen, dann kann man hierfür „Strip GUIDs“ ausschalten. Dadurch werden die alten Versionen der Elemente durch die neuen ersetzt. Dieses Vorgehen muss man sich aber vor Beginn der Änderungsspezifikation überlegen und bei den Änderungen beachten, wie der Rückimport später funktioniert. Im Normalfall ist eine manuelle Übernahme der Änderungen hier der weniger fehleranfällige Weg.</w:t>
      </w:r>
    </w:p>
    <w:sectPr>
      <w:headerReference w:type="even" r:id="rId62"/>
      <w:footerReference w:type="default" r:id="rId63"/>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SAVEDATE \@ "d. MMMM yyyy"</w:instrText>
    </w:r>
    <w:r>
      <w:fldChar w:fldCharType="separate"/>
    </w:r>
    <w:r>
      <w:rPr>
        <w:noProof/>
      </w:rPr>
      <w:t>16. März 2022</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Adressblock"/>
      <w:framePr w:w="2415" w:hSpace="0" w:wrap="around" w:x="1" w:y="12101"/>
    </w:pPr>
    <w:bookmarkStart w:id="3" w:name="Unternehmung2"/>
  </w:p>
  <w:p>
    <w:pPr>
      <w:pStyle w:val="AufsatzAdressblock"/>
      <w:framePr w:w="2415" w:hSpace="0" w:wrap="around" w:x="1" w:y="12101"/>
      <w:rPr>
        <w:lang w:val="it-IT"/>
      </w:rPr>
    </w:pPr>
    <w:r>
      <w:rPr>
        <w:lang w:val="it-IT"/>
      </w:rPr>
      <w:t>Name der Organisation</w:t>
    </w:r>
    <w:r>
      <w:rPr>
        <w:lang w:val="it-IT"/>
      </w:rPr>
      <w:br/>
    </w:r>
    <w:bookmarkEnd w:id="3"/>
    <w:r>
      <w:rPr>
        <w:lang w:val="it-IT"/>
      </w:rPr>
      <w:t>Anschrift</w:t>
    </w:r>
  </w:p>
  <w:p>
    <w:pPr>
      <w:pStyle w:val="AufsatzAdressblock"/>
      <w:framePr w:w="2415" w:hSpace="0" w:wrap="around" w:x="1" w:y="12101"/>
    </w:pPr>
    <w:r>
      <w:t>Telefon</w:t>
    </w:r>
  </w:p>
  <w:p>
    <w:pPr>
      <w:pStyle w:val="AufsatzAdressblock"/>
      <w:framePr w:w="2415" w:hSpace="0" w:wrap="around" w:x="1" w:y="12101"/>
    </w:pPr>
    <w:r>
      <w:t>Fax</w:t>
    </w:r>
  </w:p>
  <w:p>
    <w:pPr>
      <w:pStyle w:val="AufsatzAdressblock"/>
      <w:framePr w:w="2415" w:hSpace="0" w:wrap="around" w:x="1" w:y="12101"/>
    </w:pPr>
  </w:p>
  <w:p>
    <w:pPr>
      <w:pStyle w:val="AufsatzAdressblockgrau"/>
      <w:framePr w:w="2415" w:hSpace="0" w:wrap="around" w:x="1" w:y="12101"/>
      <w:rPr>
        <w:color w:val="auto"/>
      </w:rPr>
    </w:pPr>
    <w:r>
      <w:rPr>
        <w:color w:val="auto"/>
      </w:rPr>
      <w:t>Internet-Adresse</w:t>
    </w:r>
  </w:p>
  <w:p>
    <w:pPr>
      <w:pStyle w:val="AufsatzKopfzeile"/>
      <w:jc w:val="center"/>
      <w:rPr>
        <w:sz w:val="16"/>
        <w:szCs w:val="16"/>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TITLE  \* MERGEFORMAT ">
      <w:r>
        <w:t>IsyFact Vorlage Systemspezifikation</w:t>
      </w:r>
    </w:fldSimple>
    <w:r>
      <w:t xml:space="preserve"> : </w:t>
    </w:r>
    <w:fldSimple w:instr=" SUBJECT  \* MERGEFORMAT ">
      <w:r>
        <w:t>BVA AZR/Visa</w:t>
      </w:r>
    </w:fldSimple>
    <w:r>
      <w:t xml:space="preserve"> </w:t>
    </w:r>
    <w:r>
      <w:fldChar w:fldCharType="begin"/>
    </w:r>
    <w:r>
      <w:instrText xml:space="preserve"> COMMENTS  \* MERGEFORMAT </w:instrText>
    </w:r>
    <w:r>
      <w:fldChar w:fldCharType="separate"/>
    </w:r>
    <w:r>
      <w:t>Version der Vorlage "Aufsatz": 5.0</w:t>
    </w:r>
  </w:p>
  <w:p>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Pr>
        <w:noProof/>
      </w:rPr>
      <w:t>16. März 2022</w:t>
    </w:r>
    <w:r>
      <w:fldChar w:fldCharType="end"/>
    </w:r>
    <w:r>
      <w:t xml:space="preserve"> - Gedruckt: </w:t>
    </w:r>
    <w:r>
      <w:fldChar w:fldCharType="begin"/>
    </w:r>
    <w:r>
      <w:instrText>PRINTDATE \@ "dd.MM.yy HH:mm"</w:instrText>
    </w:r>
    <w:r>
      <w:fldChar w:fldCharType="separate"/>
    </w:r>
    <w:r>
      <w:rPr>
        <w:noProof/>
      </w:rPr>
      <w:t>12.06.12 14:28</w:t>
    </w:r>
    <w:r>
      <w:fldChar w:fldCharType="end"/>
    </w:r>
    <w:r>
      <w:br/>
      <w:t xml:space="preserve">Autor: </w:t>
    </w:r>
    <w:r>
      <w:fldChar w:fldCharType="begin"/>
    </w:r>
    <w:r>
      <w:instrText xml:space="preserve">AUTHOR </w:instrText>
    </w:r>
    <w:r>
      <w:fldChar w:fldCharType="separate"/>
    </w:r>
    <w:r>
      <w:rPr>
        <w:noProof/>
      </w:rPr>
      <w:t>Leonhard, Ralf (IT 1)</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w="1549" w:hSpace="142" w:wrap="around" w:vAnchor="text" w:hAnchor="text" w:y="39"/>
    </w:pPr>
    <w:r>
      <w:t xml:space="preserve">Version: </w:t>
    </w:r>
    <w:r>
      <w:fldChar w:fldCharType="begin"/>
    </w:r>
    <w:r>
      <w:instrText xml:space="preserve"> REF Version \h </w:instrText>
    </w:r>
    <w:r>
      <w:fldChar w:fldCharType="separate"/>
    </w:r>
    <w: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tabs>
        <w:tab w:val="left" w:pos="709"/>
        <w:tab w:val="left" w:pos="2835"/>
        <w:tab w:val="left" w:pos="3544"/>
      </w:tabs>
    </w:pPr>
    <w:r>
      <w:t>Stand:</w:t>
    </w:r>
    <w:r>
      <w:tab/>
    </w:r>
    <w:r>
      <w:fldChar w:fldCharType="begin"/>
    </w:r>
    <w:r>
      <w:instrText>SAVEDATE \@ "d. MMMM yyyy"</w:instrText>
    </w:r>
    <w:r>
      <w:fldChar w:fldCharType="separate"/>
    </w:r>
    <w:r>
      <w:rPr>
        <w:noProof/>
      </w:rPr>
      <w:t>16. März 2022</w:t>
    </w:r>
    <w:r>
      <w:fldChar w:fldCharType="end"/>
    </w:r>
    <w:r>
      <w:tab/>
      <w:t>Status:</w:t>
    </w:r>
    <w:r>
      <w:tab/>
    </w:r>
    <w:r>
      <w:fldChar w:fldCharType="begin"/>
    </w:r>
    <w:r>
      <w:instrText xml:space="preserve"> COMMENTS  \* MERGEFORMAT </w:instrText>
    </w:r>
    <w:r>
      <w:fldChar w:fldCharType="separate"/>
    </w:r>
    <w:r>
      <w:t>Version der Vorlage "Aufsatz": 5.0</w:t>
    </w:r>
  </w:p>
  <w:p>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14:28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(IT 1)</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hSpace="142" w:wrap="around" w:vAnchor="text" w:hAnchor="text" w:y="29"/>
    </w:pPr>
    <w:r>
      <w:t xml:space="preserve">Version: </w:t>
    </w:r>
    <w:r>
      <w:fldChar w:fldCharType="begin"/>
    </w:r>
    <w:r>
      <w:instrText xml:space="preserve"> REF Version \h </w:instrText>
    </w:r>
    <w:r>
      <w:fldChar w:fldCharType="separate"/>
    </w:r>
    <w: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9</w:t>
    </w:r>
    <w:r>
      <w:fldChar w:fldCharType="end"/>
    </w:r>
  </w:p>
  <w:p>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 xml:space="preserve"> REF Datum </w:instrText>
    </w:r>
    <w:r>
      <w:fldChar w:fldCharType="separate"/>
    </w:r>
    <w:r>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Fuzeile"/>
      <w:framePr w:wrap="around"/>
    </w:pPr>
    <w:r>
      <w:t xml:space="preserve">Version: </w:t>
    </w:r>
    <w:r>
      <w:fldChar w:fldCharType="begin"/>
    </w:r>
    <w:r>
      <w:instrText xml:space="preserve"> REF Version \h </w:instrText>
    </w:r>
    <w:r>
      <w:fldChar w:fldCharType="separate"/>
    </w:r>
    <w:r>
      <w:t>&lt;Version&gt;</w:t>
    </w:r>
    <w:r>
      <w:fldChar w:fldCharType="end"/>
    </w:r>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82</w:t>
    </w:r>
    <w:r>
      <w:fldChar w:fldCharType="end"/>
    </w:r>
  </w:p>
  <w:p>
    <w:pPr>
      <w:pStyle w:val="Fuzeile"/>
      <w:tabs>
        <w:tab w:val="clear" w:pos="8789"/>
        <w:tab w:val="left" w:pos="1296"/>
        <w:tab w:val="center" w:pos="4706"/>
      </w:tabs>
      <w:jc w:val="left"/>
    </w:pPr>
    <w:r>
      <w:tab/>
    </w:r>
    <w:r>
      <w:tab/>
      <w:t xml:space="preserve">Datei: </w:t>
    </w:r>
    <w:fldSimple w:instr=" FILENAME  \* MERGEFORMAT ">
      <w:r>
        <w:rPr>
          <w:noProof/>
        </w:rPr>
        <w:t>Dokument1</w:t>
      </w:r>
    </w:fldSimple>
    <w:bookmarkStart w:id="354" w:name="Inh"/>
    <w:bookmarkEnd w:id="354"/>
  </w:p>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 w:id="1">
    <w:p>
      <w:pPr>
        <w:pStyle w:val="Funotentext"/>
      </w:pPr>
      <w:r>
        <w:rPr>
          <w:rStyle w:val="Funotenzeichen"/>
        </w:rPr>
        <w:footnoteRef/>
      </w:r>
      <w:r>
        <w:t xml:space="preserve"> Siehe 40_Methodik\10_Systemspezifikation\IsyFact-Vorlage-Anforderungsliste.xlsx</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fldSimple w:instr=" TITLE  \* MERGEFORMAT ">
      <w:r>
        <w:t>IsyFact Vorlage Systemspezifikation</w:t>
      </w:r>
    </w:fldSimple>
    <w:r>
      <w:br/>
    </w:r>
    <w:fldSimple w:instr=" SUBJECT  \* MERGEFORMAT ">
      <w:r>
        <w:t>BVA AZR/Visa</w:t>
      </w:r>
    </w:fldSimple>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pPr>
            <w:pStyle w:val="DeckblattTitel"/>
            <w:spacing w:before="120"/>
            <w:jc w:val="center"/>
            <w:rPr>
              <w:sz w:val="18"/>
              <w:szCs w:val="18"/>
            </w:rPr>
          </w:pPr>
          <w:r>
            <w:rPr>
              <w:sz w:val="18"/>
              <w:szCs w:val="18"/>
            </w:rPr>
            <w:t>IsyFact</w:t>
          </w:r>
        </w:p>
        <w:p>
          <w:pPr>
            <w:pStyle w:val="DeckblattTitel"/>
            <w:spacing w:before="120"/>
            <w:jc w:val="center"/>
            <w:rPr>
              <w:sz w:val="18"/>
              <w:szCs w:val="18"/>
            </w:rPr>
          </w:pPr>
          <w:r>
            <w:rPr>
              <w:sz w:val="18"/>
              <w:szCs w:val="18"/>
            </w:rPr>
            <w:t>Systemspezifikation &lt;System&gt;</w:t>
          </w:r>
        </w:p>
        <w:p>
          <w:pPr>
            <w:pStyle w:val="DeckblattTitel"/>
            <w:spacing w:before="120"/>
            <w:jc w:val="center"/>
          </w:pPr>
          <w:r>
            <w:rPr>
              <w:b/>
              <w:sz w:val="18"/>
              <w:szCs w:val="18"/>
            </w:rPr>
            <w:t>&lt;Vertraulichkeitsstufe&gt;</w:t>
          </w:r>
        </w:p>
      </w:tc>
      <w:tc>
        <w:tcPr>
          <w:tcW w:w="2997" w:type="dxa"/>
          <w:vAlign w:val="center"/>
        </w:tcPr>
        <w:p>
          <w:pPr>
            <w:pStyle w:val="DeckblattTitel"/>
            <w:jc w:val="center"/>
            <w:rPr>
              <w:b/>
              <w:noProof/>
              <w:color w:val="BFBFBF"/>
            </w:rPr>
          </w:pPr>
          <w:r>
            <w:rPr>
              <w:b/>
              <w:noProof/>
              <w:color w:val="BFBFBF"/>
            </w:rPr>
            <w:t>Logo des/der</w:t>
          </w:r>
          <w:r>
            <w:rPr>
              <w:b/>
              <w:noProof/>
              <w:color w:val="BFBFBF"/>
            </w:rPr>
            <w:br/>
            <w:t>Dienstleister(s)</w:t>
          </w:r>
        </w:p>
      </w:tc>
    </w:tr>
  </w:tbl>
  <w:p>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ayout w:type="fixed"/>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pPr>
            <w:pStyle w:val="DeckblattTitel"/>
            <w:spacing w:before="120"/>
            <w:jc w:val="center"/>
            <w:rPr>
              <w:sz w:val="18"/>
              <w:szCs w:val="18"/>
            </w:rPr>
          </w:pPr>
          <w:r>
            <w:rPr>
              <w:sz w:val="18"/>
              <w:szCs w:val="18"/>
            </w:rPr>
            <w:t>IsyFact</w:t>
          </w:r>
        </w:p>
        <w:p>
          <w:pPr>
            <w:pStyle w:val="DeckblattTitel"/>
            <w:spacing w:before="120"/>
            <w:jc w:val="center"/>
            <w:rPr>
              <w:sz w:val="18"/>
              <w:szCs w:val="18"/>
            </w:rPr>
          </w:pPr>
          <w:r>
            <w:rPr>
              <w:sz w:val="18"/>
              <w:szCs w:val="18"/>
            </w:rPr>
            <w:t>Systemspezifikation &lt;System&gt;</w:t>
          </w:r>
        </w:p>
        <w:p>
          <w:pPr>
            <w:pStyle w:val="DeckblattTitel"/>
            <w:spacing w:before="240"/>
            <w:jc w:val="center"/>
          </w:pPr>
          <w:r>
            <w:rPr>
              <w:b/>
              <w:sz w:val="18"/>
              <w:szCs w:val="18"/>
            </w:rPr>
            <w:t>&lt;Vertraulichkeitsstufe&gt;</w:t>
          </w:r>
        </w:p>
      </w:tc>
      <w:tc>
        <w:tcPr>
          <w:tcW w:w="2997" w:type="dxa"/>
          <w:vAlign w:val="center"/>
        </w:tcPr>
        <w:p>
          <w:pPr>
            <w:pStyle w:val="DeckblattTitel"/>
            <w:jc w:val="center"/>
            <w:rPr>
              <w:b/>
              <w:noProof/>
              <w:color w:val="BFBFBF"/>
            </w:rPr>
          </w:pPr>
          <w:r>
            <w:rPr>
              <w:b/>
              <w:noProof/>
              <w:color w:val="BFBFBF"/>
            </w:rPr>
            <w:t>Logo des/der</w:t>
          </w:r>
          <w:r>
            <w:rPr>
              <w:b/>
              <w:noProof/>
              <w:color w:val="BFBFBF"/>
            </w:rPr>
            <w:br/>
            <w:t>Dienstleister(s)</w:t>
          </w:r>
        </w:p>
      </w:tc>
    </w:tr>
  </w:tbl>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BAE2E64C"/>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2">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6">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7">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21">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3">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6">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8">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0"/>
  </w:num>
  <w:num w:numId="2">
    <w:abstractNumId w:val="28"/>
  </w:num>
  <w:num w:numId="3">
    <w:abstractNumId w:val="2"/>
  </w:num>
  <w:num w:numId="4">
    <w:abstractNumId w:val="6"/>
  </w:num>
  <w:num w:numId="5">
    <w:abstractNumId w:val="21"/>
  </w:num>
  <w:num w:numId="6">
    <w:abstractNumId w:val="24"/>
  </w:num>
  <w:num w:numId="7">
    <w:abstractNumId w:val="4"/>
  </w:num>
  <w:num w:numId="8">
    <w:abstractNumId w:val="5"/>
  </w:num>
  <w:num w:numId="9">
    <w:abstractNumId w:val="9"/>
  </w:num>
  <w:num w:numId="10">
    <w:abstractNumId w:val="7"/>
  </w:num>
  <w:num w:numId="11">
    <w:abstractNumId w:val="14"/>
  </w:num>
  <w:num w:numId="12">
    <w:abstractNumId w:val="10"/>
  </w:num>
  <w:num w:numId="13">
    <w:abstractNumId w:val="26"/>
  </w:num>
  <w:num w:numId="14">
    <w:abstractNumId w:val="25"/>
  </w:num>
  <w:num w:numId="15">
    <w:abstractNumId w:val="11"/>
  </w:num>
  <w:num w:numId="16">
    <w:abstractNumId w:val="17"/>
  </w:num>
  <w:num w:numId="17">
    <w:abstractNumId w:val="1"/>
  </w:num>
  <w:num w:numId="18">
    <w:abstractNumId w:val="22"/>
  </w:num>
  <w:num w:numId="19">
    <w:abstractNumId w:val="27"/>
  </w:num>
  <w:num w:numId="20">
    <w:abstractNumId w:val="3"/>
  </w:num>
  <w:num w:numId="21">
    <w:abstractNumId w:val="16"/>
  </w:num>
  <w:num w:numId="22">
    <w:abstractNumId w:val="20"/>
  </w:num>
  <w:num w:numId="23">
    <w:abstractNumId w:val="15"/>
  </w:num>
  <w:num w:numId="24">
    <w:abstractNumId w:val="8"/>
  </w:num>
  <w:num w:numId="25">
    <w:abstractNumId w:val="18"/>
  </w:num>
  <w:num w:numId="26">
    <w:abstractNumId w:val="23"/>
  </w:num>
  <w:num w:numId="27">
    <w:abstractNumId w:val="12"/>
  </w:num>
  <w:num w:numId="28">
    <w:abstractNumId w:val="13"/>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6145"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fill="f" fillcolor="white" strokecolor="red">
      <v:fill color="white" on="f"/>
      <v:stroke color="re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uiPriority w:val="9"/>
    <w:qFormat/>
    <w:pPr>
      <w:keepNext/>
      <w:pageBreakBefore/>
      <w:numPr>
        <w:numId w:val="1"/>
      </w:numPr>
      <w:spacing w:before="600"/>
      <w:outlineLvl w:val="0"/>
    </w:pPr>
    <w:rPr>
      <w:rFonts w:ascii="Arial" w:hAnsi="Arial"/>
      <w:sz w:val="30"/>
    </w:rPr>
  </w:style>
  <w:style w:type="paragraph" w:styleId="berschrift2">
    <w:name w:val="heading 2"/>
    <w:basedOn w:val="StandardGliederung"/>
    <w:next w:val="Standard"/>
    <w:uiPriority w:val="9"/>
    <w:qFormat/>
    <w:pPr>
      <w:keepLines w:val="0"/>
      <w:numPr>
        <w:ilvl w:val="1"/>
        <w:numId w:val="1"/>
      </w:numPr>
      <w:outlineLvl w:val="1"/>
    </w:pPr>
    <w:rPr>
      <w:sz w:val="26"/>
    </w:rPr>
  </w:style>
  <w:style w:type="paragraph" w:styleId="berschrift3">
    <w:name w:val="heading 3"/>
    <w:basedOn w:val="StandardGliederung"/>
    <w:next w:val="Standard"/>
    <w:uiPriority w:val="9"/>
    <w:qFormat/>
    <w:pPr>
      <w:keepLines w:val="0"/>
      <w:numPr>
        <w:ilvl w:val="2"/>
        <w:numId w:val="1"/>
      </w:numPr>
      <w:outlineLvl w:val="2"/>
    </w:pPr>
  </w:style>
  <w:style w:type="paragraph" w:styleId="berschrift4">
    <w:name w:val="heading 4"/>
    <w:basedOn w:val="StandardGliederung"/>
    <w:next w:val="Standard"/>
    <w:uiPriority w:val="9"/>
    <w:qFormat/>
    <w:pPr>
      <w:keepLines w:val="0"/>
      <w:numPr>
        <w:ilvl w:val="3"/>
        <w:numId w:val="1"/>
      </w:numPr>
      <w:outlineLvl w:val="3"/>
    </w:pPr>
  </w:style>
  <w:style w:type="paragraph" w:styleId="berschrift5">
    <w:name w:val="heading 5"/>
    <w:basedOn w:val="StandardGliederung"/>
    <w:next w:val="Standard"/>
    <w:uiPriority w:val="9"/>
    <w:qFormat/>
    <w:pPr>
      <w:keepLines w:val="0"/>
      <w:numPr>
        <w:ilvl w:val="4"/>
        <w:numId w:val="1"/>
      </w:numPr>
      <w:outlineLvl w:val="4"/>
    </w:pPr>
  </w:style>
  <w:style w:type="paragraph" w:styleId="berschrift6">
    <w:name w:val="heading 6"/>
    <w:basedOn w:val="StandardGliederung"/>
    <w:next w:val="Standard"/>
    <w:uiPriority w:val="9"/>
    <w:qFormat/>
    <w:pPr>
      <w:keepLines w:val="0"/>
      <w:numPr>
        <w:ilvl w:val="5"/>
        <w:numId w:val="1"/>
      </w:numPr>
      <w:outlineLvl w:val="5"/>
    </w:pPr>
  </w:style>
  <w:style w:type="paragraph" w:styleId="berschrift7">
    <w:name w:val="heading 7"/>
    <w:basedOn w:val="StandardGliederung"/>
    <w:next w:val="Standard"/>
    <w:uiPriority w:val="9"/>
    <w:qFormat/>
    <w:pPr>
      <w:keepLines w:val="0"/>
      <w:numPr>
        <w:ilvl w:val="6"/>
        <w:numId w:val="1"/>
      </w:numPr>
      <w:outlineLvl w:val="6"/>
    </w:pPr>
  </w:style>
  <w:style w:type="paragraph" w:styleId="berschrift8">
    <w:name w:val="heading 8"/>
    <w:basedOn w:val="StandardGliederung"/>
    <w:next w:val="Standard"/>
    <w:uiPriority w:val="9"/>
    <w:qFormat/>
    <w:pPr>
      <w:keepLines w:val="0"/>
      <w:numPr>
        <w:ilvl w:val="7"/>
        <w:numId w:val="1"/>
      </w:numPr>
      <w:outlineLvl w:val="7"/>
    </w:pPr>
  </w:style>
  <w:style w:type="paragraph" w:styleId="berschrift9">
    <w:name w:val="heading 9"/>
    <w:basedOn w:val="StandardGliederung"/>
    <w:next w:val="Standard"/>
    <w:uiPriority w:val="9"/>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uiPriority w:val="9"/>
    <w:qFormat/>
    <w:pPr>
      <w:keepNext/>
      <w:pageBreakBefore/>
      <w:numPr>
        <w:numId w:val="1"/>
      </w:numPr>
      <w:spacing w:before="600"/>
      <w:outlineLvl w:val="0"/>
    </w:pPr>
    <w:rPr>
      <w:rFonts w:ascii="Arial" w:hAnsi="Arial"/>
      <w:sz w:val="30"/>
    </w:rPr>
  </w:style>
  <w:style w:type="paragraph" w:styleId="berschrift2">
    <w:name w:val="heading 2"/>
    <w:basedOn w:val="StandardGliederung"/>
    <w:next w:val="Standard"/>
    <w:uiPriority w:val="9"/>
    <w:qFormat/>
    <w:pPr>
      <w:keepLines w:val="0"/>
      <w:numPr>
        <w:ilvl w:val="1"/>
        <w:numId w:val="1"/>
      </w:numPr>
      <w:outlineLvl w:val="1"/>
    </w:pPr>
    <w:rPr>
      <w:sz w:val="26"/>
    </w:rPr>
  </w:style>
  <w:style w:type="paragraph" w:styleId="berschrift3">
    <w:name w:val="heading 3"/>
    <w:basedOn w:val="StandardGliederung"/>
    <w:next w:val="Standard"/>
    <w:uiPriority w:val="9"/>
    <w:qFormat/>
    <w:pPr>
      <w:keepLines w:val="0"/>
      <w:numPr>
        <w:ilvl w:val="2"/>
        <w:numId w:val="1"/>
      </w:numPr>
      <w:outlineLvl w:val="2"/>
    </w:pPr>
  </w:style>
  <w:style w:type="paragraph" w:styleId="berschrift4">
    <w:name w:val="heading 4"/>
    <w:basedOn w:val="StandardGliederung"/>
    <w:next w:val="Standard"/>
    <w:uiPriority w:val="9"/>
    <w:qFormat/>
    <w:pPr>
      <w:keepLines w:val="0"/>
      <w:numPr>
        <w:ilvl w:val="3"/>
        <w:numId w:val="1"/>
      </w:numPr>
      <w:outlineLvl w:val="3"/>
    </w:pPr>
  </w:style>
  <w:style w:type="paragraph" w:styleId="berschrift5">
    <w:name w:val="heading 5"/>
    <w:basedOn w:val="StandardGliederung"/>
    <w:next w:val="Standard"/>
    <w:uiPriority w:val="9"/>
    <w:qFormat/>
    <w:pPr>
      <w:keepLines w:val="0"/>
      <w:numPr>
        <w:ilvl w:val="4"/>
        <w:numId w:val="1"/>
      </w:numPr>
      <w:outlineLvl w:val="4"/>
    </w:pPr>
  </w:style>
  <w:style w:type="paragraph" w:styleId="berschrift6">
    <w:name w:val="heading 6"/>
    <w:basedOn w:val="StandardGliederung"/>
    <w:next w:val="Standard"/>
    <w:uiPriority w:val="9"/>
    <w:qFormat/>
    <w:pPr>
      <w:keepLines w:val="0"/>
      <w:numPr>
        <w:ilvl w:val="5"/>
        <w:numId w:val="1"/>
      </w:numPr>
      <w:outlineLvl w:val="5"/>
    </w:pPr>
  </w:style>
  <w:style w:type="paragraph" w:styleId="berschrift7">
    <w:name w:val="heading 7"/>
    <w:basedOn w:val="StandardGliederung"/>
    <w:next w:val="Standard"/>
    <w:uiPriority w:val="9"/>
    <w:qFormat/>
    <w:pPr>
      <w:keepLines w:val="0"/>
      <w:numPr>
        <w:ilvl w:val="6"/>
        <w:numId w:val="1"/>
      </w:numPr>
      <w:outlineLvl w:val="6"/>
    </w:pPr>
  </w:style>
  <w:style w:type="paragraph" w:styleId="berschrift8">
    <w:name w:val="heading 8"/>
    <w:basedOn w:val="StandardGliederung"/>
    <w:next w:val="Standard"/>
    <w:uiPriority w:val="9"/>
    <w:qFormat/>
    <w:pPr>
      <w:keepLines w:val="0"/>
      <w:numPr>
        <w:ilvl w:val="7"/>
        <w:numId w:val="1"/>
      </w:numPr>
      <w:outlineLvl w:val="7"/>
    </w:pPr>
  </w:style>
  <w:style w:type="paragraph" w:styleId="berschrift9">
    <w:name w:val="heading 9"/>
    <w:basedOn w:val="StandardGliederung"/>
    <w:next w:val="Standard"/>
    <w:uiPriority w:val="9"/>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26" Type="http://schemas.openxmlformats.org/officeDocument/2006/relationships/image" Target="media/image3.emf"/><Relationship Id="rId21" Type="http://schemas.openxmlformats.org/officeDocument/2006/relationships/header" Target="header4.xml"/><Relationship Id="rId34" Type="http://schemas.openxmlformats.org/officeDocument/2006/relationships/image" Target="media/image11.emf"/><Relationship Id="rId42" Type="http://schemas.openxmlformats.org/officeDocument/2006/relationships/image" Target="media/image19.emf"/><Relationship Id="rId47" Type="http://schemas.openxmlformats.org/officeDocument/2006/relationships/image" Target="media/image24.emf"/><Relationship Id="rId50" Type="http://schemas.openxmlformats.org/officeDocument/2006/relationships/image" Target="media/image27.png"/><Relationship Id="rId55" Type="http://schemas.openxmlformats.org/officeDocument/2006/relationships/image" Target="media/image32.png"/><Relationship Id="rId63" Type="http://schemas.openxmlformats.org/officeDocument/2006/relationships/footer" Target="footer8.xml"/><Relationship Id="rId7" Type="http://schemas.openxmlformats.org/officeDocument/2006/relationships/webSettings" Target="webSettings.xml"/><Relationship Id="rId2" Type="http://schemas.openxmlformats.org/officeDocument/2006/relationships/customXml" Target="../customXml/item2.xml"/><Relationship Id="rId16" Type="http://schemas.openxmlformats.org/officeDocument/2006/relationships/footer" Target="footer1.xml"/><Relationship Id="rId29" Type="http://schemas.openxmlformats.org/officeDocument/2006/relationships/image" Target="media/image6.emf"/><Relationship Id="rId11" Type="http://schemas.openxmlformats.org/officeDocument/2006/relationships/hyperlink" Target="http://www.isyfact.de" TargetMode="External"/><Relationship Id="rId24" Type="http://schemas.openxmlformats.org/officeDocument/2006/relationships/footer" Target="footer6.xml"/><Relationship Id="rId32" Type="http://schemas.openxmlformats.org/officeDocument/2006/relationships/image" Target="media/image9.emf"/><Relationship Id="rId37" Type="http://schemas.openxmlformats.org/officeDocument/2006/relationships/image" Target="media/image14.emf"/><Relationship Id="rId40" Type="http://schemas.openxmlformats.org/officeDocument/2006/relationships/image" Target="media/image17.emf"/><Relationship Id="rId45" Type="http://schemas.openxmlformats.org/officeDocument/2006/relationships/image" Target="media/image22.emf"/><Relationship Id="rId53" Type="http://schemas.openxmlformats.org/officeDocument/2006/relationships/image" Target="media/image30.png"/><Relationship Id="rId58" Type="http://schemas.openxmlformats.org/officeDocument/2006/relationships/image" Target="media/image35.png"/><Relationship Id="rId5" Type="http://schemas.microsoft.com/office/2007/relationships/stylesWithEffects" Target="stylesWithEffects.xml"/><Relationship Id="rId61" Type="http://schemas.openxmlformats.org/officeDocument/2006/relationships/image" Target="media/image38.emf"/><Relationship Id="rId19" Type="http://schemas.openxmlformats.org/officeDocument/2006/relationships/header" Target="header3.xml"/><Relationship Id="rId14" Type="http://schemas.openxmlformats.org/officeDocument/2006/relationships/header" Target="header1.xml"/><Relationship Id="rId22" Type="http://schemas.openxmlformats.org/officeDocument/2006/relationships/footer" Target="footer5.xml"/><Relationship Id="rId27" Type="http://schemas.openxmlformats.org/officeDocument/2006/relationships/image" Target="media/image4.emf"/><Relationship Id="rId30" Type="http://schemas.openxmlformats.org/officeDocument/2006/relationships/image" Target="media/image7.emf"/><Relationship Id="rId35" Type="http://schemas.openxmlformats.org/officeDocument/2006/relationships/image" Target="media/image12.emf"/><Relationship Id="rId43" Type="http://schemas.openxmlformats.org/officeDocument/2006/relationships/image" Target="media/image20.emf"/><Relationship Id="rId48" Type="http://schemas.openxmlformats.org/officeDocument/2006/relationships/image" Target="media/image25.png"/><Relationship Id="rId56" Type="http://schemas.openxmlformats.org/officeDocument/2006/relationships/image" Target="media/image33.png"/><Relationship Id="rId64" Type="http://schemas.openxmlformats.org/officeDocument/2006/relationships/fontTable" Target="fontTable.xml"/><Relationship Id="rId8" Type="http://schemas.openxmlformats.org/officeDocument/2006/relationships/footnotes" Target="footnotes.xml"/><Relationship Id="rId51" Type="http://schemas.openxmlformats.org/officeDocument/2006/relationships/image" Target="media/image28.png"/><Relationship Id="rId3" Type="http://schemas.openxmlformats.org/officeDocument/2006/relationships/numbering" Target="numbering.xml"/><Relationship Id="rId12" Type="http://schemas.openxmlformats.org/officeDocument/2006/relationships/hyperlink" Target="http://creativecommons.org/licenses/by/4.0" TargetMode="External"/><Relationship Id="rId17" Type="http://schemas.openxmlformats.org/officeDocument/2006/relationships/footer" Target="footer2.xml"/><Relationship Id="rId25" Type="http://schemas.openxmlformats.org/officeDocument/2006/relationships/footer" Target="footer7.xml"/><Relationship Id="rId33" Type="http://schemas.openxmlformats.org/officeDocument/2006/relationships/image" Target="media/image10.emf"/><Relationship Id="rId38" Type="http://schemas.openxmlformats.org/officeDocument/2006/relationships/image" Target="media/image15.emf"/><Relationship Id="rId46" Type="http://schemas.openxmlformats.org/officeDocument/2006/relationships/image" Target="media/image23.emf"/><Relationship Id="rId59" Type="http://schemas.openxmlformats.org/officeDocument/2006/relationships/image" Target="media/image36.png"/><Relationship Id="rId20" Type="http://schemas.openxmlformats.org/officeDocument/2006/relationships/footer" Target="footer4.xml"/><Relationship Id="rId41" Type="http://schemas.openxmlformats.org/officeDocument/2006/relationships/image" Target="media/image18.emf"/><Relationship Id="rId54" Type="http://schemas.openxmlformats.org/officeDocument/2006/relationships/image" Target="media/image31.png"/><Relationship Id="rId62"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image" Target="media/image2.emf"/><Relationship Id="rId28" Type="http://schemas.openxmlformats.org/officeDocument/2006/relationships/image" Target="media/image5.emf"/><Relationship Id="rId36" Type="http://schemas.openxmlformats.org/officeDocument/2006/relationships/image" Target="media/image13.emf"/><Relationship Id="rId49" Type="http://schemas.openxmlformats.org/officeDocument/2006/relationships/image" Target="media/image26.emf"/><Relationship Id="rId57" Type="http://schemas.openxmlformats.org/officeDocument/2006/relationships/image" Target="media/image34.png"/><Relationship Id="rId10" Type="http://schemas.openxmlformats.org/officeDocument/2006/relationships/image" Target="media/image1.png"/><Relationship Id="rId31" Type="http://schemas.openxmlformats.org/officeDocument/2006/relationships/image" Target="media/image8.emf"/><Relationship Id="rId44" Type="http://schemas.openxmlformats.org/officeDocument/2006/relationships/image" Target="media/image21.emf"/><Relationship Id="rId52" Type="http://schemas.openxmlformats.org/officeDocument/2006/relationships/image" Target="media/image29.png"/><Relationship Id="rId60" Type="http://schemas.openxmlformats.org/officeDocument/2006/relationships/image" Target="media/image37.emf"/><Relationship Id="rId65"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3" Type="http://schemas.openxmlformats.org/officeDocument/2006/relationships/hyperlink" Target="http://creativecommons.org/licenses/by/4.0" TargetMode="External"/><Relationship Id="rId18" Type="http://schemas.openxmlformats.org/officeDocument/2006/relationships/footer" Target="footer3.xml"/><Relationship Id="rId39" Type="http://schemas.openxmlformats.org/officeDocument/2006/relationships/image" Target="media/image16.e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6168A0-3D50-4AB0-86D0-CF8284307CEA}">
  <ds:schemaRefs>
    <ds:schemaRef ds:uri="http://schemas.openxmlformats.org/officeDocument/2006/bibliography"/>
  </ds:schemaRefs>
</ds:datastoreItem>
</file>

<file path=customXml/itemProps2.xml><?xml version="1.0" encoding="utf-8"?>
<ds:datastoreItem xmlns:ds="http://schemas.openxmlformats.org/officeDocument/2006/customXml" ds:itemID="{E0CB47BF-2519-4572-9872-FABFD593AA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IsyFact-Vorlage_Systemspezifikation.dotx</Template>
  <TotalTime>0</TotalTime>
  <Pages>3</Pages>
  <Words>13600</Words>
  <Characters>98835</Characters>
  <DocSecurity>0</DocSecurity>
  <PresentationFormat/>
  <Lines>2147</Lines>
  <Paragraphs>1008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Systemspezifikation</vt:lpstr>
      <vt:lpstr>IsyFact Vorlage Systemspezifikation</vt:lpstr>
    </vt:vector>
  </TitlesOfParts>
  <Manager/>
  <Company/>
  <LinksUpToDate>false</LinksUpToDate>
  <CharactersWithSpaces>111573</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Bundesverwaltungsamt</dc:creator>
  <cp:keywords/>
  <dc:description/>
  <cp:lastModifiedBy>Bundesverwaltungsamt</cp:lastModifiedBy>
  <cp:lastPrinted>2012-06-12T13:28:00Z</cp:lastPrinted>
  <dcterms:created xsi:type="dcterms:W3CDTF">2019-11-05T10:46:00Z</dcterms:created>
  <dcterms:modified xsi:type="dcterms:W3CDTF">2022-03-16T15:32:00Z</dcterms:modified>
  <cp:category/>
  <cp:contentStatus/>
  <dc:language/>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ies>
</file>