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for MGSC 695: Optimization for Data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final project for this course, you are required to implement a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method of your choice from scratch and test its performance on an appropriate dataset.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That is, you cannot use a black box package or module of the method. However, you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also expected to compare the performance of your implementation with any available blackbox implementation of the same method. Your project implementation will be judged on its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difficulty and the extent of execution.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due date for the final project is March 5th, 6 pm.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Deliverables: Code &amp; 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report will summarize the steps involved in the project. Ideally, this report will contain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and details on the method thereby exhibiting your understanding of the method you have chosen,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on the underlying optimization problem and the approach to solve it (the formulation and identify whether it’s a linear or a quadratic or a convex optimization problem etc., the optimization approach and so on).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the report to explain the challenges you faced and whether you were successful in overcoming them.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always cite any resources you have relied on.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report should be no longer than 10 pages (at least single line spacing and 12 pt font).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Your project report will be evaluated by the depth of your understanding, clarity, presentation, and completeness. A list of potential topics is provided below: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are also free to demonstrate your implementation on any appropriate dataset.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Mixture Models (GMM or other mixture models)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K-means clustering (related methods and extensions)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Regularized regression methods (Lasso, ridge regression, etc.)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Separating hyperplanes (Reference: Section 4.5 in Elements of Statistical Learning by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Gareth James et al.)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Tree-based methods (e.g., regression trees, decision trees)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Association learning methods (e.g., Apriori, ECLAT)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Hierarchical clustering methods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Dimensionality reduction (e.g., Principal Component Analysis)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Support Vector Machines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