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2D277" w14:textId="77777777" w:rsidR="00702F5C" w:rsidRDefault="00000000">
      <w:pPr>
        <w:spacing w:before="360" w:after="160"/>
        <w:rPr>
          <w:b/>
          <w:bCs/>
        </w:rPr>
      </w:pPr>
      <w:r>
        <w:rPr>
          <w:b/>
          <w:bCs/>
        </w:rPr>
        <w:t xml:space="preserve">A.Team Identity </w:t>
      </w:r>
    </w:p>
    <w:p w14:paraId="4E511445" w14:textId="77777777" w:rsidR="00702F5C" w:rsidRDefault="00000000">
      <w:pPr>
        <w:spacing w:before="360" w:after="160"/>
        <w:rPr>
          <w:b/>
          <w:bCs/>
        </w:rPr>
      </w:pPr>
      <w:r>
        <w:rPr>
          <w:b/>
          <w:bCs/>
        </w:rPr>
        <w:t>Team name: Team 7</w:t>
      </w:r>
    </w:p>
    <w:p w14:paraId="17836A6B" w14:textId="77777777" w:rsidR="00702F5C" w:rsidRDefault="00000000">
      <w:pPr>
        <w:spacing w:before="360" w:after="160"/>
        <w:jc w:val="both"/>
        <w:rPr>
          <w:b/>
          <w:bCs/>
        </w:rPr>
      </w:pPr>
      <w:r>
        <w:rPr>
          <w:b/>
          <w:bCs/>
        </w:rPr>
        <w:t xml:space="preserve">Business idea title: </w:t>
      </w:r>
      <w:r>
        <w:rPr>
          <w:b/>
          <w:bCs/>
          <w:highlight w:val="white"/>
        </w:rPr>
        <w:t>B-Sim AI: Strategic Business Simulation Platform for Higher Education</w:t>
      </w:r>
      <w:r>
        <w:rPr>
          <w:b/>
          <w:bCs/>
        </w:rPr>
        <w:t xml:space="preserve"> </w:t>
      </w:r>
    </w:p>
    <w:p w14:paraId="231CC8CC" w14:textId="77777777" w:rsidR="00702F5C" w:rsidRDefault="00000000">
      <w:pPr>
        <w:spacing w:before="360" w:after="160"/>
        <w:rPr>
          <w:b/>
          <w:bCs/>
        </w:rPr>
      </w:pPr>
      <w:r>
        <w:rPr>
          <w:b/>
          <w:bCs/>
        </w:rPr>
        <w:t xml:space="preserve">B. Executive Summary </w:t>
      </w:r>
    </w:p>
    <w:p w14:paraId="224FFA8D" w14:textId="77777777" w:rsidR="00702F5C" w:rsidRDefault="00000000">
      <w:pPr>
        <w:spacing w:before="360" w:after="160"/>
        <w:jc w:val="both"/>
        <w:rPr>
          <w:highlight w:val="white"/>
        </w:rPr>
      </w:pPr>
      <w:r>
        <w:rPr>
          <w:b/>
          <w:bCs/>
          <w:highlight w:val="white"/>
        </w:rPr>
        <w:t>Business Idea:</w:t>
      </w:r>
      <w:r>
        <w:rPr>
          <w:highlight w:val="white"/>
        </w:rPr>
        <w:t xml:space="preserve"> B-Sim AI is an advanced, AI powered macroeconomic business simulation platform tailored specifically for higher education. Aligning perfectly with the theme of strengthening global relationships through sustainable innovation and technology, the platform immerses student teams in a shared virtual economy where they manage simulated companies. It transforms traditional business education into an experiential learning system by requiring students to make real time strategic decisions across finance, operations, marketing, and human resources, while continuously balancing profitability with mandatory sustainability constraints.</w:t>
      </w:r>
    </w:p>
    <w:p w14:paraId="714BAECA" w14:textId="77777777" w:rsidR="00702F5C" w:rsidRDefault="00000000">
      <w:pPr>
        <w:spacing w:before="360" w:after="160"/>
        <w:jc w:val="both"/>
        <w:rPr>
          <w:highlight w:val="white"/>
        </w:rPr>
      </w:pPr>
      <w:r>
        <w:rPr>
          <w:b/>
          <w:bCs/>
          <w:highlight w:val="white"/>
        </w:rPr>
        <w:t>Target Market:</w:t>
      </w:r>
      <w:r>
        <w:rPr>
          <w:highlight w:val="white"/>
        </w:rPr>
        <w:t xml:space="preserve"> The primary target market consists of higher education institutions, specifically universities, business schools, and entrepreneurship centers operating within the global B2B EdTech sector. With a strategic focus on the rapidly expanding Asia Pacific region, including Indonesia's extensive network of 4,400 universities, the platform addresses the growing administrative demand for measurable, practical learning outcomes and the global push to integrate sustainability into core academic curricula.</w:t>
      </w:r>
    </w:p>
    <w:p w14:paraId="7F7D64BA" w14:textId="77777777" w:rsidR="00702F5C" w:rsidRDefault="00000000">
      <w:pPr>
        <w:spacing w:before="360" w:after="160"/>
        <w:jc w:val="both"/>
        <w:rPr>
          <w:highlight w:val="white"/>
        </w:rPr>
      </w:pPr>
      <w:r>
        <w:rPr>
          <w:b/>
          <w:bCs/>
          <w:highlight w:val="white"/>
        </w:rPr>
        <w:t>Uniqueness:</w:t>
      </w:r>
      <w:r>
        <w:rPr>
          <w:highlight w:val="white"/>
        </w:rPr>
        <w:t xml:space="preserve"> B-Sim AI fundamentally differentiates itself from static case study methods and traditional simulation games through its proprietary AI driven evaluation engine. Instead of merely providing quantitative rankings, the AI functions as an intelligent auditor that automatically diagnoses strategic errors, such as inventory imbalances from overproduction or pricing misalignments leading to lost market share, and delivers personalized, qualitative feedback on exactly why specific decisions failed. Furthermore, the platform features a dynamic shared economy where every team's pricing and operational decision directly alters the competitive market conditions for all other participants, seamlessly embedding environmental and social governance as a core survival constraint rather than an optional module.</w:t>
      </w:r>
    </w:p>
    <w:p w14:paraId="088E42C3" w14:textId="77777777" w:rsidR="00702F5C" w:rsidRDefault="00000000">
      <w:pPr>
        <w:spacing w:before="360" w:after="160"/>
        <w:jc w:val="both"/>
        <w:rPr>
          <w:highlight w:val="white"/>
        </w:rPr>
      </w:pPr>
      <w:r>
        <w:rPr>
          <w:b/>
          <w:bCs/>
          <w:highlight w:val="white"/>
        </w:rPr>
        <w:t>Financial Potential:</w:t>
      </w:r>
      <w:r>
        <w:rPr>
          <w:highlight w:val="white"/>
        </w:rPr>
        <w:t xml:space="preserve"> Operating on a highly scalable B2B Software as a Service (SaaS) model, B-Sim AI generates stable, recurring revenue through flexible usage based fees ($15 to $30 per student) and annual institutional licensing tiers ranging from $3,500 to $15,000. The commercialization roadmap is exceptionally capital efficient, initiating with a lean $7,000 budget to develop a functional prototype over an 8 week sprint. Following successful institutional pilot testing and subsequent seed fundraising, the platform is projected to scale across 80 to 150 institutions, unlocking a substantial revenue potential of up to $1.5 million by the second year of full commercial operation.</w:t>
      </w:r>
    </w:p>
    <w:p w14:paraId="54A3EACF" w14:textId="77777777" w:rsidR="00702F5C" w:rsidRDefault="00000000">
      <w:pPr>
        <w:spacing w:before="360" w:after="160"/>
        <w:jc w:val="both"/>
        <w:rPr>
          <w:b/>
          <w:bCs/>
          <w:highlight w:val="white"/>
        </w:rPr>
      </w:pPr>
      <w:r>
        <w:rPr>
          <w:b/>
          <w:bCs/>
          <w:highlight w:val="white"/>
        </w:rPr>
        <w:lastRenderedPageBreak/>
        <w:t>C. Introduction</w:t>
      </w:r>
    </w:p>
    <w:p w14:paraId="2F73FB57" w14:textId="77777777" w:rsidR="00702F5C" w:rsidRDefault="00000000">
      <w:pPr>
        <w:spacing w:after="160"/>
        <w:jc w:val="both"/>
        <w:rPr>
          <w:highlight w:val="white"/>
        </w:rPr>
      </w:pPr>
      <w:r>
        <w:rPr>
          <w:b/>
          <w:bCs/>
          <w:highlight w:val="white"/>
        </w:rPr>
        <w:t>Business Opportunity &amp; Supporting Factors:</w:t>
      </w:r>
      <w:r>
        <w:rPr>
          <w:highlight w:val="white"/>
        </w:rPr>
        <w:t xml:space="preserve"> There is a critical opportunity in the higher education sector to transition from static, theoretical business education to experiential, AI-driven learning. This shift is strongly supported by three converging factors: the administrative demand for measurable practical learning outcomes, the accelerated adoption of AI in education since 2023, and the global push to integrate sustainability into core business curricula. Aligning with the theme of sustainable innovation and technology, B-Sim AI capitalizes on these factors, specifically addressing the needs of over 800 signatory institutions in the UN PRME network committed to responsible management education.</w:t>
      </w:r>
    </w:p>
    <w:p w14:paraId="0F7E00EA" w14:textId="77777777" w:rsidR="00702F5C" w:rsidRDefault="00000000">
      <w:pPr>
        <w:spacing w:before="360" w:after="160"/>
        <w:jc w:val="both"/>
        <w:rPr>
          <w:highlight w:val="white"/>
        </w:rPr>
      </w:pPr>
      <w:r>
        <w:rPr>
          <w:b/>
          <w:bCs/>
          <w:highlight w:val="white"/>
        </w:rPr>
        <w:t>Market Demand:</w:t>
      </w:r>
      <w:r>
        <w:rPr>
          <w:highlight w:val="white"/>
        </w:rPr>
        <w:t xml:space="preserve"> The market demand for scalable EdTech solutions is substantial, with the global EdTech market projected to reach $404 billion by 2025 at a 16.3% CAGR. The Asia-Pacific region accounts for approximately 24% of this total, with countries like Indonesia, Vietnam, and Singapore shifting rapidly toward scalable digital adoption. Indonesia alone provides a massive immediate market with 4400 universities as of 2025, ranking second globally in the number of higher education institutions.</w:t>
      </w:r>
    </w:p>
    <w:p w14:paraId="6FF5CF58" w14:textId="77777777" w:rsidR="00702F5C" w:rsidRDefault="00000000">
      <w:pPr>
        <w:spacing w:before="360" w:after="160"/>
        <w:jc w:val="both"/>
        <w:rPr>
          <w:highlight w:val="white"/>
        </w:rPr>
      </w:pPr>
      <w:r>
        <w:rPr>
          <w:b/>
          <w:bCs/>
          <w:highlight w:val="white"/>
        </w:rPr>
        <w:t>Potential for Success:</w:t>
      </w:r>
      <w:r>
        <w:rPr>
          <w:highlight w:val="white"/>
        </w:rPr>
        <w:t xml:space="preserve"> The platform's potential for commercial success is driven by its highly scalable B2B Software-as-a-Service (SaaS) model. Once embedded into official academic curricula, institutional EdTech platforms typically achieve robust annual retention rates of approximately 85%. This high retention, combined with the massive addressable market, creates a highly predictable revenue stream. By scaling to just 80–150 institutions in its second year, the platform is projected to unlock a substantial revenue potential ranging from $480,000 to $1.5 million.</w:t>
      </w:r>
    </w:p>
    <w:p w14:paraId="442067F7" w14:textId="77777777" w:rsidR="00702F5C" w:rsidRDefault="00000000">
      <w:pPr>
        <w:spacing w:before="360" w:after="160"/>
        <w:rPr>
          <w:b/>
          <w:bCs/>
        </w:rPr>
      </w:pPr>
      <w:r>
        <w:rPr>
          <w:b/>
          <w:bCs/>
        </w:rPr>
        <w:t>D. Business Description</w:t>
      </w:r>
    </w:p>
    <w:p w14:paraId="2A415875" w14:textId="77777777" w:rsidR="00702F5C" w:rsidRDefault="00000000">
      <w:pPr>
        <w:spacing w:before="280" w:after="120"/>
        <w:rPr>
          <w:b/>
          <w:bCs/>
        </w:rPr>
      </w:pPr>
      <w:r>
        <w:rPr>
          <w:b/>
          <w:bCs/>
        </w:rPr>
        <w:t>Business Concept</w:t>
      </w:r>
    </w:p>
    <w:p w14:paraId="27EB3F4C" w14:textId="77777777" w:rsidR="00702F5C" w:rsidRDefault="00000000">
      <w:pPr>
        <w:spacing w:after="240"/>
        <w:jc w:val="both"/>
      </w:pPr>
      <w:r>
        <w:rPr>
          <w:highlight w:val="white"/>
        </w:rPr>
        <w:t>B-Sim AI is an advanced AI-powered business simulation platform designed specifically for higher education institutions. The platform operates by creating a shared virtual economy where student teams directly manage their own companies and make comprehensive strategic decisions across pricing, operations, finance, marketing, and human resources. Directly responding to the competition's theme of sustainable innovation and technology, the system not only simulates real-time macroeconomic volatility but also deeply integrates sustainability constraints into the core of every decision. This approach transforms traditional business education from passive theoretical learning into an experiential learning system, requiring students to continuously analyze financial data to balance short-term profit maximization with long-term sustainable performance</w:t>
      </w:r>
    </w:p>
    <w:p w14:paraId="06E80255" w14:textId="77777777" w:rsidR="00702F5C" w:rsidRDefault="00000000">
      <w:pPr>
        <w:spacing w:before="280" w:after="120"/>
        <w:rPr>
          <w:b/>
          <w:bCs/>
        </w:rPr>
      </w:pPr>
      <w:r>
        <w:rPr>
          <w:b/>
          <w:bCs/>
        </w:rPr>
        <w:t xml:space="preserve"> Product Uniqueness</w:t>
      </w:r>
    </w:p>
    <w:p w14:paraId="0DAE2171" w14:textId="77777777" w:rsidR="00702F5C" w:rsidRDefault="00000000">
      <w:pPr>
        <w:spacing w:after="240"/>
        <w:jc w:val="both"/>
      </w:pPr>
      <w:r>
        <w:rPr>
          <w:highlight w:val="white"/>
        </w:rPr>
        <w:t xml:space="preserve">The platform's uniqueness lies in its automated evaluation and feedback mechanism driven entirely by AI. Unlike standard simulation games that only provide quantitative scores and rankings, B-Sim AI functions as an intelligent, automated performance audit. After each simulation round, the AI system automatically evaluates every team's decisions, accurately diagnoses strategic errors such as inventory imbalances from overproduction or pricing misalignments leading to lost market share and delivers personalized strategic analysis and </w:t>
      </w:r>
      <w:r>
        <w:rPr>
          <w:highlight w:val="white"/>
        </w:rPr>
        <w:lastRenderedPageBreak/>
        <w:t>improvement recommendations for the next stage. Furthermore, because the virtual economy is dynamic and interactive, one team's decisions directly alter the competitive landscape for all others, creating a highly realistic environment that demands continuous adaptation for survival.</w:t>
      </w:r>
      <w:r>
        <w:t xml:space="preserve"> </w:t>
      </w:r>
    </w:p>
    <w:p w14:paraId="6C45A61E" w14:textId="77777777" w:rsidR="00702F5C" w:rsidRDefault="00000000">
      <w:pPr>
        <w:spacing w:before="280" w:after="120"/>
        <w:rPr>
          <w:b/>
          <w:bCs/>
        </w:rPr>
      </w:pPr>
      <w:r>
        <w:rPr>
          <w:b/>
          <w:bCs/>
        </w:rPr>
        <w:t xml:space="preserve"> Core Strengths</w:t>
      </w:r>
    </w:p>
    <w:p w14:paraId="4702C456" w14:textId="77777777" w:rsidR="00702F5C" w:rsidRDefault="00000000">
      <w:pPr>
        <w:spacing w:after="240"/>
        <w:jc w:val="both"/>
      </w:pPr>
      <w:r>
        <w:rPr>
          <w:highlight w:val="white"/>
        </w:rPr>
        <w:t>The core competitive advantage of B-Sim AI is its ability to thoroughly address the limitations of static case-study methods, while significantly optimizing the workload for instructors. Running a business simulation class typically requires massive resources for grading and tracking, but this platform fully automates financial and human resource monitoring. The system continuously tracks key metrics such as revenue, costs, EBITDA, and profit margins, consolidating them into visual dashboards for faculty. This automation completely eliminates manual grading, allowing instructors to efficiently manage large student cohorts, thereby delivering exceptional scalability and strong commercial adoption potential across universities.</w:t>
      </w:r>
      <w:r>
        <w:t xml:space="preserve"> </w:t>
      </w:r>
    </w:p>
    <w:p w14:paraId="5032DF66" w14:textId="77777777" w:rsidR="00702F5C" w:rsidRDefault="00702F5C">
      <w:pPr>
        <w:jc w:val="both"/>
        <w:rPr>
          <w:b/>
          <w:bCs/>
        </w:rPr>
      </w:pPr>
    </w:p>
    <w:p w14:paraId="4AB122D2" w14:textId="77777777" w:rsidR="00702F5C" w:rsidRDefault="00702F5C">
      <w:pPr>
        <w:jc w:val="both"/>
        <w:rPr>
          <w:b/>
          <w:bCs/>
        </w:rPr>
      </w:pPr>
    </w:p>
    <w:p w14:paraId="0891B92B" w14:textId="77777777" w:rsidR="00702F5C" w:rsidRDefault="00000000">
      <w:pPr>
        <w:jc w:val="both"/>
      </w:pPr>
      <w:r>
        <w:rPr>
          <w:b/>
          <w:bCs/>
        </w:rPr>
        <w:t>E. Segmentation, Targeting, and Positioning</w:t>
      </w:r>
    </w:p>
    <w:p w14:paraId="59796928" w14:textId="77777777" w:rsidR="00702F5C" w:rsidRDefault="00000000">
      <w:pPr>
        <w:jc w:val="both"/>
        <w:rPr>
          <w:highlight w:val="white"/>
        </w:rPr>
      </w:pPr>
      <w:r>
        <w:rPr>
          <w:highlight w:val="white"/>
        </w:rPr>
        <w:t>The platform strategically segments its market into two main institutional categories: higher education institutions, such as universities and business schools focused on formal curricula and long-term graduate outcomes, and innovation ecosystems, including entrepreneurship centers and incubators emphasizing practical venture development. Within these segments, the primary target market is universities and business schools, which perfectly align with the platform’s B2B Software-as-a-Service (SaaS) model. These institutions possess stable annual budgets for educational technology and typically integrate simulation tools directly into their official academic curricula. This structural integration creates high switching costs and robust long-term retention rates across student cohorts, making universities a highly predictable, scalable, and valuable customer base. By securing adoption at the faculty or administrative level, the platform guarantees large-scale mandatory usage without the need for individual student acquisition.</w:t>
      </w:r>
    </w:p>
    <w:p w14:paraId="21C408C3" w14:textId="77777777" w:rsidR="00702F5C" w:rsidRDefault="00000000">
      <w:pPr>
        <w:spacing w:before="240" w:after="240"/>
        <w:jc w:val="both"/>
        <w:rPr>
          <w:b/>
          <w:bCs/>
        </w:rPr>
      </w:pPr>
      <w:r>
        <w:rPr>
          <w:highlight w:val="white"/>
        </w:rPr>
        <w:t>In terms of product positioning, B-Sim AI is defined as an experiential, data-driven, and sustainability-focused learning system designed for higher education. Unlike traditional lecture-based methods, standard simulation games, or generic AI tutors, this platform seamlessly combines virtual company management, dynamic market simulation, and real-time financial dashboards into one integrated environment. The platform provides a unique learning loop through AI-driven feedback that not only evaluates financial outcomes but deeply analyzes the strategic intent behind every operational decision. Furthermore, for universities seeking to modernize their business education, the platform fundamentally embeds sustainability into the core decision-making process. Rather than treating environmental and social governance as a separate module, the system forces students to continuously balance profitability, market risk, and ethical impact, delivering an interactive simulation that authentically mirrors modern real-world business complexities.</w:t>
      </w:r>
    </w:p>
    <w:p w14:paraId="7890E386" w14:textId="77777777" w:rsidR="00702F5C" w:rsidRDefault="00000000">
      <w:pPr>
        <w:rPr>
          <w:b/>
          <w:bCs/>
        </w:rPr>
      </w:pPr>
      <w:r>
        <w:rPr>
          <w:b/>
          <w:bCs/>
        </w:rPr>
        <w:t xml:space="preserve">F. Demand and Competitor Analysis </w:t>
      </w:r>
    </w:p>
    <w:p w14:paraId="69757ED8" w14:textId="77777777" w:rsidR="00702F5C" w:rsidRDefault="00000000">
      <w:pPr>
        <w:rPr>
          <w:b/>
          <w:bCs/>
        </w:rPr>
      </w:pPr>
      <w:r>
        <w:rPr>
          <w:b/>
          <w:bCs/>
        </w:rPr>
        <w:br/>
        <w:t>Market Demand</w:t>
      </w:r>
    </w:p>
    <w:p w14:paraId="5B90055A" w14:textId="77777777" w:rsidR="00702F5C" w:rsidRDefault="00000000">
      <w:pPr>
        <w:spacing w:before="40" w:after="60"/>
        <w:jc w:val="both"/>
      </w:pPr>
      <w:r>
        <w:lastRenderedPageBreak/>
        <w:t>The global EdTech market is projected to reach $404 billion by 2025 at a 16.3% CAGR, with Asia-Pacific representing approximately 24% of that total. Southeast Asia particularly Indonesia, Vietnam, and Singapore is shifting from early-stage experimentation to scalable adoption. Demand for this platform is driven by three converging pressures: universities needing measurable practical learning outcomes, accelerated AI adoption in education since 2023, and the global integration of sustainability into business curricula. The UN PRME network alone counts over 800 signatory institutions committed to responsible management education. Indonesia has 4,400 universities as of 2025, ranking second globally even though low penetration across the region represents a significant market.</w:t>
      </w:r>
    </w:p>
    <w:p w14:paraId="3F2A2237" w14:textId="77777777" w:rsidR="00702F5C" w:rsidRDefault="00702F5C">
      <w:pPr>
        <w:rPr>
          <w:b/>
          <w:bCs/>
        </w:rPr>
      </w:pPr>
    </w:p>
    <w:p w14:paraId="4E6F6D9F" w14:textId="77777777" w:rsidR="00702F5C" w:rsidRDefault="00000000">
      <w:pPr>
        <w:rPr>
          <w:b/>
          <w:bCs/>
        </w:rPr>
      </w:pPr>
      <w:r>
        <w:rPr>
          <w:b/>
          <w:bCs/>
        </w:rPr>
        <w:t>Competitor Analysis</w:t>
      </w:r>
    </w:p>
    <w:p w14:paraId="23CD5E35" w14:textId="77777777" w:rsidR="00702F5C" w:rsidRDefault="00000000">
      <w:pPr>
        <w:spacing w:before="40" w:after="60"/>
        <w:jc w:val="both"/>
      </w:pPr>
      <w:r>
        <w:t>The competitive landscape spans four categories: business simulation platforms, case-based learning tools, LMS platforms, and general AI tools. None combine all three defining elements of this platform: a live shared competitive economy, AI-generated personalized feedback, and sustainability embedded as a decision constraint.</w:t>
      </w:r>
    </w:p>
    <w:p w14:paraId="18A3CAE2" w14:textId="77777777" w:rsidR="00702F5C" w:rsidRDefault="00702F5C">
      <w:pPr>
        <w:spacing w:before="40" w:after="60"/>
        <w:jc w:val="both"/>
      </w:pPr>
    </w:p>
    <w:p w14:paraId="5EAAF958" w14:textId="77777777" w:rsidR="00702F5C" w:rsidRDefault="00702F5C">
      <w:pPr>
        <w:spacing w:before="40" w:after="60"/>
        <w:jc w:val="both"/>
        <w:rPr>
          <w:i/>
          <w:iCs/>
        </w:rPr>
      </w:pP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89"/>
        <w:gridCol w:w="1555"/>
        <w:gridCol w:w="1847"/>
        <w:gridCol w:w="1834"/>
        <w:gridCol w:w="2100"/>
      </w:tblGrid>
      <w:tr w:rsidR="00702F5C" w14:paraId="518EDD97" w14:textId="77777777">
        <w:trPr>
          <w:trHeight w:val="360"/>
        </w:trPr>
        <w:tc>
          <w:tcPr>
            <w:tcW w:w="1688" w:type="dxa"/>
            <w:tcBorders>
              <w:top w:val="single" w:sz="4" w:space="0" w:color="CCCCCC"/>
              <w:left w:val="single" w:sz="4" w:space="0" w:color="CCCCCC"/>
              <w:bottom w:val="single" w:sz="4" w:space="0" w:color="CCCCCC"/>
              <w:right w:val="single" w:sz="4" w:space="0" w:color="CCCCCC"/>
            </w:tcBorders>
            <w:shd w:val="clear" w:color="auto" w:fill="134F5C"/>
            <w:tcMar>
              <w:top w:w="80" w:type="dxa"/>
              <w:left w:w="100" w:type="dxa"/>
              <w:bottom w:w="80" w:type="dxa"/>
              <w:right w:w="100" w:type="dxa"/>
            </w:tcMar>
          </w:tcPr>
          <w:p w14:paraId="602C9C7A" w14:textId="77777777" w:rsidR="00702F5C" w:rsidRDefault="00000000">
            <w:pPr>
              <w:jc w:val="center"/>
            </w:pPr>
            <w:r>
              <w:t>Competitor</w:t>
            </w:r>
          </w:p>
        </w:tc>
        <w:tc>
          <w:tcPr>
            <w:tcW w:w="1555" w:type="dxa"/>
            <w:tcBorders>
              <w:top w:val="single" w:sz="4" w:space="0" w:color="CCCCCC"/>
              <w:left w:val="nil"/>
              <w:bottom w:val="single" w:sz="4" w:space="0" w:color="CCCCCC"/>
              <w:right w:val="single" w:sz="4" w:space="0" w:color="CCCCCC"/>
            </w:tcBorders>
            <w:shd w:val="clear" w:color="auto" w:fill="134F5C"/>
            <w:tcMar>
              <w:top w:w="80" w:type="dxa"/>
              <w:left w:w="100" w:type="dxa"/>
              <w:bottom w:w="80" w:type="dxa"/>
              <w:right w:w="100" w:type="dxa"/>
            </w:tcMar>
          </w:tcPr>
          <w:p w14:paraId="2A7BE9A9" w14:textId="77777777" w:rsidR="00702F5C" w:rsidRDefault="00000000">
            <w:pPr>
              <w:jc w:val="center"/>
            </w:pPr>
            <w:r>
              <w:t>Type</w:t>
            </w:r>
          </w:p>
        </w:tc>
        <w:tc>
          <w:tcPr>
            <w:tcW w:w="1847" w:type="dxa"/>
            <w:tcBorders>
              <w:top w:val="single" w:sz="4" w:space="0" w:color="CCCCCC"/>
              <w:left w:val="nil"/>
              <w:bottom w:val="single" w:sz="4" w:space="0" w:color="CCCCCC"/>
              <w:right w:val="single" w:sz="4" w:space="0" w:color="CCCCCC"/>
            </w:tcBorders>
            <w:shd w:val="clear" w:color="auto" w:fill="134F5C"/>
            <w:tcMar>
              <w:top w:w="80" w:type="dxa"/>
              <w:left w:w="100" w:type="dxa"/>
              <w:bottom w:w="80" w:type="dxa"/>
              <w:right w:w="100" w:type="dxa"/>
            </w:tcMar>
          </w:tcPr>
          <w:p w14:paraId="6EBFBD1A" w14:textId="77777777" w:rsidR="00702F5C" w:rsidRDefault="00000000">
            <w:pPr>
              <w:jc w:val="center"/>
            </w:pPr>
            <w:r>
              <w:t>What They Offer</w:t>
            </w:r>
          </w:p>
        </w:tc>
        <w:tc>
          <w:tcPr>
            <w:tcW w:w="1834" w:type="dxa"/>
            <w:tcBorders>
              <w:top w:val="single" w:sz="4" w:space="0" w:color="CCCCCC"/>
              <w:left w:val="nil"/>
              <w:bottom w:val="single" w:sz="4" w:space="0" w:color="CCCCCC"/>
              <w:right w:val="single" w:sz="4" w:space="0" w:color="CCCCCC"/>
            </w:tcBorders>
            <w:shd w:val="clear" w:color="auto" w:fill="134F5C"/>
            <w:tcMar>
              <w:top w:w="80" w:type="dxa"/>
              <w:left w:w="100" w:type="dxa"/>
              <w:bottom w:w="80" w:type="dxa"/>
              <w:right w:w="100" w:type="dxa"/>
            </w:tcMar>
          </w:tcPr>
          <w:p w14:paraId="4CC67DF0" w14:textId="77777777" w:rsidR="00702F5C" w:rsidRDefault="00000000">
            <w:pPr>
              <w:jc w:val="center"/>
            </w:pPr>
            <w:r>
              <w:t>Key Limitation</w:t>
            </w:r>
          </w:p>
        </w:tc>
        <w:tc>
          <w:tcPr>
            <w:tcW w:w="2100" w:type="dxa"/>
            <w:tcBorders>
              <w:top w:val="single" w:sz="4" w:space="0" w:color="CCCCCC"/>
              <w:left w:val="nil"/>
              <w:bottom w:val="single" w:sz="4" w:space="0" w:color="CCCCCC"/>
              <w:right w:val="single" w:sz="4" w:space="0" w:color="CCCCCC"/>
            </w:tcBorders>
            <w:shd w:val="clear" w:color="auto" w:fill="134F5C"/>
            <w:tcMar>
              <w:top w:w="80" w:type="dxa"/>
              <w:left w:w="100" w:type="dxa"/>
              <w:bottom w:w="80" w:type="dxa"/>
              <w:right w:w="100" w:type="dxa"/>
            </w:tcMar>
          </w:tcPr>
          <w:p w14:paraId="75DA44D0" w14:textId="77777777" w:rsidR="00702F5C" w:rsidRDefault="00000000">
            <w:pPr>
              <w:jc w:val="center"/>
            </w:pPr>
            <w:r>
              <w:t>Our Differentiation</w:t>
            </w:r>
          </w:p>
        </w:tc>
      </w:tr>
      <w:tr w:rsidR="00702F5C" w14:paraId="4F758420" w14:textId="77777777">
        <w:trPr>
          <w:trHeight w:val="720"/>
        </w:trPr>
        <w:tc>
          <w:tcPr>
            <w:tcW w:w="1688" w:type="dxa"/>
            <w:tcBorders>
              <w:top w:val="nil"/>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0D7D7C6" w14:textId="77777777" w:rsidR="00702F5C" w:rsidRDefault="00000000">
            <w:pPr>
              <w:jc w:val="both"/>
            </w:pPr>
            <w:r>
              <w:t>Capsim (1,000+ institutions)</w:t>
            </w:r>
          </w:p>
        </w:tc>
        <w:tc>
          <w:tcPr>
            <w:tcW w:w="1555" w:type="dxa"/>
            <w:tcBorders>
              <w:top w:val="nil"/>
              <w:left w:val="nil"/>
              <w:bottom w:val="single" w:sz="4" w:space="0" w:color="CCCCCC"/>
              <w:right w:val="single" w:sz="4" w:space="0" w:color="CCCCCC"/>
            </w:tcBorders>
            <w:shd w:val="clear" w:color="auto" w:fill="F2F2F2"/>
            <w:tcMar>
              <w:top w:w="60" w:type="dxa"/>
              <w:left w:w="100" w:type="dxa"/>
              <w:bottom w:w="60" w:type="dxa"/>
              <w:right w:w="100" w:type="dxa"/>
            </w:tcMar>
          </w:tcPr>
          <w:p w14:paraId="237DB2AE" w14:textId="77777777" w:rsidR="00702F5C" w:rsidRDefault="00000000">
            <w:pPr>
              <w:jc w:val="both"/>
            </w:pPr>
            <w:r>
              <w:t>Business Simulation</w:t>
            </w:r>
          </w:p>
        </w:tc>
        <w:tc>
          <w:tcPr>
            <w:tcW w:w="1847" w:type="dxa"/>
            <w:tcBorders>
              <w:top w:val="nil"/>
              <w:left w:val="nil"/>
              <w:bottom w:val="single" w:sz="4" w:space="0" w:color="CCCCCC"/>
              <w:right w:val="single" w:sz="4" w:space="0" w:color="CCCCCC"/>
            </w:tcBorders>
            <w:shd w:val="clear" w:color="auto" w:fill="F2F2F2"/>
            <w:tcMar>
              <w:top w:w="60" w:type="dxa"/>
              <w:left w:w="100" w:type="dxa"/>
              <w:bottom w:w="60" w:type="dxa"/>
              <w:right w:w="100" w:type="dxa"/>
            </w:tcMar>
          </w:tcPr>
          <w:p w14:paraId="283C787B" w14:textId="77777777" w:rsidR="00702F5C" w:rsidRDefault="00000000">
            <w:pPr>
              <w:jc w:val="both"/>
            </w:pPr>
            <w:r>
              <w:t>Multi-round competitive simulation: strategy, finance, marketing, HR</w:t>
            </w:r>
          </w:p>
        </w:tc>
        <w:tc>
          <w:tcPr>
            <w:tcW w:w="1834" w:type="dxa"/>
            <w:tcBorders>
              <w:top w:val="nil"/>
              <w:left w:val="nil"/>
              <w:bottom w:val="single" w:sz="4" w:space="0" w:color="CCCCCC"/>
              <w:right w:val="single" w:sz="4" w:space="0" w:color="CCCCCC"/>
            </w:tcBorders>
            <w:shd w:val="clear" w:color="auto" w:fill="F2F2F2"/>
            <w:tcMar>
              <w:top w:w="60" w:type="dxa"/>
              <w:left w:w="100" w:type="dxa"/>
              <w:bottom w:w="60" w:type="dxa"/>
              <w:right w:w="100" w:type="dxa"/>
            </w:tcMar>
          </w:tcPr>
          <w:p w14:paraId="32E6D429" w14:textId="77777777" w:rsidR="00702F5C" w:rsidRDefault="00000000">
            <w:pPr>
              <w:jc w:val="both"/>
            </w:pPr>
            <w:r>
              <w:t>Feedback is score/rank-based; no AI explanation of why decisions failed</w:t>
            </w:r>
          </w:p>
        </w:tc>
        <w:tc>
          <w:tcPr>
            <w:tcW w:w="2100" w:type="dxa"/>
            <w:tcBorders>
              <w:top w:val="nil"/>
              <w:left w:val="nil"/>
              <w:bottom w:val="single" w:sz="4" w:space="0" w:color="CCCCCC"/>
              <w:right w:val="single" w:sz="4" w:space="0" w:color="CCCCCC"/>
            </w:tcBorders>
            <w:shd w:val="clear" w:color="auto" w:fill="F2F2F2"/>
            <w:tcMar>
              <w:top w:w="60" w:type="dxa"/>
              <w:left w:w="100" w:type="dxa"/>
              <w:bottom w:w="60" w:type="dxa"/>
              <w:right w:w="100" w:type="dxa"/>
            </w:tcMar>
          </w:tcPr>
          <w:p w14:paraId="5C65FBB0" w14:textId="77777777" w:rsidR="00702F5C" w:rsidRDefault="00000000">
            <w:pPr>
              <w:jc w:val="both"/>
            </w:pPr>
            <w:r>
              <w:t>AI post-round critique pinpoints exact decision, cause, and correction</w:t>
            </w:r>
          </w:p>
        </w:tc>
      </w:tr>
      <w:tr w:rsidR="00702F5C" w14:paraId="5364F785" w14:textId="77777777">
        <w:trPr>
          <w:trHeight w:val="720"/>
        </w:trPr>
        <w:tc>
          <w:tcPr>
            <w:tcW w:w="1688" w:type="dxa"/>
            <w:tcBorders>
              <w:top w:val="nil"/>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A5A9CC2" w14:textId="77777777" w:rsidR="00702F5C" w:rsidRDefault="00000000">
            <w:pPr>
              <w:jc w:val="both"/>
            </w:pPr>
            <w:r>
              <w:t>Harvard Business Publishing</w:t>
            </w:r>
          </w:p>
        </w:tc>
        <w:tc>
          <w:tcPr>
            <w:tcW w:w="1555" w:type="dxa"/>
            <w:tcBorders>
              <w:top w:val="nil"/>
              <w:left w:val="nil"/>
              <w:bottom w:val="single" w:sz="4" w:space="0" w:color="CCCCCC"/>
              <w:right w:val="single" w:sz="4" w:space="0" w:color="CCCCCC"/>
            </w:tcBorders>
            <w:shd w:val="clear" w:color="auto" w:fill="FFFFFF"/>
            <w:tcMar>
              <w:top w:w="60" w:type="dxa"/>
              <w:left w:w="100" w:type="dxa"/>
              <w:bottom w:w="60" w:type="dxa"/>
              <w:right w:w="100" w:type="dxa"/>
            </w:tcMar>
          </w:tcPr>
          <w:p w14:paraId="313CB637" w14:textId="77777777" w:rsidR="00702F5C" w:rsidRDefault="00000000">
            <w:pPr>
              <w:jc w:val="both"/>
            </w:pPr>
            <w:r>
              <w:t>Case-based Platform</w:t>
            </w:r>
          </w:p>
        </w:tc>
        <w:tc>
          <w:tcPr>
            <w:tcW w:w="1847" w:type="dxa"/>
            <w:tcBorders>
              <w:top w:val="nil"/>
              <w:left w:val="nil"/>
              <w:bottom w:val="single" w:sz="4" w:space="0" w:color="CCCCCC"/>
              <w:right w:val="single" w:sz="4" w:space="0" w:color="CCCCCC"/>
            </w:tcBorders>
            <w:shd w:val="clear" w:color="auto" w:fill="FFFFFF"/>
            <w:tcMar>
              <w:top w:w="60" w:type="dxa"/>
              <w:left w:w="100" w:type="dxa"/>
              <w:bottom w:w="60" w:type="dxa"/>
              <w:right w:w="100" w:type="dxa"/>
            </w:tcMar>
          </w:tcPr>
          <w:p w14:paraId="01271980" w14:textId="77777777" w:rsidR="00702F5C" w:rsidRDefault="00000000">
            <w:pPr>
              <w:jc w:val="both"/>
            </w:pPr>
            <w:r>
              <w:t>Structured simulations with fixed scenario and outcome logic</w:t>
            </w:r>
          </w:p>
        </w:tc>
        <w:tc>
          <w:tcPr>
            <w:tcW w:w="1834" w:type="dxa"/>
            <w:tcBorders>
              <w:top w:val="nil"/>
              <w:left w:val="nil"/>
              <w:bottom w:val="single" w:sz="4" w:space="0" w:color="CCCCCC"/>
              <w:right w:val="single" w:sz="4" w:space="0" w:color="CCCCCC"/>
            </w:tcBorders>
            <w:shd w:val="clear" w:color="auto" w:fill="FFFFFF"/>
            <w:tcMar>
              <w:top w:w="60" w:type="dxa"/>
              <w:left w:w="100" w:type="dxa"/>
              <w:bottom w:w="60" w:type="dxa"/>
              <w:right w:w="100" w:type="dxa"/>
            </w:tcMar>
          </w:tcPr>
          <w:p w14:paraId="5409FBD8" w14:textId="77777777" w:rsidR="00702F5C" w:rsidRDefault="00000000">
            <w:pPr>
              <w:jc w:val="both"/>
            </w:pPr>
            <w:r>
              <w:t>Pre-scripted; one team's actions don't affect other teams' market</w:t>
            </w:r>
          </w:p>
        </w:tc>
        <w:tc>
          <w:tcPr>
            <w:tcW w:w="2100" w:type="dxa"/>
            <w:tcBorders>
              <w:top w:val="nil"/>
              <w:left w:val="nil"/>
              <w:bottom w:val="single" w:sz="4" w:space="0" w:color="CCCCCC"/>
              <w:right w:val="single" w:sz="4" w:space="0" w:color="CCCCCC"/>
            </w:tcBorders>
            <w:shd w:val="clear" w:color="auto" w:fill="FFFFFF"/>
            <w:tcMar>
              <w:top w:w="60" w:type="dxa"/>
              <w:left w:w="100" w:type="dxa"/>
              <w:bottom w:w="60" w:type="dxa"/>
              <w:right w:w="100" w:type="dxa"/>
            </w:tcMar>
          </w:tcPr>
          <w:p w14:paraId="1E0F7E17" w14:textId="77777777" w:rsidR="00702F5C" w:rsidRDefault="00000000">
            <w:pPr>
              <w:jc w:val="both"/>
            </w:pPr>
            <w:r>
              <w:t>Shared economy  every team decision reshapes conditions for all others</w:t>
            </w:r>
          </w:p>
        </w:tc>
      </w:tr>
      <w:tr w:rsidR="00702F5C" w14:paraId="12993825" w14:textId="77777777">
        <w:trPr>
          <w:trHeight w:val="720"/>
        </w:trPr>
        <w:tc>
          <w:tcPr>
            <w:tcW w:w="1688" w:type="dxa"/>
            <w:tcBorders>
              <w:top w:val="nil"/>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37887E0" w14:textId="77777777" w:rsidR="00702F5C" w:rsidRDefault="00000000">
            <w:pPr>
              <w:jc w:val="both"/>
            </w:pPr>
            <w:r>
              <w:t>Generic LMS (Canvas, Moodle)</w:t>
            </w:r>
          </w:p>
        </w:tc>
        <w:tc>
          <w:tcPr>
            <w:tcW w:w="1555" w:type="dxa"/>
            <w:tcBorders>
              <w:top w:val="nil"/>
              <w:left w:val="nil"/>
              <w:bottom w:val="single" w:sz="4" w:space="0" w:color="CCCCCC"/>
              <w:right w:val="single" w:sz="4" w:space="0" w:color="CCCCCC"/>
            </w:tcBorders>
            <w:shd w:val="clear" w:color="auto" w:fill="F2F2F2"/>
            <w:tcMar>
              <w:top w:w="60" w:type="dxa"/>
              <w:left w:w="100" w:type="dxa"/>
              <w:bottom w:w="60" w:type="dxa"/>
              <w:right w:w="100" w:type="dxa"/>
            </w:tcMar>
          </w:tcPr>
          <w:p w14:paraId="22017F0F" w14:textId="77777777" w:rsidR="00702F5C" w:rsidRDefault="00000000">
            <w:pPr>
              <w:jc w:val="both"/>
            </w:pPr>
            <w:r>
              <w:t>Learning Management</w:t>
            </w:r>
          </w:p>
        </w:tc>
        <w:tc>
          <w:tcPr>
            <w:tcW w:w="1847" w:type="dxa"/>
            <w:tcBorders>
              <w:top w:val="nil"/>
              <w:left w:val="nil"/>
              <w:bottom w:val="single" w:sz="4" w:space="0" w:color="CCCCCC"/>
              <w:right w:val="single" w:sz="4" w:space="0" w:color="CCCCCC"/>
            </w:tcBorders>
            <w:shd w:val="clear" w:color="auto" w:fill="F2F2F2"/>
            <w:tcMar>
              <w:top w:w="60" w:type="dxa"/>
              <w:left w:w="100" w:type="dxa"/>
              <w:bottom w:w="60" w:type="dxa"/>
              <w:right w:w="100" w:type="dxa"/>
            </w:tcMar>
          </w:tcPr>
          <w:p w14:paraId="2E741E65" w14:textId="77777777" w:rsidR="00702F5C" w:rsidRDefault="00000000">
            <w:pPr>
              <w:jc w:val="both"/>
            </w:pPr>
            <w:r>
              <w:t>Content delivery, assignments, gradebook</w:t>
            </w:r>
          </w:p>
        </w:tc>
        <w:tc>
          <w:tcPr>
            <w:tcW w:w="1834" w:type="dxa"/>
            <w:tcBorders>
              <w:top w:val="nil"/>
              <w:left w:val="nil"/>
              <w:bottom w:val="single" w:sz="4" w:space="0" w:color="CCCCCC"/>
              <w:right w:val="single" w:sz="4" w:space="0" w:color="CCCCCC"/>
            </w:tcBorders>
            <w:shd w:val="clear" w:color="auto" w:fill="F2F2F2"/>
            <w:tcMar>
              <w:top w:w="60" w:type="dxa"/>
              <w:left w:w="100" w:type="dxa"/>
              <w:bottom w:w="60" w:type="dxa"/>
              <w:right w:w="100" w:type="dxa"/>
            </w:tcMar>
          </w:tcPr>
          <w:p w14:paraId="37BEC828" w14:textId="77777777" w:rsidR="00702F5C" w:rsidRDefault="00000000">
            <w:pPr>
              <w:jc w:val="both"/>
            </w:pPr>
            <w:r>
              <w:t>No simulation; students consume content, not run businesses</w:t>
            </w:r>
          </w:p>
        </w:tc>
        <w:tc>
          <w:tcPr>
            <w:tcW w:w="2100" w:type="dxa"/>
            <w:tcBorders>
              <w:top w:val="nil"/>
              <w:left w:val="nil"/>
              <w:bottom w:val="single" w:sz="4" w:space="0" w:color="CCCCCC"/>
              <w:right w:val="single" w:sz="4" w:space="0" w:color="CCCCCC"/>
            </w:tcBorders>
            <w:shd w:val="clear" w:color="auto" w:fill="F2F2F2"/>
            <w:tcMar>
              <w:top w:w="60" w:type="dxa"/>
              <w:left w:w="100" w:type="dxa"/>
              <w:bottom w:w="60" w:type="dxa"/>
              <w:right w:w="100" w:type="dxa"/>
            </w:tcMar>
          </w:tcPr>
          <w:p w14:paraId="2D117A9A" w14:textId="77777777" w:rsidR="00702F5C" w:rsidRDefault="00000000">
            <w:pPr>
              <w:jc w:val="both"/>
            </w:pPr>
            <w:r>
              <w:t>Students manage live virtual companies with real P&amp;L across rounds</w:t>
            </w:r>
          </w:p>
        </w:tc>
      </w:tr>
      <w:tr w:rsidR="00702F5C" w14:paraId="45C6031F" w14:textId="77777777">
        <w:trPr>
          <w:trHeight w:val="870"/>
        </w:trPr>
        <w:tc>
          <w:tcPr>
            <w:tcW w:w="1688" w:type="dxa"/>
            <w:tcBorders>
              <w:top w:val="nil"/>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B0BA0E3" w14:textId="77777777" w:rsidR="00702F5C" w:rsidRDefault="00000000">
            <w:pPr>
              <w:jc w:val="both"/>
            </w:pPr>
            <w:r>
              <w:t>General AI Tutors (ChatGPT)</w:t>
            </w:r>
          </w:p>
        </w:tc>
        <w:tc>
          <w:tcPr>
            <w:tcW w:w="1555" w:type="dxa"/>
            <w:tcBorders>
              <w:top w:val="nil"/>
              <w:left w:val="nil"/>
              <w:bottom w:val="single" w:sz="4" w:space="0" w:color="CCCCCC"/>
              <w:right w:val="single" w:sz="4" w:space="0" w:color="CCCCCC"/>
            </w:tcBorders>
            <w:shd w:val="clear" w:color="auto" w:fill="FFFFFF"/>
            <w:tcMar>
              <w:top w:w="60" w:type="dxa"/>
              <w:left w:w="100" w:type="dxa"/>
              <w:bottom w:w="60" w:type="dxa"/>
              <w:right w:w="100" w:type="dxa"/>
            </w:tcMar>
          </w:tcPr>
          <w:p w14:paraId="2827D5D8" w14:textId="77777777" w:rsidR="00702F5C" w:rsidRDefault="00000000">
            <w:pPr>
              <w:jc w:val="both"/>
            </w:pPr>
            <w:r>
              <w:t>AI Education</w:t>
            </w:r>
          </w:p>
        </w:tc>
        <w:tc>
          <w:tcPr>
            <w:tcW w:w="1847" w:type="dxa"/>
            <w:tcBorders>
              <w:top w:val="nil"/>
              <w:left w:val="nil"/>
              <w:bottom w:val="single" w:sz="4" w:space="0" w:color="CCCCCC"/>
              <w:right w:val="single" w:sz="4" w:space="0" w:color="CCCCCC"/>
            </w:tcBorders>
            <w:shd w:val="clear" w:color="auto" w:fill="FFFFFF"/>
            <w:tcMar>
              <w:top w:w="60" w:type="dxa"/>
              <w:left w:w="100" w:type="dxa"/>
              <w:bottom w:w="60" w:type="dxa"/>
              <w:right w:w="100" w:type="dxa"/>
            </w:tcMar>
          </w:tcPr>
          <w:p w14:paraId="1B438DD9" w14:textId="77777777" w:rsidR="00702F5C" w:rsidRDefault="00000000">
            <w:pPr>
              <w:jc w:val="both"/>
            </w:pPr>
            <w:r>
              <w:t>Q&amp;A, explanations, study support</w:t>
            </w:r>
          </w:p>
        </w:tc>
        <w:tc>
          <w:tcPr>
            <w:tcW w:w="1834" w:type="dxa"/>
            <w:tcBorders>
              <w:top w:val="nil"/>
              <w:left w:val="nil"/>
              <w:bottom w:val="single" w:sz="4" w:space="0" w:color="CCCCCC"/>
              <w:right w:val="single" w:sz="4" w:space="0" w:color="CCCCCC"/>
            </w:tcBorders>
            <w:shd w:val="clear" w:color="auto" w:fill="FFFFFF"/>
            <w:tcMar>
              <w:top w:w="60" w:type="dxa"/>
              <w:left w:w="100" w:type="dxa"/>
              <w:bottom w:w="60" w:type="dxa"/>
              <w:right w:w="100" w:type="dxa"/>
            </w:tcMar>
          </w:tcPr>
          <w:p w14:paraId="09A57129" w14:textId="77777777" w:rsidR="00702F5C" w:rsidRDefault="00000000">
            <w:pPr>
              <w:jc w:val="both"/>
            </w:pPr>
            <w:r>
              <w:t>Cannot simulate competition or evaluate real team decisions in context</w:t>
            </w:r>
          </w:p>
        </w:tc>
        <w:tc>
          <w:tcPr>
            <w:tcW w:w="2100" w:type="dxa"/>
            <w:tcBorders>
              <w:top w:val="nil"/>
              <w:left w:val="nil"/>
              <w:bottom w:val="single" w:sz="4" w:space="0" w:color="CCCCCC"/>
              <w:right w:val="single" w:sz="4" w:space="0" w:color="CCCCCC"/>
            </w:tcBorders>
            <w:shd w:val="clear" w:color="auto" w:fill="FFFFFF"/>
            <w:tcMar>
              <w:top w:w="60" w:type="dxa"/>
              <w:left w:w="100" w:type="dxa"/>
              <w:bottom w:w="60" w:type="dxa"/>
              <w:right w:w="100" w:type="dxa"/>
            </w:tcMar>
          </w:tcPr>
          <w:p w14:paraId="2AF2F5A2" w14:textId="77777777" w:rsidR="00702F5C" w:rsidRDefault="00000000">
            <w:pPr>
              <w:jc w:val="both"/>
            </w:pPr>
            <w:r>
              <w:t>AI evaluates actual decisions made by real teams in a live environment</w:t>
            </w:r>
          </w:p>
        </w:tc>
      </w:tr>
    </w:tbl>
    <w:p w14:paraId="587289BD" w14:textId="77777777" w:rsidR="00702F5C" w:rsidRDefault="00000000">
      <w:pPr>
        <w:spacing w:before="40" w:after="60"/>
        <w:jc w:val="center"/>
      </w:pPr>
      <w:r>
        <w:rPr>
          <w:i/>
          <w:iCs/>
        </w:rPr>
        <w:t>Table F.1  Competitor comparison. Cesim client data sourced from cesim.com. All other assessments based on publicly available product documentation.</w:t>
      </w:r>
    </w:p>
    <w:p w14:paraId="3D1AEA75" w14:textId="77777777" w:rsidR="00702F5C" w:rsidRDefault="00000000">
      <w:pPr>
        <w:spacing w:before="240" w:after="240"/>
        <w:jc w:val="both"/>
        <w:rPr>
          <w:b/>
          <w:bCs/>
        </w:rPr>
      </w:pPr>
      <w:r>
        <w:rPr>
          <w:b/>
          <w:bCs/>
        </w:rPr>
        <w:t>Planned Sales Volume and Revenue Projections</w:t>
      </w:r>
    </w:p>
    <w:p w14:paraId="4CA15954" w14:textId="77777777" w:rsidR="00702F5C" w:rsidRDefault="00000000">
      <w:pPr>
        <w:spacing w:before="40" w:after="60"/>
        <w:jc w:val="both"/>
      </w:pPr>
      <w:r>
        <w:lastRenderedPageBreak/>
        <w:t>The platform will generate revenue through institution-level annual licensing, benchmarked against comparable tools like Cesim which range from $3,000 to $15,000 per year. The go-to-market strategy will follow a pilot-first approach beginning with subsidized deployments in 2–3 universities to generate performance data and testimonials before moving to paid adoption. Once embedded in course structure, B2B institutional EdTech platforms tend to achieve annual retention rates of approximately 85%, making early adoption investment disproportionately valuable over the long term.</w:t>
      </w:r>
    </w:p>
    <w:p w14:paraId="64ECC8A6" w14:textId="77777777" w:rsidR="00702F5C" w:rsidRDefault="00702F5C">
      <w:pPr>
        <w:spacing w:before="60" w:after="80"/>
        <w:ind w:firstLine="720"/>
        <w:jc w:val="both"/>
      </w:pPr>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61"/>
        <w:gridCol w:w="1645"/>
        <w:gridCol w:w="1858"/>
        <w:gridCol w:w="1858"/>
        <w:gridCol w:w="2203"/>
      </w:tblGrid>
      <w:tr w:rsidR="00702F5C" w14:paraId="1E709522" w14:textId="77777777">
        <w:trPr>
          <w:trHeight w:val="660"/>
        </w:trPr>
        <w:tc>
          <w:tcPr>
            <w:tcW w:w="1460" w:type="dxa"/>
            <w:tcBorders>
              <w:top w:val="single" w:sz="6" w:space="0" w:color="CCCCCC"/>
              <w:left w:val="single" w:sz="6" w:space="0" w:color="CCCCCC"/>
              <w:bottom w:val="single" w:sz="6" w:space="0" w:color="CCCCCC"/>
              <w:right w:val="single" w:sz="6" w:space="0" w:color="CCCCCC"/>
            </w:tcBorders>
            <w:shd w:val="clear" w:color="auto" w:fill="134F5C"/>
            <w:tcMar>
              <w:top w:w="100" w:type="dxa"/>
              <w:left w:w="120" w:type="dxa"/>
              <w:bottom w:w="100" w:type="dxa"/>
              <w:right w:w="120" w:type="dxa"/>
            </w:tcMar>
          </w:tcPr>
          <w:p w14:paraId="6ADA800A" w14:textId="77777777" w:rsidR="00702F5C" w:rsidRDefault="00000000">
            <w:pPr>
              <w:jc w:val="center"/>
              <w:rPr>
                <w:b/>
                <w:bCs/>
              </w:rPr>
            </w:pPr>
            <w:r>
              <w:rPr>
                <w:b/>
                <w:bCs/>
              </w:rPr>
              <w:t>Stage</w:t>
            </w:r>
          </w:p>
        </w:tc>
        <w:tc>
          <w:tcPr>
            <w:tcW w:w="1645" w:type="dxa"/>
            <w:tcBorders>
              <w:top w:val="single" w:sz="6" w:space="0" w:color="CCCCCC"/>
              <w:left w:val="nil"/>
              <w:bottom w:val="single" w:sz="6" w:space="0" w:color="CCCCCC"/>
              <w:right w:val="single" w:sz="6" w:space="0" w:color="CCCCCC"/>
            </w:tcBorders>
            <w:shd w:val="clear" w:color="auto" w:fill="134F5C"/>
            <w:tcMar>
              <w:top w:w="100" w:type="dxa"/>
              <w:left w:w="120" w:type="dxa"/>
              <w:bottom w:w="100" w:type="dxa"/>
              <w:right w:w="120" w:type="dxa"/>
            </w:tcMar>
          </w:tcPr>
          <w:p w14:paraId="5B6EE383" w14:textId="77777777" w:rsidR="00702F5C" w:rsidRDefault="00000000">
            <w:pPr>
              <w:jc w:val="center"/>
              <w:rPr>
                <w:b/>
                <w:bCs/>
              </w:rPr>
            </w:pPr>
            <w:r>
              <w:rPr>
                <w:b/>
                <w:bCs/>
              </w:rPr>
              <w:t>Timeframe</w:t>
            </w:r>
          </w:p>
        </w:tc>
        <w:tc>
          <w:tcPr>
            <w:tcW w:w="1858" w:type="dxa"/>
            <w:tcBorders>
              <w:top w:val="single" w:sz="6" w:space="0" w:color="CCCCCC"/>
              <w:left w:val="nil"/>
              <w:bottom w:val="single" w:sz="6" w:space="0" w:color="CCCCCC"/>
              <w:right w:val="single" w:sz="6" w:space="0" w:color="CCCCCC"/>
            </w:tcBorders>
            <w:shd w:val="clear" w:color="auto" w:fill="134F5C"/>
            <w:tcMar>
              <w:top w:w="100" w:type="dxa"/>
              <w:left w:w="120" w:type="dxa"/>
              <w:bottom w:w="100" w:type="dxa"/>
              <w:right w:w="120" w:type="dxa"/>
            </w:tcMar>
          </w:tcPr>
          <w:p w14:paraId="481AF760" w14:textId="77777777" w:rsidR="00702F5C" w:rsidRDefault="00000000">
            <w:pPr>
              <w:jc w:val="center"/>
              <w:rPr>
                <w:b/>
                <w:bCs/>
              </w:rPr>
            </w:pPr>
            <w:r>
              <w:rPr>
                <w:b/>
                <w:bCs/>
              </w:rPr>
              <w:t>Target Institutions</w:t>
            </w:r>
          </w:p>
        </w:tc>
        <w:tc>
          <w:tcPr>
            <w:tcW w:w="1858" w:type="dxa"/>
            <w:tcBorders>
              <w:top w:val="single" w:sz="6" w:space="0" w:color="CCCCCC"/>
              <w:left w:val="nil"/>
              <w:bottom w:val="single" w:sz="6" w:space="0" w:color="CCCCCC"/>
              <w:right w:val="single" w:sz="6" w:space="0" w:color="CCCCCC"/>
            </w:tcBorders>
            <w:shd w:val="clear" w:color="auto" w:fill="134F5C"/>
            <w:tcMar>
              <w:top w:w="100" w:type="dxa"/>
              <w:left w:w="120" w:type="dxa"/>
              <w:bottom w:w="100" w:type="dxa"/>
              <w:right w:w="120" w:type="dxa"/>
            </w:tcMar>
          </w:tcPr>
          <w:p w14:paraId="4D90EF19" w14:textId="77777777" w:rsidR="00702F5C" w:rsidRDefault="00000000">
            <w:pPr>
              <w:jc w:val="center"/>
              <w:rPr>
                <w:b/>
                <w:bCs/>
              </w:rPr>
            </w:pPr>
            <w:r>
              <w:rPr>
                <w:b/>
                <w:bCs/>
              </w:rPr>
              <w:t>Est. License / Year</w:t>
            </w:r>
          </w:p>
        </w:tc>
        <w:tc>
          <w:tcPr>
            <w:tcW w:w="2203" w:type="dxa"/>
            <w:tcBorders>
              <w:top w:val="single" w:sz="6" w:space="0" w:color="CCCCCC"/>
              <w:left w:val="nil"/>
              <w:bottom w:val="single" w:sz="6" w:space="0" w:color="CCCCCC"/>
              <w:right w:val="single" w:sz="6" w:space="0" w:color="CCCCCC"/>
            </w:tcBorders>
            <w:shd w:val="clear" w:color="auto" w:fill="134F5C"/>
            <w:tcMar>
              <w:top w:w="100" w:type="dxa"/>
              <w:left w:w="120" w:type="dxa"/>
              <w:bottom w:w="100" w:type="dxa"/>
              <w:right w:w="120" w:type="dxa"/>
            </w:tcMar>
          </w:tcPr>
          <w:p w14:paraId="4C316806" w14:textId="77777777" w:rsidR="00702F5C" w:rsidRDefault="00000000">
            <w:pPr>
              <w:jc w:val="center"/>
              <w:rPr>
                <w:b/>
                <w:bCs/>
              </w:rPr>
            </w:pPr>
            <w:r>
              <w:rPr>
                <w:b/>
                <w:bCs/>
              </w:rPr>
              <w:t>Projected Revenue Range</w:t>
            </w:r>
          </w:p>
        </w:tc>
      </w:tr>
      <w:tr w:rsidR="00702F5C" w14:paraId="5D227B81" w14:textId="77777777">
        <w:trPr>
          <w:trHeight w:val="855"/>
        </w:trPr>
        <w:tc>
          <w:tcPr>
            <w:tcW w:w="1460" w:type="dxa"/>
            <w:tcBorders>
              <w:top w:val="nil"/>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601602DB" w14:textId="77777777" w:rsidR="00702F5C" w:rsidRDefault="00000000">
            <w:pPr>
              <w:rPr>
                <w:b/>
                <w:bCs/>
              </w:rPr>
            </w:pPr>
            <w:r>
              <w:rPr>
                <w:b/>
                <w:bCs/>
              </w:rPr>
              <w:t>Prototype &amp; Pilot</w:t>
            </w:r>
          </w:p>
        </w:tc>
        <w:tc>
          <w:tcPr>
            <w:tcW w:w="1645" w:type="dxa"/>
            <w:tcBorders>
              <w:top w:val="nil"/>
              <w:left w:val="nil"/>
              <w:bottom w:val="single" w:sz="6" w:space="0" w:color="CCCCCC"/>
              <w:right w:val="single" w:sz="6" w:space="0" w:color="CCCCCC"/>
            </w:tcBorders>
            <w:shd w:val="clear" w:color="auto" w:fill="F2F2F2"/>
            <w:tcMar>
              <w:top w:w="80" w:type="dxa"/>
              <w:left w:w="120" w:type="dxa"/>
              <w:bottom w:w="80" w:type="dxa"/>
              <w:right w:w="120" w:type="dxa"/>
            </w:tcMar>
          </w:tcPr>
          <w:p w14:paraId="47786CAA" w14:textId="77777777" w:rsidR="00702F5C" w:rsidRDefault="00000000">
            <w:pPr>
              <w:jc w:val="center"/>
              <w:rPr>
                <w:b/>
                <w:bCs/>
              </w:rPr>
            </w:pPr>
            <w:r>
              <w:rPr>
                <w:b/>
                <w:bCs/>
              </w:rPr>
              <w:t>Week 1–8</w:t>
            </w:r>
          </w:p>
        </w:tc>
        <w:tc>
          <w:tcPr>
            <w:tcW w:w="1858" w:type="dxa"/>
            <w:tcBorders>
              <w:top w:val="nil"/>
              <w:left w:val="nil"/>
              <w:bottom w:val="single" w:sz="6" w:space="0" w:color="CCCCCC"/>
              <w:right w:val="single" w:sz="6" w:space="0" w:color="CCCCCC"/>
            </w:tcBorders>
            <w:shd w:val="clear" w:color="auto" w:fill="F2F2F2"/>
            <w:tcMar>
              <w:top w:w="80" w:type="dxa"/>
              <w:left w:w="120" w:type="dxa"/>
              <w:bottom w:w="80" w:type="dxa"/>
              <w:right w:w="120" w:type="dxa"/>
            </w:tcMar>
          </w:tcPr>
          <w:p w14:paraId="71ED9F2E" w14:textId="77777777" w:rsidR="00702F5C" w:rsidRDefault="00000000">
            <w:pPr>
              <w:jc w:val="center"/>
              <w:rPr>
                <w:b/>
                <w:bCs/>
              </w:rPr>
            </w:pPr>
            <w:r>
              <w:rPr>
                <w:b/>
                <w:bCs/>
              </w:rPr>
              <w:t>1–3 universities (subsidized/free)</w:t>
            </w:r>
          </w:p>
        </w:tc>
        <w:tc>
          <w:tcPr>
            <w:tcW w:w="1858" w:type="dxa"/>
            <w:tcBorders>
              <w:top w:val="nil"/>
              <w:left w:val="nil"/>
              <w:bottom w:val="single" w:sz="6" w:space="0" w:color="CCCCCC"/>
              <w:right w:val="single" w:sz="6" w:space="0" w:color="CCCCCC"/>
            </w:tcBorders>
            <w:shd w:val="clear" w:color="auto" w:fill="F2F2F2"/>
            <w:tcMar>
              <w:top w:w="80" w:type="dxa"/>
              <w:left w:w="120" w:type="dxa"/>
              <w:bottom w:w="80" w:type="dxa"/>
              <w:right w:w="120" w:type="dxa"/>
            </w:tcMar>
          </w:tcPr>
          <w:p w14:paraId="4400975B" w14:textId="77777777" w:rsidR="00702F5C" w:rsidRDefault="00000000">
            <w:pPr>
              <w:jc w:val="center"/>
              <w:rPr>
                <w:b/>
                <w:bCs/>
              </w:rPr>
            </w:pPr>
            <w:r>
              <w:rPr>
                <w:b/>
                <w:bCs/>
              </w:rPr>
              <w:t>—</w:t>
            </w:r>
          </w:p>
        </w:tc>
        <w:tc>
          <w:tcPr>
            <w:tcW w:w="2203" w:type="dxa"/>
            <w:tcBorders>
              <w:top w:val="nil"/>
              <w:left w:val="nil"/>
              <w:bottom w:val="single" w:sz="6" w:space="0" w:color="CCCCCC"/>
              <w:right w:val="single" w:sz="6" w:space="0" w:color="CCCCCC"/>
            </w:tcBorders>
            <w:shd w:val="clear" w:color="auto" w:fill="F2F2F2"/>
            <w:tcMar>
              <w:top w:w="80" w:type="dxa"/>
              <w:left w:w="120" w:type="dxa"/>
              <w:bottom w:w="80" w:type="dxa"/>
              <w:right w:w="120" w:type="dxa"/>
            </w:tcMar>
          </w:tcPr>
          <w:p w14:paraId="65BB4A69" w14:textId="77777777" w:rsidR="00702F5C" w:rsidRDefault="00000000">
            <w:pPr>
              <w:jc w:val="center"/>
              <w:rPr>
                <w:b/>
                <w:bCs/>
              </w:rPr>
            </w:pPr>
            <w:r>
              <w:rPr>
                <w:b/>
                <w:bCs/>
              </w:rPr>
              <w:t>Non-monetary: feedback, testimonial, case study data</w:t>
            </w:r>
          </w:p>
        </w:tc>
      </w:tr>
      <w:tr w:rsidR="00702F5C" w14:paraId="0468C71E" w14:textId="77777777">
        <w:trPr>
          <w:trHeight w:val="405"/>
        </w:trPr>
        <w:tc>
          <w:tcPr>
            <w:tcW w:w="1460"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EE8EA25" w14:textId="77777777" w:rsidR="00702F5C" w:rsidRDefault="00000000">
            <w:pPr>
              <w:rPr>
                <w:b/>
                <w:bCs/>
              </w:rPr>
            </w:pPr>
            <w:r>
              <w:rPr>
                <w:b/>
                <w:bCs/>
              </w:rPr>
              <w:t>Early Adoption</w:t>
            </w:r>
          </w:p>
        </w:tc>
        <w:tc>
          <w:tcPr>
            <w:tcW w:w="164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186B3E99" w14:textId="77777777" w:rsidR="00702F5C" w:rsidRDefault="00000000">
            <w:pPr>
              <w:jc w:val="center"/>
              <w:rPr>
                <w:b/>
                <w:bCs/>
              </w:rPr>
            </w:pPr>
            <w:r>
              <w:rPr>
                <w:b/>
                <w:bCs/>
              </w:rPr>
              <w:t>Month 3–6</w:t>
            </w:r>
          </w:p>
        </w:tc>
        <w:tc>
          <w:tcPr>
            <w:tcW w:w="1858"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654D2D0D" w14:textId="77777777" w:rsidR="00702F5C" w:rsidRDefault="00000000">
            <w:pPr>
              <w:jc w:val="center"/>
              <w:rPr>
                <w:b/>
                <w:bCs/>
              </w:rPr>
            </w:pPr>
            <w:r>
              <w:rPr>
                <w:b/>
                <w:bCs/>
              </w:rPr>
              <w:t>5–10 institutions</w:t>
            </w:r>
          </w:p>
        </w:tc>
        <w:tc>
          <w:tcPr>
            <w:tcW w:w="1858"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5CC631C6" w14:textId="77777777" w:rsidR="00702F5C" w:rsidRDefault="00000000">
            <w:pPr>
              <w:jc w:val="center"/>
              <w:rPr>
                <w:b/>
                <w:bCs/>
              </w:rPr>
            </w:pPr>
            <w:r>
              <w:rPr>
                <w:b/>
                <w:bCs/>
              </w:rPr>
              <w:t>$3,500–6,000</w:t>
            </w:r>
          </w:p>
        </w:tc>
        <w:tc>
          <w:tcPr>
            <w:tcW w:w="2203"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3A7061E8" w14:textId="77777777" w:rsidR="00702F5C" w:rsidRDefault="00000000">
            <w:pPr>
              <w:jc w:val="center"/>
              <w:rPr>
                <w:b/>
                <w:bCs/>
              </w:rPr>
            </w:pPr>
            <w:r>
              <w:rPr>
                <w:b/>
                <w:bCs/>
              </w:rPr>
              <w:t>$20,000–$60,000</w:t>
            </w:r>
          </w:p>
        </w:tc>
      </w:tr>
      <w:tr w:rsidR="00702F5C" w14:paraId="78903508" w14:textId="77777777">
        <w:trPr>
          <w:trHeight w:val="405"/>
        </w:trPr>
        <w:tc>
          <w:tcPr>
            <w:tcW w:w="1460" w:type="dxa"/>
            <w:tcBorders>
              <w:top w:val="nil"/>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42AB8877" w14:textId="77777777" w:rsidR="00702F5C" w:rsidRDefault="00000000">
            <w:pPr>
              <w:rPr>
                <w:b/>
                <w:bCs/>
              </w:rPr>
            </w:pPr>
            <w:r>
              <w:rPr>
                <w:b/>
                <w:bCs/>
              </w:rPr>
              <w:t>Growth Phase</w:t>
            </w:r>
          </w:p>
        </w:tc>
        <w:tc>
          <w:tcPr>
            <w:tcW w:w="1645" w:type="dxa"/>
            <w:tcBorders>
              <w:top w:val="nil"/>
              <w:left w:val="nil"/>
              <w:bottom w:val="single" w:sz="6" w:space="0" w:color="CCCCCC"/>
              <w:right w:val="single" w:sz="6" w:space="0" w:color="CCCCCC"/>
            </w:tcBorders>
            <w:shd w:val="clear" w:color="auto" w:fill="F2F2F2"/>
            <w:tcMar>
              <w:top w:w="80" w:type="dxa"/>
              <w:left w:w="120" w:type="dxa"/>
              <w:bottom w:w="80" w:type="dxa"/>
              <w:right w:w="120" w:type="dxa"/>
            </w:tcMar>
          </w:tcPr>
          <w:p w14:paraId="499F0A68" w14:textId="77777777" w:rsidR="00702F5C" w:rsidRDefault="00000000">
            <w:pPr>
              <w:jc w:val="center"/>
              <w:rPr>
                <w:b/>
                <w:bCs/>
              </w:rPr>
            </w:pPr>
            <w:r>
              <w:rPr>
                <w:b/>
                <w:bCs/>
              </w:rPr>
              <w:t>Month 7–12</w:t>
            </w:r>
          </w:p>
        </w:tc>
        <w:tc>
          <w:tcPr>
            <w:tcW w:w="1858" w:type="dxa"/>
            <w:tcBorders>
              <w:top w:val="nil"/>
              <w:left w:val="nil"/>
              <w:bottom w:val="single" w:sz="6" w:space="0" w:color="CCCCCC"/>
              <w:right w:val="single" w:sz="6" w:space="0" w:color="CCCCCC"/>
            </w:tcBorders>
            <w:shd w:val="clear" w:color="auto" w:fill="F2F2F2"/>
            <w:tcMar>
              <w:top w:w="80" w:type="dxa"/>
              <w:left w:w="120" w:type="dxa"/>
              <w:bottom w:w="80" w:type="dxa"/>
              <w:right w:w="120" w:type="dxa"/>
            </w:tcMar>
          </w:tcPr>
          <w:p w14:paraId="755F1510" w14:textId="77777777" w:rsidR="00702F5C" w:rsidRDefault="00000000">
            <w:pPr>
              <w:jc w:val="center"/>
              <w:rPr>
                <w:b/>
                <w:bCs/>
              </w:rPr>
            </w:pPr>
            <w:r>
              <w:rPr>
                <w:b/>
                <w:bCs/>
              </w:rPr>
              <w:t>20–40 institutions</w:t>
            </w:r>
          </w:p>
        </w:tc>
        <w:tc>
          <w:tcPr>
            <w:tcW w:w="1858" w:type="dxa"/>
            <w:tcBorders>
              <w:top w:val="nil"/>
              <w:left w:val="nil"/>
              <w:bottom w:val="single" w:sz="6" w:space="0" w:color="CCCCCC"/>
              <w:right w:val="single" w:sz="6" w:space="0" w:color="CCCCCC"/>
            </w:tcBorders>
            <w:shd w:val="clear" w:color="auto" w:fill="F2F2F2"/>
            <w:tcMar>
              <w:top w:w="80" w:type="dxa"/>
              <w:left w:w="120" w:type="dxa"/>
              <w:bottom w:w="80" w:type="dxa"/>
              <w:right w:w="120" w:type="dxa"/>
            </w:tcMar>
          </w:tcPr>
          <w:p w14:paraId="5BB80C7C" w14:textId="77777777" w:rsidR="00702F5C" w:rsidRDefault="00000000">
            <w:pPr>
              <w:jc w:val="center"/>
              <w:rPr>
                <w:b/>
                <w:bCs/>
              </w:rPr>
            </w:pPr>
            <w:r>
              <w:rPr>
                <w:b/>
                <w:bCs/>
              </w:rPr>
              <w:t>$5,000–8,000</w:t>
            </w:r>
          </w:p>
        </w:tc>
        <w:tc>
          <w:tcPr>
            <w:tcW w:w="2203" w:type="dxa"/>
            <w:tcBorders>
              <w:top w:val="nil"/>
              <w:left w:val="nil"/>
              <w:bottom w:val="single" w:sz="6" w:space="0" w:color="CCCCCC"/>
              <w:right w:val="single" w:sz="6" w:space="0" w:color="CCCCCC"/>
            </w:tcBorders>
            <w:shd w:val="clear" w:color="auto" w:fill="F2F2F2"/>
            <w:tcMar>
              <w:top w:w="80" w:type="dxa"/>
              <w:left w:w="120" w:type="dxa"/>
              <w:bottom w:w="80" w:type="dxa"/>
              <w:right w:w="120" w:type="dxa"/>
            </w:tcMar>
          </w:tcPr>
          <w:p w14:paraId="3EC3CCAF" w14:textId="77777777" w:rsidR="00702F5C" w:rsidRDefault="00000000">
            <w:pPr>
              <w:jc w:val="center"/>
              <w:rPr>
                <w:b/>
                <w:bCs/>
              </w:rPr>
            </w:pPr>
            <w:r>
              <w:rPr>
                <w:b/>
                <w:bCs/>
              </w:rPr>
              <w:t>$100,000–$320,000</w:t>
            </w:r>
          </w:p>
        </w:tc>
      </w:tr>
      <w:tr w:rsidR="00702F5C" w14:paraId="4834EC8D" w14:textId="77777777">
        <w:trPr>
          <w:trHeight w:val="405"/>
        </w:trPr>
        <w:tc>
          <w:tcPr>
            <w:tcW w:w="1460"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F4F5D7B" w14:textId="77777777" w:rsidR="00702F5C" w:rsidRDefault="00000000">
            <w:pPr>
              <w:rPr>
                <w:b/>
                <w:bCs/>
              </w:rPr>
            </w:pPr>
            <w:r>
              <w:rPr>
                <w:b/>
                <w:bCs/>
              </w:rPr>
              <w:t>Scale (Year 2)</w:t>
            </w:r>
          </w:p>
        </w:tc>
        <w:tc>
          <w:tcPr>
            <w:tcW w:w="164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32C20EFA" w14:textId="77777777" w:rsidR="00702F5C" w:rsidRDefault="00000000">
            <w:pPr>
              <w:jc w:val="center"/>
              <w:rPr>
                <w:b/>
                <w:bCs/>
              </w:rPr>
            </w:pPr>
            <w:r>
              <w:rPr>
                <w:b/>
                <w:bCs/>
              </w:rPr>
              <w:t>Month 13–24</w:t>
            </w:r>
          </w:p>
        </w:tc>
        <w:tc>
          <w:tcPr>
            <w:tcW w:w="1858"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59C557BF" w14:textId="77777777" w:rsidR="00702F5C" w:rsidRDefault="00000000">
            <w:pPr>
              <w:jc w:val="center"/>
              <w:rPr>
                <w:b/>
                <w:bCs/>
              </w:rPr>
            </w:pPr>
            <w:r>
              <w:rPr>
                <w:b/>
                <w:bCs/>
              </w:rPr>
              <w:t>80–150 institutions</w:t>
            </w:r>
          </w:p>
        </w:tc>
        <w:tc>
          <w:tcPr>
            <w:tcW w:w="1858"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02C42CCE" w14:textId="77777777" w:rsidR="00702F5C" w:rsidRDefault="00000000">
            <w:pPr>
              <w:jc w:val="center"/>
              <w:rPr>
                <w:b/>
                <w:bCs/>
              </w:rPr>
            </w:pPr>
            <w:r>
              <w:rPr>
                <w:b/>
                <w:bCs/>
              </w:rPr>
              <w:t>$6,000–15,000</w:t>
            </w:r>
          </w:p>
        </w:tc>
        <w:tc>
          <w:tcPr>
            <w:tcW w:w="2203"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3AF79C53" w14:textId="77777777" w:rsidR="00702F5C" w:rsidRDefault="00000000">
            <w:pPr>
              <w:jc w:val="center"/>
              <w:rPr>
                <w:b/>
                <w:bCs/>
              </w:rPr>
            </w:pPr>
            <w:r>
              <w:rPr>
                <w:b/>
                <w:bCs/>
              </w:rPr>
              <w:t>$480,000–$1,500,000</w:t>
            </w:r>
          </w:p>
        </w:tc>
      </w:tr>
    </w:tbl>
    <w:p w14:paraId="3163CA3F" w14:textId="77777777" w:rsidR="00702F5C" w:rsidRDefault="00000000">
      <w:pPr>
        <w:spacing w:before="60" w:after="120"/>
        <w:jc w:val="center"/>
        <w:rPr>
          <w:b/>
          <w:bCs/>
        </w:rPr>
      </w:pPr>
      <w:r>
        <w:rPr>
          <w:i/>
          <w:iCs/>
        </w:rPr>
        <w:t>Table F.2  Projected sales volume and revenue by adoption stage. Revenue ranges are estimates based on comparable EdTech institutional pricing benchmarks and do not represent guaranteed outcomes.</w:t>
      </w:r>
    </w:p>
    <w:p w14:paraId="5C529160" w14:textId="77777777" w:rsidR="00702F5C" w:rsidRDefault="00000000">
      <w:pPr>
        <w:rPr>
          <w:b/>
          <w:bCs/>
        </w:rPr>
      </w:pPr>
      <w:r>
        <w:rPr>
          <w:b/>
          <w:bCs/>
        </w:rPr>
        <w:t>G. Operational Plan</w:t>
      </w:r>
    </w:p>
    <w:p w14:paraId="669FFC72" w14:textId="77777777" w:rsidR="00702F5C" w:rsidRDefault="00702F5C">
      <w:pPr>
        <w:rPr>
          <w:b/>
          <w:bCs/>
        </w:rPr>
      </w:pPr>
    </w:p>
    <w:p w14:paraId="22A482D3" w14:textId="77777777" w:rsidR="00702F5C" w:rsidRDefault="00000000">
      <w:pPr>
        <w:rPr>
          <w:b/>
          <w:bCs/>
        </w:rPr>
      </w:pPr>
      <w:r>
        <w:rPr>
          <w:b/>
          <w:bCs/>
        </w:rPr>
        <w:t xml:space="preserve"> Service Process - How the Simulation Runs</w:t>
      </w:r>
    </w:p>
    <w:p w14:paraId="1C3B913A" w14:textId="77777777" w:rsidR="00702F5C" w:rsidRDefault="00000000">
      <w:pPr>
        <w:spacing w:before="40" w:after="60"/>
        <w:jc w:val="both"/>
      </w:pPr>
      <w:r>
        <w:t>The platform will operate through a structured simulation cycle where each round represents one business quarter. Instructors will configure the session once; the AI engine will handle all evaluation and feedback automatically throughout. The sustainability layer will not function as a separate event; it will be embedded into every decision category, with delayed consequences surfacing in later rounds to replicate how real-world business trade-offs unfold over time.</w:t>
      </w:r>
    </w:p>
    <w:p w14:paraId="343F16DE" w14:textId="77777777" w:rsidR="00702F5C" w:rsidRDefault="00702F5C">
      <w:pPr>
        <w:rPr>
          <w:b/>
          <w:bCs/>
        </w:rPr>
      </w:pPr>
    </w:p>
    <w:tbl>
      <w:tblPr>
        <w:tblStyle w:val="a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17"/>
        <w:gridCol w:w="1754"/>
        <w:gridCol w:w="6554"/>
      </w:tblGrid>
      <w:tr w:rsidR="00702F5C" w14:paraId="15FCB132" w14:textId="77777777">
        <w:trPr>
          <w:trHeight w:val="630"/>
        </w:trPr>
        <w:tc>
          <w:tcPr>
            <w:tcW w:w="717" w:type="dxa"/>
            <w:tcBorders>
              <w:top w:val="single" w:sz="6" w:space="0" w:color="CCCCCC"/>
              <w:left w:val="single" w:sz="6" w:space="0" w:color="CCCCCC"/>
              <w:bottom w:val="single" w:sz="6" w:space="0" w:color="CCCCCC"/>
              <w:right w:val="single" w:sz="6" w:space="0" w:color="CCCCCC"/>
            </w:tcBorders>
            <w:shd w:val="clear" w:color="auto" w:fill="C00000"/>
            <w:tcMar>
              <w:top w:w="100" w:type="dxa"/>
              <w:left w:w="120" w:type="dxa"/>
              <w:bottom w:w="100" w:type="dxa"/>
              <w:right w:w="120" w:type="dxa"/>
            </w:tcMar>
          </w:tcPr>
          <w:p w14:paraId="735D1059" w14:textId="77777777" w:rsidR="00702F5C" w:rsidRDefault="00000000">
            <w:pPr>
              <w:jc w:val="center"/>
              <w:rPr>
                <w:b/>
                <w:bCs/>
              </w:rPr>
            </w:pPr>
            <w:r>
              <w:rPr>
                <w:b/>
                <w:bCs/>
              </w:rPr>
              <w:t>1</w:t>
            </w:r>
          </w:p>
        </w:tc>
        <w:tc>
          <w:tcPr>
            <w:tcW w:w="1754" w:type="dxa"/>
            <w:tcBorders>
              <w:top w:val="single" w:sz="6" w:space="0" w:color="CCCCCC"/>
              <w:left w:val="nil"/>
              <w:bottom w:val="single" w:sz="6" w:space="0" w:color="CCCCCC"/>
              <w:right w:val="single" w:sz="6" w:space="0" w:color="CCCCCC"/>
            </w:tcBorders>
            <w:shd w:val="clear" w:color="auto" w:fill="FFFF00"/>
            <w:tcMar>
              <w:top w:w="100" w:type="dxa"/>
              <w:left w:w="120" w:type="dxa"/>
              <w:bottom w:w="100" w:type="dxa"/>
              <w:right w:w="120" w:type="dxa"/>
            </w:tcMar>
          </w:tcPr>
          <w:p w14:paraId="54490E08" w14:textId="77777777" w:rsidR="00702F5C" w:rsidRDefault="00000000">
            <w:pPr>
              <w:rPr>
                <w:b/>
                <w:bCs/>
              </w:rPr>
            </w:pPr>
            <w:r>
              <w:rPr>
                <w:b/>
                <w:bCs/>
              </w:rPr>
              <w:t>Platform Setup</w:t>
            </w:r>
          </w:p>
        </w:tc>
        <w:tc>
          <w:tcPr>
            <w:tcW w:w="655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1AC31BC" w14:textId="77777777" w:rsidR="00702F5C" w:rsidRDefault="00000000">
            <w:r>
              <w:t xml:space="preserve">The instructor will configure rounds, market scenarios, scoring weights, and sustainability constraints for the session. </w:t>
            </w:r>
          </w:p>
        </w:tc>
      </w:tr>
      <w:tr w:rsidR="00702F5C" w14:paraId="4FF2A91E" w14:textId="77777777">
        <w:trPr>
          <w:trHeight w:val="630"/>
        </w:trPr>
        <w:tc>
          <w:tcPr>
            <w:tcW w:w="717" w:type="dxa"/>
            <w:tcBorders>
              <w:top w:val="nil"/>
              <w:left w:val="single" w:sz="6" w:space="0" w:color="CCCCCC"/>
              <w:bottom w:val="single" w:sz="6" w:space="0" w:color="CCCCCC"/>
              <w:right w:val="single" w:sz="6" w:space="0" w:color="CCCCCC"/>
            </w:tcBorders>
            <w:shd w:val="clear" w:color="auto" w:fill="C00000"/>
            <w:tcMar>
              <w:top w:w="100" w:type="dxa"/>
              <w:left w:w="120" w:type="dxa"/>
              <w:bottom w:w="100" w:type="dxa"/>
              <w:right w:w="120" w:type="dxa"/>
            </w:tcMar>
          </w:tcPr>
          <w:p w14:paraId="1A2691F9" w14:textId="77777777" w:rsidR="00702F5C" w:rsidRDefault="00000000">
            <w:pPr>
              <w:jc w:val="center"/>
              <w:rPr>
                <w:b/>
                <w:bCs/>
              </w:rPr>
            </w:pPr>
            <w:r>
              <w:rPr>
                <w:b/>
                <w:bCs/>
              </w:rPr>
              <w:t>2</w:t>
            </w:r>
          </w:p>
        </w:tc>
        <w:tc>
          <w:tcPr>
            <w:tcW w:w="1754" w:type="dxa"/>
            <w:tcBorders>
              <w:top w:val="nil"/>
              <w:left w:val="nil"/>
              <w:bottom w:val="single" w:sz="6" w:space="0" w:color="CCCCCC"/>
              <w:right w:val="single" w:sz="6" w:space="0" w:color="CCCCCC"/>
            </w:tcBorders>
            <w:shd w:val="clear" w:color="auto" w:fill="FFFF00"/>
            <w:tcMar>
              <w:top w:w="100" w:type="dxa"/>
              <w:left w:w="120" w:type="dxa"/>
              <w:bottom w:w="100" w:type="dxa"/>
              <w:right w:w="120" w:type="dxa"/>
            </w:tcMar>
          </w:tcPr>
          <w:p w14:paraId="54BAC9E2" w14:textId="77777777" w:rsidR="00702F5C" w:rsidRDefault="00000000">
            <w:pPr>
              <w:rPr>
                <w:b/>
                <w:bCs/>
              </w:rPr>
            </w:pPr>
            <w:r>
              <w:rPr>
                <w:b/>
                <w:bCs/>
              </w:rPr>
              <w:t>Team Onboarding</w:t>
            </w:r>
          </w:p>
        </w:tc>
        <w:tc>
          <w:tcPr>
            <w:tcW w:w="655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CDFC76F" w14:textId="77777777" w:rsidR="00702F5C" w:rsidRDefault="00000000">
            <w:r>
              <w:t>Teams will receive virtual companies with identical starting resources and baseline market conditions.</w:t>
            </w:r>
          </w:p>
        </w:tc>
      </w:tr>
      <w:tr w:rsidR="00702F5C" w14:paraId="1BF97306" w14:textId="77777777">
        <w:trPr>
          <w:trHeight w:val="705"/>
        </w:trPr>
        <w:tc>
          <w:tcPr>
            <w:tcW w:w="717" w:type="dxa"/>
            <w:tcBorders>
              <w:top w:val="nil"/>
              <w:left w:val="single" w:sz="6" w:space="0" w:color="CCCCCC"/>
              <w:bottom w:val="single" w:sz="6" w:space="0" w:color="CCCCCC"/>
              <w:right w:val="single" w:sz="6" w:space="0" w:color="CCCCCC"/>
            </w:tcBorders>
            <w:shd w:val="clear" w:color="auto" w:fill="C00000"/>
            <w:tcMar>
              <w:top w:w="100" w:type="dxa"/>
              <w:left w:w="120" w:type="dxa"/>
              <w:bottom w:w="100" w:type="dxa"/>
              <w:right w:w="120" w:type="dxa"/>
            </w:tcMar>
          </w:tcPr>
          <w:p w14:paraId="2B4EBBCA" w14:textId="77777777" w:rsidR="00702F5C" w:rsidRDefault="00000000">
            <w:pPr>
              <w:jc w:val="center"/>
              <w:rPr>
                <w:b/>
                <w:bCs/>
              </w:rPr>
            </w:pPr>
            <w:r>
              <w:rPr>
                <w:b/>
                <w:bCs/>
              </w:rPr>
              <w:t>3</w:t>
            </w:r>
          </w:p>
        </w:tc>
        <w:tc>
          <w:tcPr>
            <w:tcW w:w="1754" w:type="dxa"/>
            <w:tcBorders>
              <w:top w:val="nil"/>
              <w:left w:val="nil"/>
              <w:bottom w:val="single" w:sz="6" w:space="0" w:color="CCCCCC"/>
              <w:right w:val="single" w:sz="6" w:space="0" w:color="CCCCCC"/>
            </w:tcBorders>
            <w:shd w:val="clear" w:color="auto" w:fill="FFFF00"/>
            <w:tcMar>
              <w:top w:w="100" w:type="dxa"/>
              <w:left w:w="120" w:type="dxa"/>
              <w:bottom w:w="100" w:type="dxa"/>
              <w:right w:w="120" w:type="dxa"/>
            </w:tcMar>
          </w:tcPr>
          <w:p w14:paraId="068710B3" w14:textId="77777777" w:rsidR="00702F5C" w:rsidRDefault="00000000">
            <w:pPr>
              <w:rPr>
                <w:b/>
                <w:bCs/>
              </w:rPr>
            </w:pPr>
            <w:r>
              <w:rPr>
                <w:b/>
                <w:bCs/>
              </w:rPr>
              <w:t>Decision Round Opens</w:t>
            </w:r>
          </w:p>
        </w:tc>
        <w:tc>
          <w:tcPr>
            <w:tcW w:w="6553" w:type="dxa"/>
            <w:tcBorders>
              <w:top w:val="nil"/>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6984E1D" w14:textId="77777777" w:rsidR="00702F5C" w:rsidRDefault="00000000">
            <w:r>
              <w:t>Teams will review market briefs and submit decisions across pricing, operations, finance, hiring, and sustainability.</w:t>
            </w:r>
          </w:p>
        </w:tc>
      </w:tr>
      <w:tr w:rsidR="00702F5C" w14:paraId="37DB80E9" w14:textId="77777777">
        <w:trPr>
          <w:trHeight w:val="660"/>
        </w:trPr>
        <w:tc>
          <w:tcPr>
            <w:tcW w:w="717" w:type="dxa"/>
            <w:tcBorders>
              <w:top w:val="nil"/>
              <w:left w:val="single" w:sz="6" w:space="0" w:color="CCCCCC"/>
              <w:bottom w:val="single" w:sz="6" w:space="0" w:color="CCCCCC"/>
              <w:right w:val="single" w:sz="6" w:space="0" w:color="CCCCCC"/>
            </w:tcBorders>
            <w:shd w:val="clear" w:color="auto" w:fill="C00000"/>
            <w:tcMar>
              <w:top w:w="100" w:type="dxa"/>
              <w:left w:w="120" w:type="dxa"/>
              <w:bottom w:w="100" w:type="dxa"/>
              <w:right w:w="120" w:type="dxa"/>
            </w:tcMar>
          </w:tcPr>
          <w:p w14:paraId="4BBE6168" w14:textId="77777777" w:rsidR="00702F5C" w:rsidRDefault="00000000">
            <w:pPr>
              <w:jc w:val="center"/>
              <w:rPr>
                <w:b/>
                <w:bCs/>
              </w:rPr>
            </w:pPr>
            <w:r>
              <w:rPr>
                <w:b/>
                <w:bCs/>
              </w:rPr>
              <w:lastRenderedPageBreak/>
              <w:t>4</w:t>
            </w:r>
          </w:p>
        </w:tc>
        <w:tc>
          <w:tcPr>
            <w:tcW w:w="1754" w:type="dxa"/>
            <w:tcBorders>
              <w:top w:val="nil"/>
              <w:left w:val="nil"/>
              <w:bottom w:val="single" w:sz="6" w:space="0" w:color="CCCCCC"/>
              <w:right w:val="single" w:sz="6" w:space="0" w:color="CCCCCC"/>
            </w:tcBorders>
            <w:shd w:val="clear" w:color="auto" w:fill="FFFF00"/>
            <w:tcMar>
              <w:top w:w="100" w:type="dxa"/>
              <w:left w:w="120" w:type="dxa"/>
              <w:bottom w:w="100" w:type="dxa"/>
              <w:right w:w="120" w:type="dxa"/>
            </w:tcMar>
          </w:tcPr>
          <w:p w14:paraId="61AB9D68" w14:textId="77777777" w:rsidR="00702F5C" w:rsidRDefault="00000000">
            <w:pPr>
              <w:rPr>
                <w:b/>
                <w:bCs/>
              </w:rPr>
            </w:pPr>
            <w:r>
              <w:rPr>
                <w:b/>
                <w:bCs/>
              </w:rPr>
              <w:t>Simulation Engine Processes</w:t>
            </w:r>
          </w:p>
        </w:tc>
        <w:tc>
          <w:tcPr>
            <w:tcW w:w="6553" w:type="dxa"/>
            <w:tcBorders>
              <w:top w:val="nil"/>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FC29BB1" w14:textId="77777777" w:rsidR="00702F5C" w:rsidRDefault="00000000">
            <w:r>
              <w:t>The AI engine will calculate outcomes for all teams simultaneously, applying competitive dynamics and live market events.</w:t>
            </w:r>
          </w:p>
        </w:tc>
      </w:tr>
      <w:tr w:rsidR="00702F5C" w14:paraId="7AFEB47D" w14:textId="77777777">
        <w:trPr>
          <w:trHeight w:val="660"/>
        </w:trPr>
        <w:tc>
          <w:tcPr>
            <w:tcW w:w="717" w:type="dxa"/>
            <w:tcBorders>
              <w:top w:val="nil"/>
              <w:left w:val="single" w:sz="6" w:space="0" w:color="CCCCCC"/>
              <w:bottom w:val="single" w:sz="6" w:space="0" w:color="CCCCCC"/>
              <w:right w:val="single" w:sz="6" w:space="0" w:color="CCCCCC"/>
            </w:tcBorders>
            <w:shd w:val="clear" w:color="auto" w:fill="C00000"/>
            <w:tcMar>
              <w:top w:w="100" w:type="dxa"/>
              <w:left w:w="120" w:type="dxa"/>
              <w:bottom w:w="100" w:type="dxa"/>
              <w:right w:w="120" w:type="dxa"/>
            </w:tcMar>
          </w:tcPr>
          <w:p w14:paraId="7AED398A" w14:textId="77777777" w:rsidR="00702F5C" w:rsidRDefault="00000000">
            <w:pPr>
              <w:jc w:val="center"/>
              <w:rPr>
                <w:b/>
                <w:bCs/>
              </w:rPr>
            </w:pPr>
            <w:r>
              <w:rPr>
                <w:b/>
                <w:bCs/>
              </w:rPr>
              <w:t>5</w:t>
            </w:r>
          </w:p>
        </w:tc>
        <w:tc>
          <w:tcPr>
            <w:tcW w:w="1754" w:type="dxa"/>
            <w:tcBorders>
              <w:top w:val="nil"/>
              <w:left w:val="nil"/>
              <w:bottom w:val="single" w:sz="6" w:space="0" w:color="CCCCCC"/>
              <w:right w:val="single" w:sz="6" w:space="0" w:color="CCCCCC"/>
            </w:tcBorders>
            <w:shd w:val="clear" w:color="auto" w:fill="FFFF00"/>
            <w:tcMar>
              <w:top w:w="100" w:type="dxa"/>
              <w:left w:w="120" w:type="dxa"/>
              <w:bottom w:w="100" w:type="dxa"/>
              <w:right w:w="120" w:type="dxa"/>
            </w:tcMar>
          </w:tcPr>
          <w:p w14:paraId="79C56D99" w14:textId="77777777" w:rsidR="00702F5C" w:rsidRDefault="00000000">
            <w:pPr>
              <w:rPr>
                <w:b/>
                <w:bCs/>
              </w:rPr>
            </w:pPr>
            <w:r>
              <w:rPr>
                <w:b/>
                <w:bCs/>
              </w:rPr>
              <w:t>Results &amp; AI Feedback</w:t>
            </w:r>
          </w:p>
        </w:tc>
        <w:tc>
          <w:tcPr>
            <w:tcW w:w="6553" w:type="dxa"/>
            <w:tcBorders>
              <w:top w:val="nil"/>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60A7A33" w14:textId="77777777" w:rsidR="00702F5C" w:rsidRDefault="00000000">
            <w:r>
              <w:t>Each team will receive financial results and a personalized critique: what failed, why it happened, and what to adjust next round.</w:t>
            </w:r>
          </w:p>
        </w:tc>
      </w:tr>
      <w:tr w:rsidR="00702F5C" w14:paraId="55C61BF4" w14:textId="77777777">
        <w:trPr>
          <w:trHeight w:val="660"/>
        </w:trPr>
        <w:tc>
          <w:tcPr>
            <w:tcW w:w="717" w:type="dxa"/>
            <w:tcBorders>
              <w:top w:val="nil"/>
              <w:left w:val="single" w:sz="6" w:space="0" w:color="CCCCCC"/>
              <w:bottom w:val="single" w:sz="6" w:space="0" w:color="CCCCCC"/>
              <w:right w:val="single" w:sz="6" w:space="0" w:color="CCCCCC"/>
            </w:tcBorders>
            <w:shd w:val="clear" w:color="auto" w:fill="C00000"/>
            <w:tcMar>
              <w:top w:w="100" w:type="dxa"/>
              <w:left w:w="120" w:type="dxa"/>
              <w:bottom w:w="100" w:type="dxa"/>
              <w:right w:w="120" w:type="dxa"/>
            </w:tcMar>
          </w:tcPr>
          <w:p w14:paraId="185F27EF" w14:textId="77777777" w:rsidR="00702F5C" w:rsidRDefault="00000000">
            <w:pPr>
              <w:jc w:val="center"/>
              <w:rPr>
                <w:b/>
                <w:bCs/>
              </w:rPr>
            </w:pPr>
            <w:r>
              <w:rPr>
                <w:b/>
                <w:bCs/>
              </w:rPr>
              <w:t>6</w:t>
            </w:r>
          </w:p>
        </w:tc>
        <w:tc>
          <w:tcPr>
            <w:tcW w:w="1754" w:type="dxa"/>
            <w:tcBorders>
              <w:top w:val="nil"/>
              <w:left w:val="nil"/>
              <w:bottom w:val="single" w:sz="6" w:space="0" w:color="CCCCCC"/>
              <w:right w:val="single" w:sz="6" w:space="0" w:color="CCCCCC"/>
            </w:tcBorders>
            <w:shd w:val="clear" w:color="auto" w:fill="FFFF00"/>
            <w:tcMar>
              <w:top w:w="100" w:type="dxa"/>
              <w:left w:w="120" w:type="dxa"/>
              <w:bottom w:w="100" w:type="dxa"/>
              <w:right w:w="120" w:type="dxa"/>
            </w:tcMar>
          </w:tcPr>
          <w:p w14:paraId="158BAD81" w14:textId="77777777" w:rsidR="00702F5C" w:rsidRDefault="00000000">
            <w:pPr>
              <w:rPr>
                <w:b/>
                <w:bCs/>
              </w:rPr>
            </w:pPr>
            <w:r>
              <w:rPr>
                <w:b/>
                <w:bCs/>
              </w:rPr>
              <w:t>Next Round / Final State</w:t>
            </w:r>
          </w:p>
        </w:tc>
        <w:tc>
          <w:tcPr>
            <w:tcW w:w="6553" w:type="dxa"/>
            <w:tcBorders>
              <w:top w:val="nil"/>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A8BF1C0" w14:textId="77777777" w:rsidR="00702F5C" w:rsidRDefault="00000000">
            <w:r>
              <w:t>The cycle will continue until the final round, which will produce cumulative rankings and an AI strategic summary per team.</w:t>
            </w:r>
          </w:p>
        </w:tc>
      </w:tr>
    </w:tbl>
    <w:p w14:paraId="2C2B4B3D" w14:textId="77777777" w:rsidR="00702F5C" w:rsidRDefault="00702F5C">
      <w:pPr>
        <w:rPr>
          <w:b/>
          <w:bCs/>
        </w:rPr>
      </w:pPr>
    </w:p>
    <w:p w14:paraId="13F236B5" w14:textId="77777777" w:rsidR="00702F5C" w:rsidRDefault="00000000">
      <w:pPr>
        <w:spacing w:before="60" w:after="120"/>
        <w:jc w:val="center"/>
      </w:pPr>
      <w:r>
        <w:rPr>
          <w:i/>
          <w:iCs/>
        </w:rPr>
        <w:t>Table G.1 Simulation cycle: six-step operational flow from instructor setup to final round output.</w:t>
      </w:r>
    </w:p>
    <w:p w14:paraId="4E298589" w14:textId="77777777" w:rsidR="00702F5C" w:rsidRDefault="00000000">
      <w:r>
        <w:rPr>
          <w:b/>
          <w:bCs/>
        </w:rPr>
        <w:t>Organizational Structure</w:t>
      </w:r>
    </w:p>
    <w:p w14:paraId="29F4B30F" w14:textId="77777777" w:rsidR="00702F5C" w:rsidRDefault="00000000">
      <w:pPr>
        <w:spacing w:before="60" w:after="80"/>
        <w:jc w:val="both"/>
      </w:pPr>
      <w:r>
        <w:t xml:space="preserve">For the prototype and early-adoption phase, the team will operate as a lean five-function structure. Each role will map directly to a core deliverable, with no redundant layers, and team members will be expected to overlap where capacity requires </w:t>
      </w:r>
    </w:p>
    <w:p w14:paraId="2B861B92" w14:textId="77777777" w:rsidR="00702F5C" w:rsidRDefault="00702F5C">
      <w:pPr>
        <w:spacing w:before="60" w:after="80"/>
        <w:jc w:val="both"/>
      </w:pPr>
    </w:p>
    <w:p w14:paraId="52DC70B4" w14:textId="77777777" w:rsidR="00702F5C" w:rsidRDefault="00702F5C">
      <w:pPr>
        <w:spacing w:before="60" w:after="80"/>
        <w:ind w:firstLine="720"/>
        <w:jc w:val="both"/>
      </w:pPr>
    </w:p>
    <w:tbl>
      <w:tblPr>
        <w:tblStyle w:val="a3"/>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00"/>
        <w:gridCol w:w="3195"/>
        <w:gridCol w:w="1635"/>
        <w:gridCol w:w="2685"/>
      </w:tblGrid>
      <w:tr w:rsidR="00702F5C" w14:paraId="48C56FA2" w14:textId="77777777">
        <w:trPr>
          <w:trHeight w:val="435"/>
        </w:trPr>
        <w:tc>
          <w:tcPr>
            <w:tcW w:w="1500" w:type="dxa"/>
            <w:tcBorders>
              <w:top w:val="single" w:sz="6" w:space="0" w:color="CCCCCC"/>
              <w:left w:val="single" w:sz="6" w:space="0" w:color="CCCCCC"/>
              <w:bottom w:val="single" w:sz="6" w:space="0" w:color="CCCCCC"/>
              <w:right w:val="single" w:sz="6" w:space="0" w:color="CCCCCC"/>
            </w:tcBorders>
            <w:shd w:val="clear" w:color="auto" w:fill="3C78D8"/>
            <w:tcMar>
              <w:top w:w="100" w:type="dxa"/>
              <w:left w:w="120" w:type="dxa"/>
              <w:bottom w:w="100" w:type="dxa"/>
              <w:right w:w="120" w:type="dxa"/>
            </w:tcMar>
          </w:tcPr>
          <w:p w14:paraId="6DDC79DC" w14:textId="77777777" w:rsidR="00702F5C" w:rsidRDefault="00000000">
            <w:pPr>
              <w:jc w:val="center"/>
              <w:rPr>
                <w:b/>
                <w:bCs/>
              </w:rPr>
            </w:pPr>
            <w:r>
              <w:rPr>
                <w:b/>
                <w:bCs/>
              </w:rPr>
              <w:t>Role</w:t>
            </w:r>
          </w:p>
        </w:tc>
        <w:tc>
          <w:tcPr>
            <w:tcW w:w="3195" w:type="dxa"/>
            <w:tcBorders>
              <w:top w:val="single" w:sz="6" w:space="0" w:color="CCCCCC"/>
              <w:left w:val="nil"/>
              <w:bottom w:val="single" w:sz="6" w:space="0" w:color="CCCCCC"/>
              <w:right w:val="single" w:sz="6" w:space="0" w:color="CCCCCC"/>
            </w:tcBorders>
            <w:shd w:val="clear" w:color="auto" w:fill="3C78D8"/>
            <w:tcMar>
              <w:top w:w="100" w:type="dxa"/>
              <w:left w:w="120" w:type="dxa"/>
              <w:bottom w:w="100" w:type="dxa"/>
              <w:right w:w="120" w:type="dxa"/>
            </w:tcMar>
          </w:tcPr>
          <w:p w14:paraId="3E3BF046" w14:textId="77777777" w:rsidR="00702F5C" w:rsidRDefault="00000000">
            <w:pPr>
              <w:jc w:val="center"/>
              <w:rPr>
                <w:b/>
                <w:bCs/>
              </w:rPr>
            </w:pPr>
            <w:r>
              <w:rPr>
                <w:b/>
                <w:bCs/>
              </w:rPr>
              <w:t>Responsibilities</w:t>
            </w:r>
          </w:p>
        </w:tc>
        <w:tc>
          <w:tcPr>
            <w:tcW w:w="1635" w:type="dxa"/>
            <w:tcBorders>
              <w:top w:val="single" w:sz="6" w:space="0" w:color="CCCCCC"/>
              <w:left w:val="nil"/>
              <w:bottom w:val="single" w:sz="6" w:space="0" w:color="CCCCCC"/>
              <w:right w:val="single" w:sz="6" w:space="0" w:color="CCCCCC"/>
            </w:tcBorders>
            <w:shd w:val="clear" w:color="auto" w:fill="3C78D8"/>
            <w:tcMar>
              <w:top w:w="100" w:type="dxa"/>
              <w:left w:w="120" w:type="dxa"/>
              <w:bottom w:w="100" w:type="dxa"/>
              <w:right w:w="120" w:type="dxa"/>
            </w:tcMar>
          </w:tcPr>
          <w:p w14:paraId="1C7D70F1" w14:textId="77777777" w:rsidR="00702F5C" w:rsidRDefault="00000000">
            <w:pPr>
              <w:jc w:val="center"/>
              <w:rPr>
                <w:b/>
                <w:bCs/>
              </w:rPr>
            </w:pPr>
            <w:r>
              <w:rPr>
                <w:b/>
                <w:bCs/>
              </w:rPr>
              <w:t>Team Size</w:t>
            </w:r>
          </w:p>
        </w:tc>
        <w:tc>
          <w:tcPr>
            <w:tcW w:w="2685" w:type="dxa"/>
            <w:tcBorders>
              <w:top w:val="single" w:sz="6" w:space="0" w:color="CCCCCC"/>
              <w:left w:val="nil"/>
              <w:bottom w:val="single" w:sz="6" w:space="0" w:color="CCCCCC"/>
              <w:right w:val="single" w:sz="6" w:space="0" w:color="CCCCCC"/>
            </w:tcBorders>
            <w:shd w:val="clear" w:color="auto" w:fill="3C78D8"/>
            <w:tcMar>
              <w:top w:w="100" w:type="dxa"/>
              <w:left w:w="120" w:type="dxa"/>
              <w:bottom w:w="100" w:type="dxa"/>
              <w:right w:w="120" w:type="dxa"/>
            </w:tcMar>
          </w:tcPr>
          <w:p w14:paraId="13629A48" w14:textId="77777777" w:rsidR="00702F5C" w:rsidRDefault="00000000">
            <w:pPr>
              <w:jc w:val="center"/>
              <w:rPr>
                <w:b/>
                <w:bCs/>
              </w:rPr>
            </w:pPr>
            <w:r>
              <w:rPr>
                <w:b/>
                <w:bCs/>
              </w:rPr>
              <w:t>Tools / Stack</w:t>
            </w:r>
          </w:p>
        </w:tc>
      </w:tr>
      <w:tr w:rsidR="00702F5C" w14:paraId="3C3B45FB" w14:textId="77777777">
        <w:trPr>
          <w:trHeight w:val="855"/>
        </w:trPr>
        <w:tc>
          <w:tcPr>
            <w:tcW w:w="1500" w:type="dxa"/>
            <w:tcBorders>
              <w:top w:val="nil"/>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59586B86" w14:textId="77777777" w:rsidR="00702F5C" w:rsidRDefault="00000000">
            <w:pPr>
              <w:jc w:val="both"/>
              <w:rPr>
                <w:b/>
                <w:bCs/>
              </w:rPr>
            </w:pPr>
            <w:r>
              <w:rPr>
                <w:b/>
                <w:bCs/>
              </w:rPr>
              <w:t>Platform Development</w:t>
            </w:r>
          </w:p>
        </w:tc>
        <w:tc>
          <w:tcPr>
            <w:tcW w:w="3195" w:type="dxa"/>
            <w:tcBorders>
              <w:top w:val="nil"/>
              <w:left w:val="nil"/>
              <w:bottom w:val="single" w:sz="6" w:space="0" w:color="CCCCCC"/>
              <w:right w:val="single" w:sz="6" w:space="0" w:color="CCCCCC"/>
            </w:tcBorders>
            <w:shd w:val="clear" w:color="auto" w:fill="F2F2F2"/>
            <w:tcMar>
              <w:top w:w="80" w:type="dxa"/>
              <w:left w:w="120" w:type="dxa"/>
              <w:bottom w:w="80" w:type="dxa"/>
              <w:right w:w="120" w:type="dxa"/>
            </w:tcMar>
          </w:tcPr>
          <w:p w14:paraId="3021CD12" w14:textId="77777777" w:rsidR="00702F5C" w:rsidRDefault="00000000">
            <w:pPr>
              <w:jc w:val="both"/>
            </w:pPr>
            <w:r>
              <w:t>Backend infrastructure, simulation engine, database, API architecture</w:t>
            </w:r>
          </w:p>
        </w:tc>
        <w:tc>
          <w:tcPr>
            <w:tcW w:w="1635" w:type="dxa"/>
            <w:tcBorders>
              <w:top w:val="nil"/>
              <w:left w:val="nil"/>
              <w:bottom w:val="single" w:sz="6" w:space="0" w:color="CCCCCC"/>
              <w:right w:val="single" w:sz="6" w:space="0" w:color="CCCCCC"/>
            </w:tcBorders>
            <w:shd w:val="clear" w:color="auto" w:fill="F2F2F2"/>
            <w:tcMar>
              <w:top w:w="80" w:type="dxa"/>
              <w:left w:w="120" w:type="dxa"/>
              <w:bottom w:w="80" w:type="dxa"/>
              <w:right w:w="120" w:type="dxa"/>
            </w:tcMar>
          </w:tcPr>
          <w:p w14:paraId="1BC4F9C4" w14:textId="77777777" w:rsidR="00702F5C" w:rsidRDefault="00000000">
            <w:pPr>
              <w:jc w:val="both"/>
            </w:pPr>
            <w:r>
              <w:t>2 developers</w:t>
            </w:r>
          </w:p>
        </w:tc>
        <w:tc>
          <w:tcPr>
            <w:tcW w:w="2685" w:type="dxa"/>
            <w:tcBorders>
              <w:top w:val="nil"/>
              <w:left w:val="nil"/>
              <w:bottom w:val="single" w:sz="6" w:space="0" w:color="CCCCCC"/>
              <w:right w:val="single" w:sz="6" w:space="0" w:color="CCCCCC"/>
            </w:tcBorders>
            <w:shd w:val="clear" w:color="auto" w:fill="F2F2F2"/>
            <w:tcMar>
              <w:top w:w="80" w:type="dxa"/>
              <w:left w:w="120" w:type="dxa"/>
              <w:bottom w:w="80" w:type="dxa"/>
              <w:right w:w="120" w:type="dxa"/>
            </w:tcMar>
          </w:tcPr>
          <w:p w14:paraId="6EAE9FF4" w14:textId="77777777" w:rsidR="00702F5C" w:rsidRDefault="00000000">
            <w:pPr>
              <w:jc w:val="both"/>
            </w:pPr>
            <w:r>
              <w:t>Node.js / Python, PostgreSQL, REST API</w:t>
            </w:r>
          </w:p>
        </w:tc>
      </w:tr>
      <w:tr w:rsidR="00702F5C" w14:paraId="4206A006" w14:textId="77777777">
        <w:trPr>
          <w:trHeight w:val="1065"/>
        </w:trPr>
        <w:tc>
          <w:tcPr>
            <w:tcW w:w="1500"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8F88F37" w14:textId="77777777" w:rsidR="00702F5C" w:rsidRDefault="00000000">
            <w:pPr>
              <w:jc w:val="both"/>
              <w:rPr>
                <w:b/>
                <w:bCs/>
              </w:rPr>
            </w:pPr>
            <w:r>
              <w:rPr>
                <w:b/>
                <w:bCs/>
              </w:rPr>
              <w:t>AI Integration</w:t>
            </w:r>
          </w:p>
        </w:tc>
        <w:tc>
          <w:tcPr>
            <w:tcW w:w="319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029B1371" w14:textId="77777777" w:rsidR="00702F5C" w:rsidRDefault="00000000">
            <w:pPr>
              <w:jc w:val="both"/>
            </w:pPr>
            <w:r>
              <w:t>Scenario generation logic, decision analysis engine, personalized feedback module</w:t>
            </w:r>
          </w:p>
        </w:tc>
        <w:tc>
          <w:tcPr>
            <w:tcW w:w="163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12457D17" w14:textId="77777777" w:rsidR="00702F5C" w:rsidRDefault="00000000">
            <w:pPr>
              <w:jc w:val="both"/>
            </w:pPr>
            <w:r>
              <w:t>1–2 developers</w:t>
            </w:r>
          </w:p>
        </w:tc>
        <w:tc>
          <w:tcPr>
            <w:tcW w:w="268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0EDCA730" w14:textId="77777777" w:rsidR="00702F5C" w:rsidRDefault="00000000">
            <w:pPr>
              <w:jc w:val="both"/>
            </w:pPr>
            <w:r>
              <w:t>Python, LLM API (Anthropic / OpenAI), ML pipelines</w:t>
            </w:r>
          </w:p>
        </w:tc>
      </w:tr>
      <w:tr w:rsidR="00702F5C" w14:paraId="580D3985" w14:textId="77777777">
        <w:trPr>
          <w:trHeight w:val="1065"/>
        </w:trPr>
        <w:tc>
          <w:tcPr>
            <w:tcW w:w="1500" w:type="dxa"/>
            <w:tcBorders>
              <w:top w:val="nil"/>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1335D9E1" w14:textId="77777777" w:rsidR="00702F5C" w:rsidRDefault="00000000">
            <w:pPr>
              <w:jc w:val="both"/>
              <w:rPr>
                <w:b/>
                <w:bCs/>
              </w:rPr>
            </w:pPr>
            <w:r>
              <w:rPr>
                <w:b/>
                <w:bCs/>
              </w:rPr>
              <w:t>UI/UX Design</w:t>
            </w:r>
          </w:p>
        </w:tc>
        <w:tc>
          <w:tcPr>
            <w:tcW w:w="3195" w:type="dxa"/>
            <w:tcBorders>
              <w:top w:val="nil"/>
              <w:left w:val="nil"/>
              <w:bottom w:val="single" w:sz="6" w:space="0" w:color="CCCCCC"/>
              <w:right w:val="single" w:sz="6" w:space="0" w:color="CCCCCC"/>
            </w:tcBorders>
            <w:shd w:val="clear" w:color="auto" w:fill="F2F2F2"/>
            <w:tcMar>
              <w:top w:w="80" w:type="dxa"/>
              <w:left w:w="120" w:type="dxa"/>
              <w:bottom w:w="80" w:type="dxa"/>
              <w:right w:w="120" w:type="dxa"/>
            </w:tcMar>
          </w:tcPr>
          <w:p w14:paraId="13F43C19" w14:textId="77777777" w:rsidR="00702F5C" w:rsidRDefault="00000000">
            <w:pPr>
              <w:jc w:val="both"/>
            </w:pPr>
            <w:r>
              <w:t>Student dashboard, instructor panel, financial visualizations, mobile responsiveness</w:t>
            </w:r>
          </w:p>
        </w:tc>
        <w:tc>
          <w:tcPr>
            <w:tcW w:w="1635" w:type="dxa"/>
            <w:tcBorders>
              <w:top w:val="nil"/>
              <w:left w:val="nil"/>
              <w:bottom w:val="single" w:sz="6" w:space="0" w:color="CCCCCC"/>
              <w:right w:val="single" w:sz="6" w:space="0" w:color="CCCCCC"/>
            </w:tcBorders>
            <w:shd w:val="clear" w:color="auto" w:fill="F2F2F2"/>
            <w:tcMar>
              <w:top w:w="80" w:type="dxa"/>
              <w:left w:w="120" w:type="dxa"/>
              <w:bottom w:w="80" w:type="dxa"/>
              <w:right w:w="120" w:type="dxa"/>
            </w:tcMar>
          </w:tcPr>
          <w:p w14:paraId="1BB236C5" w14:textId="77777777" w:rsidR="00702F5C" w:rsidRDefault="00000000">
            <w:pPr>
              <w:jc w:val="both"/>
            </w:pPr>
            <w:r>
              <w:t>1 designer</w:t>
            </w:r>
          </w:p>
        </w:tc>
        <w:tc>
          <w:tcPr>
            <w:tcW w:w="2685" w:type="dxa"/>
            <w:tcBorders>
              <w:top w:val="nil"/>
              <w:left w:val="nil"/>
              <w:bottom w:val="single" w:sz="6" w:space="0" w:color="CCCCCC"/>
              <w:right w:val="single" w:sz="6" w:space="0" w:color="CCCCCC"/>
            </w:tcBorders>
            <w:shd w:val="clear" w:color="auto" w:fill="F2F2F2"/>
            <w:tcMar>
              <w:top w:w="80" w:type="dxa"/>
              <w:left w:w="120" w:type="dxa"/>
              <w:bottom w:w="80" w:type="dxa"/>
              <w:right w:w="120" w:type="dxa"/>
            </w:tcMar>
          </w:tcPr>
          <w:p w14:paraId="1EEBD313" w14:textId="77777777" w:rsidR="00702F5C" w:rsidRDefault="00000000">
            <w:pPr>
              <w:jc w:val="both"/>
            </w:pPr>
            <w:r>
              <w:t>Figma, React.js, Tailwind CSS</w:t>
            </w:r>
          </w:p>
        </w:tc>
      </w:tr>
      <w:tr w:rsidR="00702F5C" w14:paraId="50FF3022" w14:textId="77777777">
        <w:trPr>
          <w:trHeight w:val="855"/>
        </w:trPr>
        <w:tc>
          <w:tcPr>
            <w:tcW w:w="1500" w:type="dxa"/>
            <w:tcBorders>
              <w:top w:val="nil"/>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E64974F" w14:textId="77777777" w:rsidR="00702F5C" w:rsidRDefault="00000000">
            <w:pPr>
              <w:jc w:val="both"/>
              <w:rPr>
                <w:b/>
                <w:bCs/>
              </w:rPr>
            </w:pPr>
            <w:r>
              <w:rPr>
                <w:b/>
                <w:bCs/>
              </w:rPr>
              <w:t>Testing &amp; QA</w:t>
            </w:r>
          </w:p>
        </w:tc>
        <w:tc>
          <w:tcPr>
            <w:tcW w:w="319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440D6C12" w14:textId="77777777" w:rsidR="00702F5C" w:rsidRDefault="00000000">
            <w:pPr>
              <w:jc w:val="both"/>
            </w:pPr>
            <w:r>
              <w:t>Functional testing, simulation logic accuracy, performance benchmarking</w:t>
            </w:r>
          </w:p>
        </w:tc>
        <w:tc>
          <w:tcPr>
            <w:tcW w:w="163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51F7B51F" w14:textId="77777777" w:rsidR="00702F5C" w:rsidRDefault="00000000">
            <w:pPr>
              <w:jc w:val="both"/>
            </w:pPr>
            <w:r>
              <w:t>1 QA lead</w:t>
            </w:r>
          </w:p>
        </w:tc>
        <w:tc>
          <w:tcPr>
            <w:tcW w:w="2685"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26EC4426" w14:textId="77777777" w:rsidR="00702F5C" w:rsidRDefault="00000000">
            <w:pPr>
              <w:jc w:val="both"/>
            </w:pPr>
            <w:r>
              <w:t>Jest, manual testing protocol</w:t>
            </w:r>
          </w:p>
        </w:tc>
      </w:tr>
      <w:tr w:rsidR="00702F5C" w14:paraId="68DCF320" w14:textId="77777777">
        <w:trPr>
          <w:trHeight w:val="855"/>
        </w:trPr>
        <w:tc>
          <w:tcPr>
            <w:tcW w:w="1500" w:type="dxa"/>
            <w:tcBorders>
              <w:top w:val="nil"/>
              <w:left w:val="single" w:sz="6" w:space="0" w:color="CCCCCC"/>
              <w:bottom w:val="single" w:sz="6" w:space="0" w:color="CCCCCC"/>
              <w:right w:val="single" w:sz="6" w:space="0" w:color="CCCCCC"/>
            </w:tcBorders>
            <w:shd w:val="clear" w:color="auto" w:fill="F2F2F2"/>
            <w:tcMar>
              <w:top w:w="80" w:type="dxa"/>
              <w:left w:w="120" w:type="dxa"/>
              <w:bottom w:w="80" w:type="dxa"/>
              <w:right w:w="120" w:type="dxa"/>
            </w:tcMar>
          </w:tcPr>
          <w:p w14:paraId="68E66962" w14:textId="77777777" w:rsidR="00702F5C" w:rsidRDefault="00000000">
            <w:pPr>
              <w:jc w:val="both"/>
              <w:rPr>
                <w:b/>
                <w:bCs/>
              </w:rPr>
            </w:pPr>
            <w:r>
              <w:rPr>
                <w:b/>
                <w:bCs/>
              </w:rPr>
              <w:t>Operations &amp; Outreach</w:t>
            </w:r>
          </w:p>
        </w:tc>
        <w:tc>
          <w:tcPr>
            <w:tcW w:w="3195" w:type="dxa"/>
            <w:tcBorders>
              <w:top w:val="nil"/>
              <w:left w:val="nil"/>
              <w:bottom w:val="single" w:sz="6" w:space="0" w:color="CCCCCC"/>
              <w:right w:val="single" w:sz="6" w:space="0" w:color="CCCCCC"/>
            </w:tcBorders>
            <w:shd w:val="clear" w:color="auto" w:fill="F2F2F2"/>
            <w:tcMar>
              <w:top w:w="80" w:type="dxa"/>
              <w:left w:w="120" w:type="dxa"/>
              <w:bottom w:w="80" w:type="dxa"/>
              <w:right w:w="120" w:type="dxa"/>
            </w:tcMar>
          </w:tcPr>
          <w:p w14:paraId="6A65B70E" w14:textId="77777777" w:rsidR="00702F5C" w:rsidRDefault="00000000">
            <w:pPr>
              <w:jc w:val="both"/>
            </w:pPr>
            <w:r>
              <w:t>University partnerships, onboarding, support, institutional marketing</w:t>
            </w:r>
          </w:p>
        </w:tc>
        <w:tc>
          <w:tcPr>
            <w:tcW w:w="1635" w:type="dxa"/>
            <w:tcBorders>
              <w:top w:val="nil"/>
              <w:left w:val="nil"/>
              <w:bottom w:val="single" w:sz="6" w:space="0" w:color="CCCCCC"/>
              <w:right w:val="single" w:sz="6" w:space="0" w:color="CCCCCC"/>
            </w:tcBorders>
            <w:shd w:val="clear" w:color="auto" w:fill="F2F2F2"/>
            <w:tcMar>
              <w:top w:w="80" w:type="dxa"/>
              <w:left w:w="120" w:type="dxa"/>
              <w:bottom w:w="80" w:type="dxa"/>
              <w:right w:w="120" w:type="dxa"/>
            </w:tcMar>
          </w:tcPr>
          <w:p w14:paraId="5B2C87D9" w14:textId="77777777" w:rsidR="00702F5C" w:rsidRDefault="00000000">
            <w:pPr>
              <w:jc w:val="both"/>
            </w:pPr>
            <w:r>
              <w:t>1–2 members</w:t>
            </w:r>
          </w:p>
        </w:tc>
        <w:tc>
          <w:tcPr>
            <w:tcW w:w="2685" w:type="dxa"/>
            <w:tcBorders>
              <w:top w:val="nil"/>
              <w:left w:val="nil"/>
              <w:bottom w:val="single" w:sz="6" w:space="0" w:color="CCCCCC"/>
              <w:right w:val="single" w:sz="6" w:space="0" w:color="CCCCCC"/>
            </w:tcBorders>
            <w:shd w:val="clear" w:color="auto" w:fill="F2F2F2"/>
            <w:tcMar>
              <w:top w:w="80" w:type="dxa"/>
              <w:left w:w="120" w:type="dxa"/>
              <w:bottom w:w="80" w:type="dxa"/>
              <w:right w:w="120" w:type="dxa"/>
            </w:tcMar>
          </w:tcPr>
          <w:p w14:paraId="56648206" w14:textId="77777777" w:rsidR="00702F5C" w:rsidRDefault="00000000">
            <w:pPr>
              <w:jc w:val="both"/>
            </w:pPr>
            <w:r>
              <w:t>CRM, email outreach, demo decks</w:t>
            </w:r>
          </w:p>
        </w:tc>
      </w:tr>
    </w:tbl>
    <w:p w14:paraId="7F67EF62" w14:textId="77777777" w:rsidR="00702F5C" w:rsidRDefault="00000000">
      <w:pPr>
        <w:spacing w:before="60" w:after="120"/>
        <w:jc w:val="center"/>
      </w:pPr>
      <w:r>
        <w:rPr>
          <w:i/>
          <w:iCs/>
        </w:rPr>
        <w:t>Table G.2  Functional team structure for prototype and early-adoption phase.</w:t>
      </w:r>
    </w:p>
    <w:p w14:paraId="51577DDC" w14:textId="77777777" w:rsidR="00702F5C" w:rsidRDefault="00000000">
      <w:pPr>
        <w:spacing w:before="60" w:after="80"/>
        <w:jc w:val="both"/>
        <w:rPr>
          <w:b/>
          <w:bCs/>
        </w:rPr>
      </w:pPr>
      <w:r>
        <w:rPr>
          <w:b/>
          <w:bCs/>
        </w:rPr>
        <w:t>Infrastructure and Resources</w:t>
      </w:r>
    </w:p>
    <w:p w14:paraId="2484331F" w14:textId="77777777" w:rsidR="00702F5C" w:rsidRDefault="00000000">
      <w:pPr>
        <w:spacing w:before="40" w:after="60"/>
        <w:jc w:val="both"/>
      </w:pPr>
      <w:r>
        <w:t xml:space="preserve">The platform will be delivered as a cloud-hosted web application accessible from any modern browser and device, requiring no client-side installation from students or institutions. Core </w:t>
      </w:r>
      <w:r>
        <w:lastRenderedPageBreak/>
        <w:t>infrastructure will run on standard cloud services (AWS, GCP, or Azure) with usage-based pricing, keeping early-stage costs low and allowing the system to scale proportionally with adoption. The AI feedback engine will use a large language model API rather than an in-house trained model, keeping development scope realistic while delivering high-quality, context-aware qualitative output after each simulation round.</w:t>
      </w:r>
    </w:p>
    <w:p w14:paraId="7EA9E9B3" w14:textId="77777777" w:rsidR="00702F5C" w:rsidRDefault="00000000">
      <w:pPr>
        <w:spacing w:before="240" w:after="80"/>
        <w:jc w:val="both"/>
        <w:rPr>
          <w:b/>
          <w:bCs/>
        </w:rPr>
      </w:pPr>
      <w:r>
        <w:rPr>
          <w:b/>
          <w:bCs/>
        </w:rPr>
        <w:t>Management Methods</w:t>
      </w:r>
    </w:p>
    <w:p w14:paraId="57777621" w14:textId="77777777" w:rsidR="00702F5C" w:rsidRDefault="00000000">
      <w:pPr>
        <w:spacing w:before="40" w:after="60"/>
        <w:jc w:val="both"/>
      </w:pPr>
      <w:r>
        <w:t xml:space="preserve">Development across all four phases will follow a sprint-based workflow with each time block mapped to a defined deliverable, from the 8-week prototype build through the Month 19–24 national commercial expansion, ensuring every stage in Section J will produce a concrete, reviewable output. All code will be version-controlled through Git with a mandatory peer review before any merge, a non-negotiable requirement that will hold from Week 1 through Month 24, given that simulation logic errors at any stage could directly undermine instructor confidence and institutional retention. Each new partner university, whether a subsidized pilot in Weeks 4–6 or a paying institution onboarded during the Month 3–6 early adoption or Month 13–18 regional scaling phases, will move through the same four-step onboarding protocol: technical setup, instructor walkthrough, student orientation, and a structured end-of-semester debrief. Debrief feedback will feed directly into the product backlog at every phase, driving sprint priorities in Months 3–6, LMS integration decisions in Months 7–9, B2B campaign positioning in Months 10–12, and customer success operations in Months 19–24 that will sustain the 85% retention rate underpinning Year 2 revenue projections. </w:t>
      </w:r>
    </w:p>
    <w:p w14:paraId="1CFBC4CE" w14:textId="77777777" w:rsidR="00702F5C" w:rsidRDefault="00702F5C">
      <w:pPr>
        <w:spacing w:before="40" w:after="60"/>
        <w:jc w:val="both"/>
      </w:pPr>
    </w:p>
    <w:p w14:paraId="01B9CD22" w14:textId="77777777" w:rsidR="00702F5C" w:rsidRDefault="00000000">
      <w:pPr>
        <w:rPr>
          <w:b/>
          <w:bCs/>
        </w:rPr>
      </w:pPr>
      <w:r>
        <w:rPr>
          <w:b/>
          <w:bCs/>
        </w:rPr>
        <w:t>H. Marketing Strategy (</w:t>
      </w:r>
      <w:r>
        <w:rPr>
          <w:b/>
          <w:bCs/>
          <w:highlight w:val="white"/>
        </w:rPr>
        <w:t>7Ps Framework)</w:t>
      </w:r>
    </w:p>
    <w:p w14:paraId="4FFF50F7" w14:textId="77777777" w:rsidR="00702F5C" w:rsidRDefault="00702F5C">
      <w:pPr>
        <w:rPr>
          <w:b/>
          <w:bCs/>
        </w:rPr>
      </w:pPr>
    </w:p>
    <w:p w14:paraId="10D1F5BE" w14:textId="77777777" w:rsidR="00702F5C" w:rsidRDefault="00000000">
      <w:pPr>
        <w:rPr>
          <w:b/>
          <w:bCs/>
        </w:rPr>
      </w:pPr>
      <w:r>
        <w:rPr>
          <w:b/>
          <w:bCs/>
        </w:rPr>
        <w:t>Details the Product</w:t>
      </w:r>
    </w:p>
    <w:p w14:paraId="61CD349E" w14:textId="77777777" w:rsidR="00702F5C" w:rsidRDefault="00000000">
      <w:pPr>
        <w:rPr>
          <w:b/>
          <w:bCs/>
        </w:rPr>
      </w:pPr>
      <w:r>
        <w:rPr>
          <w:highlight w:val="white"/>
        </w:rPr>
        <w:t>B-Sim AI is an AI-driven macroeconomic simulation platform featuring real-time dashboards, an executive decision core, and an automated evaluation assistant that generates dynamic, non-repetitive market environments</w:t>
      </w:r>
      <w:r>
        <w:rPr>
          <w:b/>
          <w:bCs/>
        </w:rPr>
        <w:t xml:space="preserve"> </w:t>
      </w:r>
    </w:p>
    <w:p w14:paraId="18686CE3" w14:textId="77777777" w:rsidR="00702F5C" w:rsidRDefault="00000000">
      <w:pPr>
        <w:jc w:val="both"/>
        <w:rPr>
          <w:b/>
          <w:bCs/>
        </w:rPr>
      </w:pPr>
      <w:r>
        <w:rPr>
          <w:b/>
          <w:bCs/>
        </w:rPr>
        <w:t>Price</w:t>
      </w:r>
    </w:p>
    <w:p w14:paraId="792611FC" w14:textId="77777777" w:rsidR="00702F5C" w:rsidRDefault="00000000">
      <w:pPr>
        <w:jc w:val="both"/>
        <w:rPr>
          <w:i/>
          <w:iCs/>
        </w:rPr>
      </w:pPr>
      <w:r>
        <w:rPr>
          <w:highlight w:val="white"/>
        </w:rPr>
        <w:t>The hybrid pricing model combines flexible usage-based fees (15–30 per student/term) with annual institutional SaaS tiers ranging from $3,500 (small cohorts) to $15,000 (enterprise unlimited access).</w:t>
      </w:r>
      <w:r>
        <w:rPr>
          <w:i/>
          <w:iCs/>
        </w:rPr>
        <w:t xml:space="preserve"> </w:t>
      </w:r>
    </w:p>
    <w:p w14:paraId="448CE25D" w14:textId="77777777" w:rsidR="00702F5C" w:rsidRDefault="00000000">
      <w:pPr>
        <w:pStyle w:val="Heading2"/>
        <w:keepNext w:val="0"/>
        <w:keepLines w:val="0"/>
        <w:spacing w:after="80"/>
        <w:jc w:val="both"/>
        <w:rPr>
          <w:b/>
          <w:bCs/>
          <w:sz w:val="22"/>
          <w:szCs w:val="22"/>
        </w:rPr>
      </w:pPr>
      <w:bookmarkStart w:id="0" w:name="_5vyyz0re51tr" w:colFirst="0" w:colLast="0"/>
      <w:bookmarkEnd w:id="0"/>
      <w:r>
        <w:rPr>
          <w:b/>
          <w:bCs/>
          <w:sz w:val="22"/>
          <w:szCs w:val="22"/>
          <w:highlight w:val="white"/>
        </w:rPr>
        <w:t>Promotion &amp; Placement</w:t>
      </w:r>
      <w:r>
        <w:rPr>
          <w:b/>
          <w:bCs/>
          <w:sz w:val="22"/>
          <w:szCs w:val="22"/>
        </w:rPr>
        <w:t xml:space="preserve"> </w:t>
      </w:r>
    </w:p>
    <w:p w14:paraId="6BD4E053" w14:textId="77777777" w:rsidR="00702F5C" w:rsidRDefault="00000000">
      <w:pPr>
        <w:spacing w:after="240"/>
        <w:jc w:val="both"/>
      </w:pPr>
      <w:r>
        <w:rPr>
          <w:highlight w:val="white"/>
        </w:rPr>
        <w:t>Distribution is executed seamlessly via direct Learning Management System (LMS) integration (SSO/LTI). Promotion relies on consultative academic alignment, efficacy reports, and student brand ambassadors rather than aggressive direct sales.</w:t>
      </w:r>
      <w:r>
        <w:t xml:space="preserve"> </w:t>
      </w:r>
    </w:p>
    <w:p w14:paraId="60AEC87C" w14:textId="77777777" w:rsidR="00702F5C" w:rsidRDefault="00000000">
      <w:pPr>
        <w:jc w:val="both"/>
        <w:rPr>
          <w:b/>
          <w:bCs/>
        </w:rPr>
      </w:pPr>
      <w:r>
        <w:rPr>
          <w:b/>
          <w:bCs/>
        </w:rPr>
        <w:t xml:space="preserve"> </w:t>
      </w:r>
      <w:r>
        <w:rPr>
          <w:b/>
          <w:bCs/>
          <w:highlight w:val="white"/>
        </w:rPr>
        <w:t>Process, People &amp; Physical Evidence</w:t>
      </w:r>
      <w:r>
        <w:rPr>
          <w:b/>
          <w:bCs/>
        </w:rPr>
        <w:t xml:space="preserve">  </w:t>
      </w:r>
    </w:p>
    <w:p w14:paraId="2C4E3276" w14:textId="77777777" w:rsidR="00702F5C" w:rsidRDefault="00000000">
      <w:pPr>
        <w:jc w:val="both"/>
      </w:pPr>
      <w:r>
        <w:rPr>
          <w:highlight w:val="white"/>
        </w:rPr>
        <w:t>A structured 5-stage onboarding pipeline is actively supported by instructional designers and customer success managers to ensure high retention. Institutional trust is further reinforced by enterprise-grade UI/UX, published impact whitepapers, and tangible prestige markers from simulation championships.</w:t>
      </w:r>
      <w:r>
        <w:t xml:space="preserve"> </w:t>
      </w:r>
    </w:p>
    <w:p w14:paraId="4EF2A48B" w14:textId="77777777" w:rsidR="00702F5C" w:rsidRDefault="00702F5C">
      <w:pPr>
        <w:jc w:val="both"/>
      </w:pPr>
    </w:p>
    <w:p w14:paraId="4D9F53DE" w14:textId="77777777" w:rsidR="00702F5C" w:rsidRDefault="00000000">
      <w:pPr>
        <w:jc w:val="both"/>
        <w:rPr>
          <w:b/>
          <w:bCs/>
        </w:rPr>
      </w:pPr>
      <w:r>
        <w:rPr>
          <w:b/>
          <w:bCs/>
        </w:rPr>
        <w:t>I. Business Analysis</w:t>
      </w:r>
    </w:p>
    <w:p w14:paraId="746150A6" w14:textId="77777777" w:rsidR="00702F5C" w:rsidRDefault="00000000">
      <w:pPr>
        <w:jc w:val="both"/>
        <w:rPr>
          <w:b/>
          <w:bCs/>
        </w:rPr>
      </w:pPr>
      <w:r>
        <w:rPr>
          <w:highlight w:val="white"/>
        </w:rPr>
        <w:t>A strategic assessment reveals how the platform's core technology interacts with market opportunities and operational realities.</w:t>
      </w:r>
      <w:r>
        <w:rPr>
          <w:b/>
          <w:bCs/>
        </w:rPr>
        <w:t xml:space="preserve"> </w:t>
      </w:r>
    </w:p>
    <w:p w14:paraId="545FEAD0" w14:textId="77777777" w:rsidR="00702F5C" w:rsidRDefault="00000000">
      <w:pPr>
        <w:jc w:val="both"/>
        <w:rPr>
          <w:b/>
          <w:bCs/>
        </w:rPr>
      </w:pPr>
      <w:r>
        <w:rPr>
          <w:b/>
          <w:bCs/>
          <w:sz w:val="24"/>
          <w:szCs w:val="24"/>
          <w:highlight w:val="white"/>
        </w:rPr>
        <w:lastRenderedPageBreak/>
        <w:t>Figure I.2: SWOT Analysis evaluating the strategic positioning and market risks.</w:t>
      </w:r>
      <w:r>
        <w:rPr>
          <w:b/>
          <w:bCs/>
        </w:rPr>
        <w:t xml:space="preserve"> </w:t>
      </w:r>
    </w:p>
    <w:p w14:paraId="7EC006CC" w14:textId="77777777" w:rsidR="00702F5C" w:rsidRDefault="00702F5C">
      <w:pPr>
        <w:jc w:val="both"/>
        <w:rPr>
          <w:b/>
          <w:bCs/>
          <w:highlight w:val="yellow"/>
        </w:rPr>
      </w:pPr>
    </w:p>
    <w:p w14:paraId="27D1CD20" w14:textId="77777777" w:rsidR="00702F5C" w:rsidRDefault="00000000">
      <w:pPr>
        <w:jc w:val="center"/>
        <w:rPr>
          <w:highlight w:val="white"/>
        </w:rPr>
      </w:pPr>
      <w:r>
        <w:rPr>
          <w:noProof/>
          <w:highlight w:val="white"/>
        </w:rPr>
        <w:drawing>
          <wp:inline distT="114300" distB="114300" distL="114300" distR="114300" wp14:anchorId="75E1565A" wp14:editId="60BAC131">
            <wp:extent cx="4855938" cy="4005263"/>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l="14799" r="17002"/>
                    <a:stretch>
                      <a:fillRect/>
                    </a:stretch>
                  </pic:blipFill>
                  <pic:spPr>
                    <a:xfrm>
                      <a:off x="0" y="0"/>
                      <a:ext cx="4855938" cy="4005263"/>
                    </a:xfrm>
                    <a:prstGeom prst="rect">
                      <a:avLst/>
                    </a:prstGeom>
                    <a:ln/>
                  </pic:spPr>
                </pic:pic>
              </a:graphicData>
            </a:graphic>
          </wp:inline>
        </w:drawing>
      </w:r>
      <w:r>
        <w:rPr>
          <w:noProof/>
          <w:highlight w:val="white"/>
        </w:rPr>
        <w:drawing>
          <wp:inline distT="114300" distB="114300" distL="114300" distR="114300" wp14:anchorId="7792506F" wp14:editId="4324B825">
            <wp:extent cx="5731200" cy="32258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731200" cy="3225800"/>
                    </a:xfrm>
                    <a:prstGeom prst="rect">
                      <a:avLst/>
                    </a:prstGeom>
                    <a:ln/>
                  </pic:spPr>
                </pic:pic>
              </a:graphicData>
            </a:graphic>
          </wp:inline>
        </w:drawing>
      </w:r>
    </w:p>
    <w:p w14:paraId="36B718C5" w14:textId="77777777" w:rsidR="00702F5C" w:rsidRDefault="00000000">
      <w:pPr>
        <w:jc w:val="center"/>
        <w:rPr>
          <w:i/>
          <w:iCs/>
          <w:highlight w:val="white"/>
        </w:rPr>
      </w:pPr>
      <w:r>
        <w:rPr>
          <w:b/>
          <w:bCs/>
          <w:i/>
          <w:iCs/>
          <w:color w:val="303030"/>
          <w:sz w:val="24"/>
          <w:szCs w:val="24"/>
          <w:highlight w:val="white"/>
        </w:rPr>
        <w:t>Figure I.2: Business Model Canvas outlining the operational and revenue framework.</w:t>
      </w:r>
      <w:r>
        <w:rPr>
          <w:i/>
          <w:iCs/>
          <w:highlight w:val="white"/>
        </w:rPr>
        <w:t xml:space="preserve"> </w:t>
      </w:r>
    </w:p>
    <w:p w14:paraId="293E16BC" w14:textId="77777777" w:rsidR="00702F5C" w:rsidRDefault="00000000">
      <w:pPr>
        <w:rPr>
          <w:b/>
          <w:bCs/>
        </w:rPr>
      </w:pPr>
      <w:r>
        <w:rPr>
          <w:b/>
          <w:bCs/>
        </w:rPr>
        <w:t>Mockup</w:t>
      </w:r>
    </w:p>
    <w:p w14:paraId="4DFAE39E" w14:textId="77777777" w:rsidR="00702F5C" w:rsidRDefault="00702F5C">
      <w:pPr>
        <w:rPr>
          <w:b/>
          <w:bCs/>
        </w:rPr>
      </w:pPr>
    </w:p>
    <w:p w14:paraId="2CFAFC84" w14:textId="77777777" w:rsidR="00702F5C" w:rsidRDefault="00000000">
      <w:pPr>
        <w:rPr>
          <w:b/>
          <w:bCs/>
        </w:rPr>
      </w:pPr>
      <w:r>
        <w:rPr>
          <w:highlight w:val="white"/>
        </w:rPr>
        <w:t xml:space="preserve">The following mockups illustrate the core interactive interfaces of the B-Sim AI platform. These specific dashboards provide student teams with real-time analytics on their human </w:t>
      </w:r>
      <w:r>
        <w:rPr>
          <w:highlight w:val="white"/>
        </w:rPr>
        <w:lastRenderedPageBreak/>
        <w:t>resource allocation, workforce performance metrics, and comprehensive income statements. By visualizing these complex operational and financial datasets, the platform enables students to continuously monitor their operational efficiency and make data-driven strategic adjustments in response to the dynamic simulation environment.</w:t>
      </w:r>
      <w:r>
        <w:rPr>
          <w:b/>
          <w:bCs/>
        </w:rPr>
        <w:t xml:space="preserve"> </w:t>
      </w:r>
    </w:p>
    <w:p w14:paraId="33B61ECF" w14:textId="77777777" w:rsidR="00702F5C" w:rsidRDefault="00000000">
      <w:pPr>
        <w:spacing w:before="240" w:after="80"/>
        <w:jc w:val="center"/>
      </w:pPr>
      <w:r>
        <w:rPr>
          <w:noProof/>
        </w:rPr>
        <w:drawing>
          <wp:inline distT="114300" distB="114300" distL="114300" distR="114300" wp14:anchorId="72B94D2A" wp14:editId="49D22969">
            <wp:extent cx="5302088" cy="417967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302088" cy="4179670"/>
                    </a:xfrm>
                    <a:prstGeom prst="rect">
                      <a:avLst/>
                    </a:prstGeom>
                    <a:ln/>
                  </pic:spPr>
                </pic:pic>
              </a:graphicData>
            </a:graphic>
          </wp:inline>
        </w:drawing>
      </w:r>
    </w:p>
    <w:p w14:paraId="6CC8B048" w14:textId="77777777" w:rsidR="00702F5C" w:rsidRDefault="00000000">
      <w:pPr>
        <w:spacing w:before="240" w:after="80"/>
        <w:jc w:val="center"/>
      </w:pPr>
      <w:r>
        <w:rPr>
          <w:i/>
          <w:iCs/>
          <w:highlight w:val="white"/>
        </w:rPr>
        <w:t>Figure I.3: B-Sim AI interactive student dashboard featuring detailed Human Resources performance analytics and dynamic financial reporting.</w:t>
      </w:r>
    </w:p>
    <w:p w14:paraId="6A1FA620" w14:textId="77777777" w:rsidR="00702F5C" w:rsidRDefault="00702F5C">
      <w:pPr>
        <w:spacing w:before="240" w:after="80"/>
        <w:jc w:val="center"/>
      </w:pPr>
    </w:p>
    <w:p w14:paraId="5B351016" w14:textId="77777777" w:rsidR="00702F5C" w:rsidRDefault="00000000">
      <w:pPr>
        <w:rPr>
          <w:b/>
          <w:bCs/>
        </w:rPr>
      </w:pPr>
      <w:r>
        <w:rPr>
          <w:b/>
          <w:bCs/>
        </w:rPr>
        <w:t>J. Activity Timeline</w:t>
      </w:r>
    </w:p>
    <w:p w14:paraId="1DB6FC81" w14:textId="77777777" w:rsidR="00702F5C" w:rsidRDefault="00702F5C"/>
    <w:tbl>
      <w:tblPr>
        <w:tblStyle w:val="a4"/>
        <w:tblW w:w="902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45"/>
        <w:gridCol w:w="1215"/>
        <w:gridCol w:w="2490"/>
        <w:gridCol w:w="4071"/>
      </w:tblGrid>
      <w:tr w:rsidR="00702F5C" w14:paraId="139939DF" w14:textId="77777777">
        <w:tc>
          <w:tcPr>
            <w:tcW w:w="1245" w:type="dxa"/>
            <w:tcBorders>
              <w:top w:val="single" w:sz="6" w:space="0" w:color="CCCCCC"/>
              <w:left w:val="single" w:sz="6" w:space="0" w:color="CCCCCC"/>
              <w:bottom w:val="single" w:sz="6" w:space="0" w:color="CCCCCC"/>
              <w:right w:val="single" w:sz="6" w:space="0" w:color="CCCCCC"/>
            </w:tcBorders>
            <w:shd w:val="clear" w:color="auto" w:fill="134F5C"/>
            <w:tcMar>
              <w:top w:w="100" w:type="dxa"/>
              <w:left w:w="120" w:type="dxa"/>
              <w:bottom w:w="100" w:type="dxa"/>
              <w:right w:w="120" w:type="dxa"/>
            </w:tcMar>
          </w:tcPr>
          <w:p w14:paraId="1001928B" w14:textId="77777777" w:rsidR="00702F5C" w:rsidRDefault="00000000">
            <w:pPr>
              <w:jc w:val="center"/>
              <w:rPr>
                <w:b/>
                <w:bCs/>
                <w:color w:val="F3F3F3"/>
              </w:rPr>
            </w:pPr>
            <w:r>
              <w:rPr>
                <w:b/>
                <w:bCs/>
                <w:color w:val="F3F3F3"/>
              </w:rPr>
              <w:t>Phase</w:t>
            </w:r>
          </w:p>
        </w:tc>
        <w:tc>
          <w:tcPr>
            <w:tcW w:w="1215" w:type="dxa"/>
            <w:tcBorders>
              <w:top w:val="single" w:sz="6" w:space="0" w:color="CCCCCC"/>
              <w:left w:val="single" w:sz="6" w:space="0" w:color="CCCCCC"/>
              <w:bottom w:val="single" w:sz="6" w:space="0" w:color="CCCCCC"/>
              <w:right w:val="single" w:sz="6" w:space="0" w:color="CCCCCC"/>
            </w:tcBorders>
            <w:shd w:val="clear" w:color="auto" w:fill="134F5C"/>
            <w:tcMar>
              <w:top w:w="100" w:type="dxa"/>
              <w:left w:w="120" w:type="dxa"/>
              <w:bottom w:w="100" w:type="dxa"/>
              <w:right w:w="120" w:type="dxa"/>
            </w:tcMar>
          </w:tcPr>
          <w:p w14:paraId="275FA262" w14:textId="77777777" w:rsidR="00702F5C" w:rsidRDefault="00000000">
            <w:pPr>
              <w:jc w:val="center"/>
              <w:rPr>
                <w:b/>
                <w:bCs/>
                <w:color w:val="F3F3F3"/>
              </w:rPr>
            </w:pPr>
            <w:r>
              <w:rPr>
                <w:b/>
                <w:bCs/>
                <w:color w:val="F3F3F3"/>
              </w:rPr>
              <w:t xml:space="preserve"> Time</w:t>
            </w:r>
          </w:p>
        </w:tc>
        <w:tc>
          <w:tcPr>
            <w:tcW w:w="2490" w:type="dxa"/>
            <w:tcBorders>
              <w:top w:val="single" w:sz="6" w:space="0" w:color="CCCCCC"/>
              <w:left w:val="nil"/>
              <w:bottom w:val="single" w:sz="6" w:space="0" w:color="CCCCCC"/>
              <w:right w:val="single" w:sz="6" w:space="0" w:color="CCCCCC"/>
            </w:tcBorders>
            <w:shd w:val="clear" w:color="auto" w:fill="134F5C"/>
            <w:tcMar>
              <w:top w:w="100" w:type="dxa"/>
              <w:left w:w="120" w:type="dxa"/>
              <w:bottom w:w="100" w:type="dxa"/>
              <w:right w:w="120" w:type="dxa"/>
            </w:tcMar>
          </w:tcPr>
          <w:p w14:paraId="1AE552CF" w14:textId="77777777" w:rsidR="00702F5C" w:rsidRDefault="00000000">
            <w:pPr>
              <w:jc w:val="center"/>
              <w:rPr>
                <w:b/>
                <w:bCs/>
                <w:color w:val="F3F3F3"/>
              </w:rPr>
            </w:pPr>
            <w:r>
              <w:rPr>
                <w:b/>
                <w:bCs/>
                <w:color w:val="F3F3F3"/>
              </w:rPr>
              <w:t>Activity Stage</w:t>
            </w:r>
          </w:p>
        </w:tc>
        <w:tc>
          <w:tcPr>
            <w:tcW w:w="4071" w:type="dxa"/>
            <w:tcBorders>
              <w:top w:val="single" w:sz="6" w:space="0" w:color="CCCCCC"/>
              <w:left w:val="nil"/>
              <w:bottom w:val="single" w:sz="6" w:space="0" w:color="CCCCCC"/>
              <w:right w:val="single" w:sz="6" w:space="0" w:color="CCCCCC"/>
            </w:tcBorders>
            <w:shd w:val="clear" w:color="auto" w:fill="134F5C"/>
            <w:tcMar>
              <w:top w:w="100" w:type="dxa"/>
              <w:left w:w="120" w:type="dxa"/>
              <w:bottom w:w="100" w:type="dxa"/>
              <w:right w:w="120" w:type="dxa"/>
            </w:tcMar>
          </w:tcPr>
          <w:p w14:paraId="6AA6946E" w14:textId="77777777" w:rsidR="00702F5C" w:rsidRDefault="00000000">
            <w:pPr>
              <w:jc w:val="center"/>
              <w:rPr>
                <w:b/>
                <w:bCs/>
                <w:color w:val="F3F3F3"/>
              </w:rPr>
            </w:pPr>
            <w:r>
              <w:rPr>
                <w:b/>
                <w:bCs/>
                <w:color w:val="F3F3F3"/>
              </w:rPr>
              <w:t>Description</w:t>
            </w:r>
          </w:p>
        </w:tc>
      </w:tr>
      <w:tr w:rsidR="00702F5C" w14:paraId="009FA9A4" w14:textId="77777777">
        <w:trPr>
          <w:trHeight w:val="420"/>
        </w:trPr>
        <w:tc>
          <w:tcPr>
            <w:tcW w:w="1245" w:type="dxa"/>
            <w:vMerge w:val="restart"/>
            <w:tcMar>
              <w:top w:w="100" w:type="dxa"/>
              <w:left w:w="100" w:type="dxa"/>
              <w:bottom w:w="100" w:type="dxa"/>
              <w:right w:w="100" w:type="dxa"/>
            </w:tcMar>
          </w:tcPr>
          <w:p w14:paraId="784DE7CA" w14:textId="77777777" w:rsidR="00702F5C" w:rsidRDefault="00000000">
            <w:pPr>
              <w:widowControl w:val="0"/>
              <w:pBdr>
                <w:top w:val="nil"/>
                <w:left w:val="nil"/>
                <w:bottom w:val="nil"/>
                <w:right w:val="nil"/>
                <w:between w:val="nil"/>
              </w:pBdr>
              <w:jc w:val="center"/>
            </w:pPr>
            <w:r>
              <w:t>1</w:t>
            </w:r>
          </w:p>
        </w:tc>
        <w:tc>
          <w:tcPr>
            <w:tcW w:w="1215" w:type="dxa"/>
            <w:tcMar>
              <w:top w:w="100" w:type="dxa"/>
              <w:left w:w="100" w:type="dxa"/>
              <w:bottom w:w="100" w:type="dxa"/>
              <w:right w:w="100" w:type="dxa"/>
            </w:tcMar>
          </w:tcPr>
          <w:p w14:paraId="5FC23108" w14:textId="77777777" w:rsidR="00702F5C" w:rsidRDefault="00000000">
            <w:pPr>
              <w:widowControl w:val="0"/>
              <w:pBdr>
                <w:top w:val="nil"/>
                <w:left w:val="nil"/>
                <w:bottom w:val="nil"/>
                <w:right w:val="nil"/>
                <w:between w:val="nil"/>
              </w:pBdr>
              <w:jc w:val="center"/>
            </w:pPr>
            <w:r>
              <w:t>Week 1-3</w:t>
            </w:r>
          </w:p>
        </w:tc>
        <w:tc>
          <w:tcPr>
            <w:tcW w:w="2490" w:type="dxa"/>
            <w:tcMar>
              <w:top w:w="100" w:type="dxa"/>
              <w:left w:w="100" w:type="dxa"/>
              <w:bottom w:w="100" w:type="dxa"/>
              <w:right w:w="100" w:type="dxa"/>
            </w:tcMar>
          </w:tcPr>
          <w:p w14:paraId="37DFFB77" w14:textId="77777777" w:rsidR="00702F5C" w:rsidRDefault="00000000">
            <w:pPr>
              <w:widowControl w:val="0"/>
              <w:pBdr>
                <w:top w:val="nil"/>
                <w:left w:val="nil"/>
                <w:bottom w:val="nil"/>
                <w:right w:val="nil"/>
                <w:between w:val="nil"/>
              </w:pBdr>
            </w:pPr>
            <w:r>
              <w:t>Building Core system &amp; AI Development</w:t>
            </w:r>
          </w:p>
        </w:tc>
        <w:tc>
          <w:tcPr>
            <w:tcW w:w="4071" w:type="dxa"/>
            <w:tcMar>
              <w:top w:w="100" w:type="dxa"/>
              <w:left w:w="100" w:type="dxa"/>
              <w:bottom w:w="100" w:type="dxa"/>
              <w:right w:w="100" w:type="dxa"/>
            </w:tcMar>
          </w:tcPr>
          <w:p w14:paraId="26BECBDD" w14:textId="77777777" w:rsidR="00702F5C" w:rsidRDefault="00000000">
            <w:pPr>
              <w:widowControl w:val="0"/>
              <w:pBdr>
                <w:top w:val="nil"/>
                <w:left w:val="nil"/>
                <w:bottom w:val="nil"/>
                <w:right w:val="nil"/>
                <w:between w:val="nil"/>
              </w:pBdr>
              <w:jc w:val="both"/>
            </w:pPr>
            <w:r>
              <w:t>Design UI/UX, set up core databases, and program AI features.</w:t>
            </w:r>
          </w:p>
        </w:tc>
      </w:tr>
      <w:tr w:rsidR="00702F5C" w14:paraId="0AC6E0A0" w14:textId="77777777">
        <w:trPr>
          <w:trHeight w:val="420"/>
        </w:trPr>
        <w:tc>
          <w:tcPr>
            <w:tcW w:w="1245" w:type="dxa"/>
            <w:vMerge/>
            <w:tcMar>
              <w:top w:w="100" w:type="dxa"/>
              <w:left w:w="100" w:type="dxa"/>
              <w:bottom w:w="100" w:type="dxa"/>
              <w:right w:w="100" w:type="dxa"/>
            </w:tcMar>
          </w:tcPr>
          <w:p w14:paraId="083BAF94" w14:textId="77777777" w:rsidR="00702F5C" w:rsidRDefault="00702F5C">
            <w:pPr>
              <w:widowControl w:val="0"/>
              <w:pBdr>
                <w:top w:val="nil"/>
                <w:left w:val="nil"/>
                <w:bottom w:val="nil"/>
                <w:right w:val="nil"/>
                <w:between w:val="nil"/>
              </w:pBdr>
              <w:jc w:val="center"/>
            </w:pPr>
          </w:p>
        </w:tc>
        <w:tc>
          <w:tcPr>
            <w:tcW w:w="1215" w:type="dxa"/>
            <w:tcMar>
              <w:top w:w="100" w:type="dxa"/>
              <w:left w:w="100" w:type="dxa"/>
              <w:bottom w:w="100" w:type="dxa"/>
              <w:right w:w="100" w:type="dxa"/>
            </w:tcMar>
          </w:tcPr>
          <w:p w14:paraId="74CB80AE" w14:textId="77777777" w:rsidR="00702F5C" w:rsidRDefault="00000000">
            <w:pPr>
              <w:widowControl w:val="0"/>
              <w:pBdr>
                <w:top w:val="nil"/>
                <w:left w:val="nil"/>
                <w:bottom w:val="nil"/>
                <w:right w:val="nil"/>
                <w:between w:val="nil"/>
              </w:pBdr>
              <w:jc w:val="center"/>
            </w:pPr>
            <w:r>
              <w:t>Week 4-6</w:t>
            </w:r>
          </w:p>
        </w:tc>
        <w:tc>
          <w:tcPr>
            <w:tcW w:w="2490" w:type="dxa"/>
            <w:tcMar>
              <w:top w:w="100" w:type="dxa"/>
              <w:left w:w="100" w:type="dxa"/>
              <w:bottom w:w="100" w:type="dxa"/>
              <w:right w:w="100" w:type="dxa"/>
            </w:tcMar>
          </w:tcPr>
          <w:p w14:paraId="3E14763B" w14:textId="77777777" w:rsidR="00702F5C" w:rsidRDefault="00000000">
            <w:pPr>
              <w:widowControl w:val="0"/>
              <w:pBdr>
                <w:top w:val="nil"/>
                <w:left w:val="nil"/>
                <w:bottom w:val="nil"/>
                <w:right w:val="nil"/>
                <w:between w:val="nil"/>
              </w:pBdr>
            </w:pPr>
            <w:r>
              <w:t>Prototype and pilot launch</w:t>
            </w:r>
          </w:p>
        </w:tc>
        <w:tc>
          <w:tcPr>
            <w:tcW w:w="4071" w:type="dxa"/>
            <w:tcMar>
              <w:top w:w="100" w:type="dxa"/>
              <w:left w:w="100" w:type="dxa"/>
              <w:bottom w:w="100" w:type="dxa"/>
              <w:right w:w="100" w:type="dxa"/>
            </w:tcMar>
          </w:tcPr>
          <w:p w14:paraId="32087D97" w14:textId="77777777" w:rsidR="00702F5C" w:rsidRDefault="00000000">
            <w:pPr>
              <w:widowControl w:val="0"/>
              <w:pBdr>
                <w:top w:val="nil"/>
                <w:left w:val="nil"/>
                <w:bottom w:val="nil"/>
                <w:right w:val="nil"/>
                <w:between w:val="nil"/>
              </w:pBdr>
              <w:jc w:val="both"/>
            </w:pPr>
            <w:r>
              <w:t>Deploy MVP to 1–3 pilot universities and collect user feedback.</w:t>
            </w:r>
          </w:p>
        </w:tc>
      </w:tr>
      <w:tr w:rsidR="00702F5C" w14:paraId="434EC1A1" w14:textId="77777777">
        <w:trPr>
          <w:trHeight w:val="420"/>
        </w:trPr>
        <w:tc>
          <w:tcPr>
            <w:tcW w:w="1245" w:type="dxa"/>
            <w:vMerge/>
            <w:tcMar>
              <w:top w:w="100" w:type="dxa"/>
              <w:left w:w="100" w:type="dxa"/>
              <w:bottom w:w="100" w:type="dxa"/>
              <w:right w:w="100" w:type="dxa"/>
            </w:tcMar>
          </w:tcPr>
          <w:p w14:paraId="0AA41AA4" w14:textId="77777777" w:rsidR="00702F5C" w:rsidRDefault="00702F5C">
            <w:pPr>
              <w:widowControl w:val="0"/>
              <w:pBdr>
                <w:top w:val="nil"/>
                <w:left w:val="nil"/>
                <w:bottom w:val="nil"/>
                <w:right w:val="nil"/>
                <w:between w:val="nil"/>
              </w:pBdr>
              <w:jc w:val="center"/>
            </w:pPr>
          </w:p>
        </w:tc>
        <w:tc>
          <w:tcPr>
            <w:tcW w:w="1215" w:type="dxa"/>
            <w:tcMar>
              <w:top w:w="100" w:type="dxa"/>
              <w:left w:w="100" w:type="dxa"/>
              <w:bottom w:w="100" w:type="dxa"/>
              <w:right w:w="100" w:type="dxa"/>
            </w:tcMar>
          </w:tcPr>
          <w:p w14:paraId="549EC81D" w14:textId="77777777" w:rsidR="00702F5C" w:rsidRDefault="00000000">
            <w:pPr>
              <w:widowControl w:val="0"/>
              <w:pBdr>
                <w:top w:val="nil"/>
                <w:left w:val="nil"/>
                <w:bottom w:val="nil"/>
                <w:right w:val="nil"/>
                <w:between w:val="nil"/>
              </w:pBdr>
              <w:jc w:val="center"/>
            </w:pPr>
            <w:r>
              <w:t>Week 7- 8</w:t>
            </w:r>
          </w:p>
        </w:tc>
        <w:tc>
          <w:tcPr>
            <w:tcW w:w="2490" w:type="dxa"/>
            <w:tcMar>
              <w:top w:w="100" w:type="dxa"/>
              <w:left w:w="100" w:type="dxa"/>
              <w:bottom w:w="100" w:type="dxa"/>
              <w:right w:w="100" w:type="dxa"/>
            </w:tcMar>
          </w:tcPr>
          <w:p w14:paraId="6A6FE5C3" w14:textId="77777777" w:rsidR="00702F5C" w:rsidRDefault="00000000">
            <w:pPr>
              <w:widowControl w:val="0"/>
              <w:pBdr>
                <w:top w:val="nil"/>
                <w:left w:val="nil"/>
                <w:bottom w:val="nil"/>
                <w:right w:val="nil"/>
                <w:between w:val="nil"/>
              </w:pBdr>
            </w:pPr>
            <w:r>
              <w:t>Optimization &amp; Commercial Prep</w:t>
            </w:r>
          </w:p>
        </w:tc>
        <w:tc>
          <w:tcPr>
            <w:tcW w:w="4071" w:type="dxa"/>
            <w:tcMar>
              <w:top w:w="100" w:type="dxa"/>
              <w:left w:w="100" w:type="dxa"/>
              <w:bottom w:w="100" w:type="dxa"/>
              <w:right w:w="100" w:type="dxa"/>
            </w:tcMar>
          </w:tcPr>
          <w:p w14:paraId="61CE52E3" w14:textId="77777777" w:rsidR="00702F5C" w:rsidRDefault="00000000">
            <w:pPr>
              <w:widowControl w:val="0"/>
              <w:pBdr>
                <w:top w:val="nil"/>
                <w:left w:val="nil"/>
                <w:bottom w:val="nil"/>
                <w:right w:val="nil"/>
                <w:between w:val="nil"/>
              </w:pBdr>
              <w:jc w:val="both"/>
            </w:pPr>
            <w:r>
              <w:t>Fix bugs from pilot data and finalize B2B licensing models.</w:t>
            </w:r>
          </w:p>
        </w:tc>
      </w:tr>
      <w:tr w:rsidR="00702F5C" w14:paraId="1DB96001" w14:textId="77777777">
        <w:trPr>
          <w:trHeight w:val="420"/>
        </w:trPr>
        <w:tc>
          <w:tcPr>
            <w:tcW w:w="1245" w:type="dxa"/>
            <w:tcMar>
              <w:top w:w="100" w:type="dxa"/>
              <w:left w:w="100" w:type="dxa"/>
              <w:bottom w:w="100" w:type="dxa"/>
              <w:right w:w="100" w:type="dxa"/>
            </w:tcMar>
          </w:tcPr>
          <w:p w14:paraId="3F671E4C" w14:textId="77777777" w:rsidR="00702F5C" w:rsidRDefault="00000000">
            <w:pPr>
              <w:widowControl w:val="0"/>
              <w:pBdr>
                <w:top w:val="nil"/>
                <w:left w:val="nil"/>
                <w:bottom w:val="nil"/>
                <w:right w:val="nil"/>
                <w:between w:val="nil"/>
              </w:pBdr>
              <w:jc w:val="center"/>
              <w:rPr>
                <w:u w:val="single"/>
              </w:rPr>
            </w:pPr>
            <w:r>
              <w:rPr>
                <w:u w:val="single"/>
              </w:rPr>
              <w:t>2</w:t>
            </w:r>
          </w:p>
        </w:tc>
        <w:tc>
          <w:tcPr>
            <w:tcW w:w="1215" w:type="dxa"/>
            <w:tcMar>
              <w:top w:w="100" w:type="dxa"/>
              <w:left w:w="100" w:type="dxa"/>
              <w:bottom w:w="100" w:type="dxa"/>
              <w:right w:w="100" w:type="dxa"/>
            </w:tcMar>
          </w:tcPr>
          <w:p w14:paraId="72021728" w14:textId="77777777" w:rsidR="00702F5C" w:rsidRDefault="00000000">
            <w:pPr>
              <w:widowControl w:val="0"/>
              <w:pBdr>
                <w:top w:val="nil"/>
                <w:left w:val="nil"/>
                <w:bottom w:val="nil"/>
                <w:right w:val="nil"/>
                <w:between w:val="nil"/>
              </w:pBdr>
              <w:jc w:val="center"/>
              <w:rPr>
                <w:u w:val="single"/>
              </w:rPr>
            </w:pPr>
            <w:r>
              <w:rPr>
                <w:u w:val="single"/>
              </w:rPr>
              <w:t>Month</w:t>
            </w:r>
          </w:p>
          <w:p w14:paraId="553F59A8" w14:textId="77777777" w:rsidR="00702F5C" w:rsidRDefault="00000000">
            <w:pPr>
              <w:widowControl w:val="0"/>
              <w:pBdr>
                <w:top w:val="nil"/>
                <w:left w:val="nil"/>
                <w:bottom w:val="nil"/>
                <w:right w:val="nil"/>
                <w:between w:val="nil"/>
              </w:pBdr>
              <w:jc w:val="center"/>
              <w:rPr>
                <w:u w:val="single"/>
              </w:rPr>
            </w:pPr>
            <w:r>
              <w:rPr>
                <w:u w:val="single"/>
              </w:rPr>
              <w:t>3-6</w:t>
            </w:r>
          </w:p>
        </w:tc>
        <w:tc>
          <w:tcPr>
            <w:tcW w:w="2490" w:type="dxa"/>
            <w:tcMar>
              <w:top w:w="100" w:type="dxa"/>
              <w:left w:w="100" w:type="dxa"/>
              <w:bottom w:w="100" w:type="dxa"/>
              <w:right w:w="100" w:type="dxa"/>
            </w:tcMar>
          </w:tcPr>
          <w:p w14:paraId="7A5F733F" w14:textId="77777777" w:rsidR="00702F5C" w:rsidRDefault="00000000">
            <w:pPr>
              <w:widowControl w:val="0"/>
              <w:pBdr>
                <w:top w:val="nil"/>
                <w:left w:val="nil"/>
                <w:bottom w:val="nil"/>
                <w:right w:val="nil"/>
                <w:between w:val="nil"/>
              </w:pBdr>
            </w:pPr>
            <w:r>
              <w:t xml:space="preserve">Early Adoption Launch </w:t>
            </w:r>
          </w:p>
        </w:tc>
        <w:tc>
          <w:tcPr>
            <w:tcW w:w="4071" w:type="dxa"/>
            <w:tcMar>
              <w:top w:w="100" w:type="dxa"/>
              <w:left w:w="100" w:type="dxa"/>
              <w:bottom w:w="100" w:type="dxa"/>
              <w:right w:w="100" w:type="dxa"/>
            </w:tcMar>
          </w:tcPr>
          <w:p w14:paraId="3AD52356" w14:textId="77777777" w:rsidR="00702F5C" w:rsidRDefault="00000000">
            <w:pPr>
              <w:widowControl w:val="0"/>
              <w:pBdr>
                <w:top w:val="nil"/>
                <w:left w:val="nil"/>
                <w:bottom w:val="nil"/>
                <w:right w:val="nil"/>
                <w:between w:val="nil"/>
              </w:pBdr>
              <w:jc w:val="both"/>
            </w:pPr>
            <w:r>
              <w:t>Formally launch platform and onboard 5–10 paying institutions.</w:t>
            </w:r>
          </w:p>
        </w:tc>
      </w:tr>
      <w:tr w:rsidR="00702F5C" w14:paraId="6223767A" w14:textId="77777777">
        <w:trPr>
          <w:trHeight w:val="420"/>
        </w:trPr>
        <w:tc>
          <w:tcPr>
            <w:tcW w:w="1245" w:type="dxa"/>
            <w:vMerge w:val="restart"/>
            <w:tcMar>
              <w:top w:w="100" w:type="dxa"/>
              <w:left w:w="100" w:type="dxa"/>
              <w:bottom w:w="100" w:type="dxa"/>
              <w:right w:w="100" w:type="dxa"/>
            </w:tcMar>
          </w:tcPr>
          <w:p w14:paraId="6BA4BDF5" w14:textId="77777777" w:rsidR="00702F5C" w:rsidRDefault="00000000">
            <w:pPr>
              <w:widowControl w:val="0"/>
              <w:pBdr>
                <w:top w:val="nil"/>
                <w:left w:val="nil"/>
                <w:bottom w:val="nil"/>
                <w:right w:val="nil"/>
                <w:between w:val="nil"/>
              </w:pBdr>
              <w:jc w:val="center"/>
            </w:pPr>
            <w:r>
              <w:lastRenderedPageBreak/>
              <w:t>3</w:t>
            </w:r>
          </w:p>
        </w:tc>
        <w:tc>
          <w:tcPr>
            <w:tcW w:w="1215" w:type="dxa"/>
            <w:tcMar>
              <w:top w:w="100" w:type="dxa"/>
              <w:left w:w="100" w:type="dxa"/>
              <w:bottom w:w="100" w:type="dxa"/>
              <w:right w:w="100" w:type="dxa"/>
            </w:tcMar>
          </w:tcPr>
          <w:p w14:paraId="2A1857AB" w14:textId="77777777" w:rsidR="00702F5C" w:rsidRDefault="00000000">
            <w:pPr>
              <w:widowControl w:val="0"/>
              <w:pBdr>
                <w:top w:val="nil"/>
                <w:left w:val="nil"/>
                <w:bottom w:val="nil"/>
                <w:right w:val="nil"/>
                <w:between w:val="nil"/>
              </w:pBdr>
              <w:jc w:val="center"/>
            </w:pPr>
            <w:r>
              <w:t xml:space="preserve">Month </w:t>
            </w:r>
          </w:p>
          <w:p w14:paraId="02E7F1BF" w14:textId="77777777" w:rsidR="00702F5C" w:rsidRDefault="00000000">
            <w:pPr>
              <w:widowControl w:val="0"/>
              <w:pBdr>
                <w:top w:val="nil"/>
                <w:left w:val="nil"/>
                <w:bottom w:val="nil"/>
                <w:right w:val="nil"/>
                <w:between w:val="nil"/>
              </w:pBdr>
              <w:jc w:val="center"/>
            </w:pPr>
            <w:r>
              <w:t>7-9</w:t>
            </w:r>
          </w:p>
        </w:tc>
        <w:tc>
          <w:tcPr>
            <w:tcW w:w="2490" w:type="dxa"/>
            <w:tcMar>
              <w:top w:w="100" w:type="dxa"/>
              <w:left w:w="100" w:type="dxa"/>
              <w:bottom w:w="100" w:type="dxa"/>
              <w:right w:w="100" w:type="dxa"/>
            </w:tcMar>
          </w:tcPr>
          <w:p w14:paraId="1731EFD3" w14:textId="77777777" w:rsidR="00702F5C" w:rsidRDefault="00000000">
            <w:pPr>
              <w:widowControl w:val="0"/>
              <w:pBdr>
                <w:top w:val="nil"/>
                <w:left w:val="nil"/>
                <w:bottom w:val="nil"/>
                <w:right w:val="nil"/>
                <w:between w:val="nil"/>
              </w:pBdr>
            </w:pPr>
            <w:r>
              <w:t>LMS Integration &amp; Feature Expansion</w:t>
            </w:r>
          </w:p>
        </w:tc>
        <w:tc>
          <w:tcPr>
            <w:tcW w:w="4071" w:type="dxa"/>
            <w:tcMar>
              <w:top w:w="100" w:type="dxa"/>
              <w:left w:w="100" w:type="dxa"/>
              <w:bottom w:w="100" w:type="dxa"/>
              <w:right w:w="100" w:type="dxa"/>
            </w:tcMar>
          </w:tcPr>
          <w:p w14:paraId="71CA3769" w14:textId="77777777" w:rsidR="00702F5C" w:rsidRDefault="00000000">
            <w:pPr>
              <w:widowControl w:val="0"/>
              <w:pBdr>
                <w:top w:val="nil"/>
                <w:left w:val="nil"/>
                <w:bottom w:val="nil"/>
                <w:right w:val="nil"/>
                <w:between w:val="nil"/>
              </w:pBdr>
              <w:jc w:val="both"/>
            </w:pPr>
            <w:r>
              <w:t>Build Canvas/Moodle API integrations and upgrade simulation features.</w:t>
            </w:r>
          </w:p>
          <w:p w14:paraId="75BCAC1B" w14:textId="77777777" w:rsidR="00702F5C" w:rsidRDefault="00702F5C">
            <w:pPr>
              <w:widowControl w:val="0"/>
              <w:pBdr>
                <w:top w:val="nil"/>
                <w:left w:val="nil"/>
                <w:bottom w:val="nil"/>
                <w:right w:val="nil"/>
                <w:between w:val="nil"/>
              </w:pBdr>
              <w:jc w:val="both"/>
            </w:pPr>
          </w:p>
        </w:tc>
      </w:tr>
      <w:tr w:rsidR="00702F5C" w14:paraId="5E54C30B" w14:textId="77777777">
        <w:trPr>
          <w:trHeight w:val="420"/>
        </w:trPr>
        <w:tc>
          <w:tcPr>
            <w:tcW w:w="1245" w:type="dxa"/>
            <w:vMerge/>
            <w:tcMar>
              <w:top w:w="100" w:type="dxa"/>
              <w:left w:w="100" w:type="dxa"/>
              <w:bottom w:w="100" w:type="dxa"/>
              <w:right w:w="100" w:type="dxa"/>
            </w:tcMar>
          </w:tcPr>
          <w:p w14:paraId="05850B1A" w14:textId="77777777" w:rsidR="00702F5C" w:rsidRDefault="00702F5C">
            <w:pPr>
              <w:widowControl w:val="0"/>
              <w:pBdr>
                <w:top w:val="nil"/>
                <w:left w:val="nil"/>
                <w:bottom w:val="nil"/>
                <w:right w:val="nil"/>
                <w:between w:val="nil"/>
              </w:pBdr>
              <w:jc w:val="center"/>
            </w:pPr>
          </w:p>
        </w:tc>
        <w:tc>
          <w:tcPr>
            <w:tcW w:w="1215" w:type="dxa"/>
            <w:tcMar>
              <w:top w:w="100" w:type="dxa"/>
              <w:left w:w="100" w:type="dxa"/>
              <w:bottom w:w="100" w:type="dxa"/>
              <w:right w:w="100" w:type="dxa"/>
            </w:tcMar>
          </w:tcPr>
          <w:p w14:paraId="5C07A3AF" w14:textId="77777777" w:rsidR="00702F5C" w:rsidRDefault="00000000">
            <w:pPr>
              <w:widowControl w:val="0"/>
              <w:pBdr>
                <w:top w:val="nil"/>
                <w:left w:val="nil"/>
                <w:bottom w:val="nil"/>
                <w:right w:val="nil"/>
                <w:between w:val="nil"/>
              </w:pBdr>
              <w:jc w:val="center"/>
            </w:pPr>
            <w:r>
              <w:t>Month 10-12</w:t>
            </w:r>
          </w:p>
        </w:tc>
        <w:tc>
          <w:tcPr>
            <w:tcW w:w="2490" w:type="dxa"/>
            <w:tcMar>
              <w:top w:w="100" w:type="dxa"/>
              <w:left w:w="100" w:type="dxa"/>
              <w:bottom w:w="100" w:type="dxa"/>
              <w:right w:w="100" w:type="dxa"/>
            </w:tcMar>
          </w:tcPr>
          <w:p w14:paraId="2C1F561B" w14:textId="77777777" w:rsidR="00702F5C" w:rsidRDefault="00000000">
            <w:pPr>
              <w:widowControl w:val="0"/>
              <w:pBdr>
                <w:top w:val="nil"/>
                <w:left w:val="nil"/>
                <w:bottom w:val="nil"/>
                <w:right w:val="nil"/>
                <w:between w:val="nil"/>
              </w:pBdr>
            </w:pPr>
            <w:r>
              <w:t>Aggressive B2B Growth</w:t>
            </w:r>
          </w:p>
        </w:tc>
        <w:tc>
          <w:tcPr>
            <w:tcW w:w="4071" w:type="dxa"/>
            <w:tcMar>
              <w:top w:w="100" w:type="dxa"/>
              <w:left w:w="100" w:type="dxa"/>
              <w:bottom w:w="100" w:type="dxa"/>
              <w:right w:w="100" w:type="dxa"/>
            </w:tcMar>
          </w:tcPr>
          <w:p w14:paraId="49370201" w14:textId="77777777" w:rsidR="00702F5C" w:rsidRDefault="00000000">
            <w:pPr>
              <w:widowControl w:val="0"/>
              <w:pBdr>
                <w:top w:val="nil"/>
                <w:left w:val="nil"/>
                <w:bottom w:val="nil"/>
                <w:right w:val="nil"/>
                <w:between w:val="nil"/>
              </w:pBdr>
              <w:jc w:val="both"/>
            </w:pPr>
            <w:r>
              <w:t>Scale marketing outreach to secure 20–40 new institutions.</w:t>
            </w:r>
          </w:p>
        </w:tc>
      </w:tr>
      <w:tr w:rsidR="00702F5C" w14:paraId="254459C1" w14:textId="77777777">
        <w:trPr>
          <w:trHeight w:val="420"/>
        </w:trPr>
        <w:tc>
          <w:tcPr>
            <w:tcW w:w="1245" w:type="dxa"/>
            <w:vMerge w:val="restart"/>
            <w:tcMar>
              <w:top w:w="100" w:type="dxa"/>
              <w:left w:w="100" w:type="dxa"/>
              <w:bottom w:w="100" w:type="dxa"/>
              <w:right w:w="100" w:type="dxa"/>
            </w:tcMar>
          </w:tcPr>
          <w:p w14:paraId="74CB5F4D" w14:textId="77777777" w:rsidR="00702F5C" w:rsidRDefault="00000000">
            <w:pPr>
              <w:widowControl w:val="0"/>
              <w:pBdr>
                <w:top w:val="nil"/>
                <w:left w:val="nil"/>
                <w:bottom w:val="nil"/>
                <w:right w:val="nil"/>
                <w:between w:val="nil"/>
              </w:pBdr>
              <w:jc w:val="center"/>
            </w:pPr>
            <w:r>
              <w:t>4</w:t>
            </w:r>
          </w:p>
        </w:tc>
        <w:tc>
          <w:tcPr>
            <w:tcW w:w="1215" w:type="dxa"/>
            <w:tcMar>
              <w:top w:w="100" w:type="dxa"/>
              <w:left w:w="100" w:type="dxa"/>
              <w:bottom w:w="100" w:type="dxa"/>
              <w:right w:w="100" w:type="dxa"/>
            </w:tcMar>
          </w:tcPr>
          <w:p w14:paraId="3913F2CD" w14:textId="77777777" w:rsidR="00702F5C" w:rsidRDefault="00000000">
            <w:pPr>
              <w:widowControl w:val="0"/>
              <w:pBdr>
                <w:top w:val="nil"/>
                <w:left w:val="nil"/>
                <w:bottom w:val="nil"/>
                <w:right w:val="nil"/>
                <w:between w:val="nil"/>
              </w:pBdr>
              <w:jc w:val="center"/>
            </w:pPr>
            <w:r>
              <w:t>Month</w:t>
            </w:r>
          </w:p>
          <w:p w14:paraId="4D56769E" w14:textId="77777777" w:rsidR="00702F5C" w:rsidRDefault="00000000">
            <w:pPr>
              <w:widowControl w:val="0"/>
              <w:pBdr>
                <w:top w:val="nil"/>
                <w:left w:val="nil"/>
                <w:bottom w:val="nil"/>
                <w:right w:val="nil"/>
                <w:between w:val="nil"/>
              </w:pBdr>
              <w:jc w:val="center"/>
            </w:pPr>
            <w:r>
              <w:t>13-18</w:t>
            </w:r>
          </w:p>
        </w:tc>
        <w:tc>
          <w:tcPr>
            <w:tcW w:w="2490" w:type="dxa"/>
            <w:tcMar>
              <w:top w:w="100" w:type="dxa"/>
              <w:left w:w="100" w:type="dxa"/>
              <w:bottom w:w="100" w:type="dxa"/>
              <w:right w:w="100" w:type="dxa"/>
            </w:tcMar>
          </w:tcPr>
          <w:p w14:paraId="09116491" w14:textId="77777777" w:rsidR="00702F5C" w:rsidRDefault="00000000">
            <w:pPr>
              <w:widowControl w:val="0"/>
              <w:pBdr>
                <w:top w:val="nil"/>
                <w:left w:val="nil"/>
                <w:bottom w:val="nil"/>
                <w:right w:val="nil"/>
                <w:between w:val="nil"/>
              </w:pBdr>
            </w:pPr>
            <w:r>
              <w:t>Partnership &amp; Ecosystem Scaling</w:t>
            </w:r>
          </w:p>
        </w:tc>
        <w:tc>
          <w:tcPr>
            <w:tcW w:w="4071" w:type="dxa"/>
            <w:tcMar>
              <w:top w:w="100" w:type="dxa"/>
              <w:left w:w="100" w:type="dxa"/>
              <w:bottom w:w="100" w:type="dxa"/>
              <w:right w:w="100" w:type="dxa"/>
            </w:tcMar>
          </w:tcPr>
          <w:p w14:paraId="7B4BC7FE" w14:textId="77777777" w:rsidR="00702F5C" w:rsidRDefault="00000000">
            <w:pPr>
              <w:widowControl w:val="0"/>
              <w:pBdr>
                <w:top w:val="nil"/>
                <w:left w:val="nil"/>
                <w:bottom w:val="nil"/>
                <w:right w:val="nil"/>
                <w:between w:val="nil"/>
              </w:pBdr>
              <w:jc w:val="both"/>
            </w:pPr>
            <w:r>
              <w:t>Partner with regional education boards and expand cloud infrastructure.</w:t>
            </w:r>
          </w:p>
        </w:tc>
      </w:tr>
      <w:tr w:rsidR="00702F5C" w14:paraId="0957D39C" w14:textId="77777777">
        <w:trPr>
          <w:trHeight w:val="420"/>
        </w:trPr>
        <w:tc>
          <w:tcPr>
            <w:tcW w:w="1245" w:type="dxa"/>
            <w:vMerge/>
            <w:tcMar>
              <w:top w:w="100" w:type="dxa"/>
              <w:left w:w="100" w:type="dxa"/>
              <w:bottom w:w="100" w:type="dxa"/>
              <w:right w:w="100" w:type="dxa"/>
            </w:tcMar>
          </w:tcPr>
          <w:p w14:paraId="4A340BF7" w14:textId="77777777" w:rsidR="00702F5C" w:rsidRDefault="00702F5C">
            <w:pPr>
              <w:widowControl w:val="0"/>
              <w:pBdr>
                <w:top w:val="nil"/>
                <w:left w:val="nil"/>
                <w:bottom w:val="nil"/>
                <w:right w:val="nil"/>
                <w:between w:val="nil"/>
              </w:pBdr>
              <w:jc w:val="center"/>
            </w:pPr>
          </w:p>
        </w:tc>
        <w:tc>
          <w:tcPr>
            <w:tcW w:w="1215" w:type="dxa"/>
            <w:tcMar>
              <w:top w:w="100" w:type="dxa"/>
              <w:left w:w="100" w:type="dxa"/>
              <w:bottom w:w="100" w:type="dxa"/>
              <w:right w:w="100" w:type="dxa"/>
            </w:tcMar>
          </w:tcPr>
          <w:p w14:paraId="49BBEE2D" w14:textId="77777777" w:rsidR="00702F5C" w:rsidRDefault="00000000">
            <w:pPr>
              <w:widowControl w:val="0"/>
              <w:pBdr>
                <w:top w:val="nil"/>
                <w:left w:val="nil"/>
                <w:bottom w:val="nil"/>
                <w:right w:val="nil"/>
                <w:between w:val="nil"/>
              </w:pBdr>
              <w:jc w:val="center"/>
            </w:pPr>
            <w:r>
              <w:t>Month</w:t>
            </w:r>
          </w:p>
          <w:p w14:paraId="49AD2052" w14:textId="77777777" w:rsidR="00702F5C" w:rsidRDefault="00000000">
            <w:pPr>
              <w:widowControl w:val="0"/>
              <w:pBdr>
                <w:top w:val="nil"/>
                <w:left w:val="nil"/>
                <w:bottom w:val="nil"/>
                <w:right w:val="nil"/>
                <w:between w:val="nil"/>
              </w:pBdr>
              <w:jc w:val="center"/>
            </w:pPr>
            <w:r>
              <w:t>19-24</w:t>
            </w:r>
          </w:p>
        </w:tc>
        <w:tc>
          <w:tcPr>
            <w:tcW w:w="2490" w:type="dxa"/>
            <w:tcMar>
              <w:top w:w="100" w:type="dxa"/>
              <w:left w:w="100" w:type="dxa"/>
              <w:bottom w:w="100" w:type="dxa"/>
              <w:right w:w="100" w:type="dxa"/>
            </w:tcMar>
          </w:tcPr>
          <w:p w14:paraId="11BDB9D1" w14:textId="77777777" w:rsidR="00702F5C" w:rsidRDefault="00000000">
            <w:pPr>
              <w:widowControl w:val="0"/>
              <w:pBdr>
                <w:top w:val="nil"/>
                <w:left w:val="nil"/>
                <w:bottom w:val="nil"/>
                <w:right w:val="nil"/>
                <w:between w:val="nil"/>
              </w:pBdr>
            </w:pPr>
            <w:r>
              <w:t>Full Commercial Dominance</w:t>
            </w:r>
          </w:p>
        </w:tc>
        <w:tc>
          <w:tcPr>
            <w:tcW w:w="4071" w:type="dxa"/>
            <w:tcMar>
              <w:top w:w="100" w:type="dxa"/>
              <w:left w:w="100" w:type="dxa"/>
              <w:bottom w:w="100" w:type="dxa"/>
              <w:right w:w="100" w:type="dxa"/>
            </w:tcMar>
          </w:tcPr>
          <w:p w14:paraId="368E3A1A" w14:textId="77777777" w:rsidR="00702F5C" w:rsidRDefault="00000000">
            <w:pPr>
              <w:widowControl w:val="0"/>
              <w:pBdr>
                <w:top w:val="nil"/>
                <w:left w:val="nil"/>
                <w:bottom w:val="nil"/>
                <w:right w:val="nil"/>
                <w:between w:val="nil"/>
              </w:pBdr>
              <w:jc w:val="both"/>
            </w:pPr>
            <w:r>
              <w:t>Run national sales campaigns to onboard 80–150 institutions.</w:t>
            </w:r>
          </w:p>
        </w:tc>
      </w:tr>
    </w:tbl>
    <w:p w14:paraId="095DCB30" w14:textId="77777777" w:rsidR="00702F5C" w:rsidRDefault="00702F5C"/>
    <w:p w14:paraId="6E4896CC" w14:textId="77777777" w:rsidR="00702F5C" w:rsidRDefault="00702F5C"/>
    <w:p w14:paraId="71CE104F" w14:textId="77777777" w:rsidR="00702F5C" w:rsidRDefault="00000000">
      <w:pPr>
        <w:rPr>
          <w:b/>
          <w:bCs/>
        </w:rPr>
      </w:pPr>
      <w:r>
        <w:rPr>
          <w:b/>
          <w:bCs/>
        </w:rPr>
        <w:t>K. Capital Sources and use</w:t>
      </w:r>
    </w:p>
    <w:p w14:paraId="09549ED0" w14:textId="77777777" w:rsidR="00702F5C" w:rsidRDefault="00702F5C">
      <w:pPr>
        <w:rPr>
          <w:b/>
          <w:bCs/>
        </w:rPr>
      </w:pPr>
    </w:p>
    <w:p w14:paraId="0E5D4BA3" w14:textId="77777777" w:rsidR="00702F5C" w:rsidRDefault="00000000">
      <w:r>
        <w:t xml:space="preserve">This initial </w:t>
      </w:r>
      <w:r>
        <w:rPr>
          <w:b/>
          <w:bCs/>
        </w:rPr>
        <w:t>$7,000 funding is not intended to sustain the entire 24-month roadmap.</w:t>
      </w:r>
      <w:r>
        <w:t xml:space="preserve"> Upon the successful completion of Phase 1 backed by verified product data and user testimonials from pilot universities,the company will raise a Seed Funding Round of $100,000 – $150,000 from Angel Investors or Venture Capital.</w:t>
      </w:r>
    </w:p>
    <w:p w14:paraId="2C2B56ED" w14:textId="77777777" w:rsidR="00702F5C" w:rsidRDefault="00000000">
      <w:r>
        <w:t>This upcoming institutional investment, combined with the projected Early Adoption revenue of $20,000–$60,000 generated in Months 3–6, will fully fund the LMS integration, B2B sales team expansion, and large-scale cloud operations required to achieve the Year 2 growth targets.</w:t>
      </w:r>
    </w:p>
    <w:p w14:paraId="15B28A1B" w14:textId="77777777" w:rsidR="00702F5C" w:rsidRDefault="00702F5C"/>
    <w:tbl>
      <w:tblPr>
        <w:tblStyle w:val="a5"/>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29"/>
        <w:gridCol w:w="1485"/>
        <w:gridCol w:w="4515"/>
      </w:tblGrid>
      <w:tr w:rsidR="00702F5C" w14:paraId="005DD3B0" w14:textId="77777777">
        <w:tc>
          <w:tcPr>
            <w:tcW w:w="3029" w:type="dxa"/>
            <w:tcBorders>
              <w:top w:val="single" w:sz="6" w:space="0" w:color="CCCCCC"/>
              <w:left w:val="single" w:sz="6" w:space="0" w:color="CCCCCC"/>
              <w:bottom w:val="single" w:sz="6" w:space="0" w:color="CCCCCC"/>
              <w:right w:val="single" w:sz="6" w:space="0" w:color="CCCCCC"/>
            </w:tcBorders>
            <w:shd w:val="clear" w:color="auto" w:fill="134F5C"/>
            <w:tcMar>
              <w:top w:w="100" w:type="dxa"/>
              <w:left w:w="120" w:type="dxa"/>
              <w:bottom w:w="100" w:type="dxa"/>
              <w:right w:w="120" w:type="dxa"/>
            </w:tcMar>
          </w:tcPr>
          <w:p w14:paraId="7D68F6A3" w14:textId="77777777" w:rsidR="00702F5C" w:rsidRDefault="00000000">
            <w:pPr>
              <w:rPr>
                <w:b/>
                <w:bCs/>
                <w:color w:val="F3F3F3"/>
              </w:rPr>
            </w:pPr>
            <w:r>
              <w:rPr>
                <w:b/>
                <w:bCs/>
                <w:color w:val="F3F3F3"/>
              </w:rPr>
              <w:t>Capital Source</w:t>
            </w:r>
          </w:p>
        </w:tc>
        <w:tc>
          <w:tcPr>
            <w:tcW w:w="1485" w:type="dxa"/>
            <w:tcBorders>
              <w:top w:val="single" w:sz="6" w:space="0" w:color="CCCCCC"/>
              <w:left w:val="nil"/>
              <w:bottom w:val="single" w:sz="6" w:space="0" w:color="CCCCCC"/>
              <w:right w:val="single" w:sz="6" w:space="0" w:color="CCCCCC"/>
            </w:tcBorders>
            <w:shd w:val="clear" w:color="auto" w:fill="134F5C"/>
            <w:tcMar>
              <w:top w:w="100" w:type="dxa"/>
              <w:left w:w="120" w:type="dxa"/>
              <w:bottom w:w="100" w:type="dxa"/>
              <w:right w:w="120" w:type="dxa"/>
            </w:tcMar>
          </w:tcPr>
          <w:p w14:paraId="3ECABA55" w14:textId="77777777" w:rsidR="00702F5C" w:rsidRDefault="00000000">
            <w:pPr>
              <w:jc w:val="center"/>
              <w:rPr>
                <w:b/>
                <w:bCs/>
                <w:color w:val="F3F3F3"/>
              </w:rPr>
            </w:pPr>
            <w:r>
              <w:rPr>
                <w:b/>
                <w:bCs/>
                <w:color w:val="F3F3F3"/>
              </w:rPr>
              <w:t>Amount</w:t>
            </w:r>
          </w:p>
        </w:tc>
        <w:tc>
          <w:tcPr>
            <w:tcW w:w="4515" w:type="dxa"/>
            <w:tcBorders>
              <w:top w:val="single" w:sz="6" w:space="0" w:color="CCCCCC"/>
              <w:left w:val="nil"/>
              <w:bottom w:val="single" w:sz="6" w:space="0" w:color="CCCCCC"/>
              <w:right w:val="single" w:sz="6" w:space="0" w:color="CCCCCC"/>
            </w:tcBorders>
            <w:shd w:val="clear" w:color="auto" w:fill="134F5C"/>
            <w:tcMar>
              <w:top w:w="100" w:type="dxa"/>
              <w:left w:w="120" w:type="dxa"/>
              <w:bottom w:w="100" w:type="dxa"/>
              <w:right w:w="120" w:type="dxa"/>
            </w:tcMar>
          </w:tcPr>
          <w:p w14:paraId="025B371C" w14:textId="77777777" w:rsidR="00702F5C" w:rsidRDefault="00000000">
            <w:pPr>
              <w:jc w:val="center"/>
              <w:rPr>
                <w:b/>
                <w:bCs/>
                <w:color w:val="F3F3F3"/>
              </w:rPr>
            </w:pPr>
            <w:r>
              <w:rPr>
                <w:b/>
                <w:bCs/>
                <w:color w:val="F3F3F3"/>
              </w:rPr>
              <w:t>Description</w:t>
            </w:r>
          </w:p>
        </w:tc>
      </w:tr>
      <w:tr w:rsidR="00702F5C" w14:paraId="65AB7018" w14:textId="77777777">
        <w:tc>
          <w:tcPr>
            <w:tcW w:w="3029" w:type="dxa"/>
            <w:tcMar>
              <w:top w:w="100" w:type="dxa"/>
              <w:left w:w="100" w:type="dxa"/>
              <w:bottom w:w="100" w:type="dxa"/>
              <w:right w:w="100" w:type="dxa"/>
            </w:tcMar>
          </w:tcPr>
          <w:p w14:paraId="2A8EC85B" w14:textId="77777777" w:rsidR="00702F5C" w:rsidRDefault="00000000">
            <w:r>
              <w:t>Team Contribution</w:t>
            </w:r>
          </w:p>
        </w:tc>
        <w:tc>
          <w:tcPr>
            <w:tcW w:w="1485" w:type="dxa"/>
            <w:tcMar>
              <w:top w:w="100" w:type="dxa"/>
              <w:left w:w="100" w:type="dxa"/>
              <w:bottom w:w="100" w:type="dxa"/>
              <w:right w:w="100" w:type="dxa"/>
            </w:tcMar>
          </w:tcPr>
          <w:p w14:paraId="42A9051F" w14:textId="77777777" w:rsidR="00702F5C" w:rsidRDefault="00000000">
            <w:pPr>
              <w:jc w:val="center"/>
            </w:pPr>
            <w:r>
              <w:t>$7,000</w:t>
            </w:r>
          </w:p>
        </w:tc>
        <w:tc>
          <w:tcPr>
            <w:tcW w:w="4515" w:type="dxa"/>
            <w:tcMar>
              <w:top w:w="100" w:type="dxa"/>
              <w:left w:w="100" w:type="dxa"/>
              <w:bottom w:w="100" w:type="dxa"/>
              <w:right w:w="100" w:type="dxa"/>
            </w:tcMar>
          </w:tcPr>
          <w:p w14:paraId="69365D70" w14:textId="77777777" w:rsidR="00702F5C" w:rsidRDefault="00000000">
            <w:r>
              <w:t>Initial funding from team members for early development.</w:t>
            </w:r>
          </w:p>
        </w:tc>
      </w:tr>
      <w:tr w:rsidR="00702F5C" w14:paraId="7BFBE9C1" w14:textId="77777777">
        <w:trPr>
          <w:trHeight w:val="420"/>
        </w:trPr>
        <w:tc>
          <w:tcPr>
            <w:tcW w:w="3029" w:type="dxa"/>
            <w:tcMar>
              <w:top w:w="100" w:type="dxa"/>
              <w:left w:w="100" w:type="dxa"/>
              <w:bottom w:w="100" w:type="dxa"/>
              <w:right w:w="100" w:type="dxa"/>
            </w:tcMar>
          </w:tcPr>
          <w:p w14:paraId="7CF843D3" w14:textId="77777777" w:rsidR="00702F5C" w:rsidRDefault="00000000">
            <w:pPr>
              <w:rPr>
                <w:b/>
                <w:bCs/>
              </w:rPr>
            </w:pPr>
            <w:r>
              <w:rPr>
                <w:b/>
                <w:bCs/>
              </w:rPr>
              <w:t>Total Capital Sources</w:t>
            </w:r>
          </w:p>
        </w:tc>
        <w:tc>
          <w:tcPr>
            <w:tcW w:w="6000" w:type="dxa"/>
            <w:gridSpan w:val="2"/>
            <w:tcMar>
              <w:top w:w="100" w:type="dxa"/>
              <w:left w:w="100" w:type="dxa"/>
              <w:bottom w:w="100" w:type="dxa"/>
              <w:right w:w="100" w:type="dxa"/>
            </w:tcMar>
          </w:tcPr>
          <w:p w14:paraId="5B4EE033" w14:textId="77777777" w:rsidR="00702F5C" w:rsidRDefault="00000000">
            <w:pPr>
              <w:rPr>
                <w:b/>
                <w:bCs/>
              </w:rPr>
            </w:pPr>
            <w:r>
              <w:rPr>
                <w:b/>
                <w:bCs/>
              </w:rPr>
              <w:t xml:space="preserve">     $7,000</w:t>
            </w:r>
          </w:p>
        </w:tc>
      </w:tr>
    </w:tbl>
    <w:p w14:paraId="0A437A2B" w14:textId="77777777" w:rsidR="00702F5C" w:rsidRDefault="00702F5C"/>
    <w:p w14:paraId="59B26A35" w14:textId="77777777" w:rsidR="00702F5C" w:rsidRDefault="00702F5C"/>
    <w:tbl>
      <w:tblPr>
        <w:tblStyle w:val="a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29"/>
        <w:gridCol w:w="1485"/>
        <w:gridCol w:w="4515"/>
      </w:tblGrid>
      <w:tr w:rsidR="00702F5C" w14:paraId="7C81E5A3" w14:textId="77777777">
        <w:tc>
          <w:tcPr>
            <w:tcW w:w="3029" w:type="dxa"/>
            <w:tcBorders>
              <w:top w:val="single" w:sz="6" w:space="0" w:color="CCCCCC"/>
              <w:left w:val="single" w:sz="6" w:space="0" w:color="CCCCCC"/>
              <w:bottom w:val="single" w:sz="6" w:space="0" w:color="CCCCCC"/>
              <w:right w:val="single" w:sz="6" w:space="0" w:color="CCCCCC"/>
            </w:tcBorders>
            <w:shd w:val="clear" w:color="auto" w:fill="134F5C"/>
            <w:tcMar>
              <w:top w:w="100" w:type="dxa"/>
              <w:left w:w="120" w:type="dxa"/>
              <w:bottom w:w="100" w:type="dxa"/>
              <w:right w:w="120" w:type="dxa"/>
            </w:tcMar>
          </w:tcPr>
          <w:p w14:paraId="2CA16200" w14:textId="77777777" w:rsidR="00702F5C" w:rsidRDefault="00000000">
            <w:pPr>
              <w:rPr>
                <w:b/>
                <w:bCs/>
                <w:color w:val="F3F3F3"/>
              </w:rPr>
            </w:pPr>
            <w:r>
              <w:rPr>
                <w:b/>
                <w:bCs/>
                <w:color w:val="F3F3F3"/>
              </w:rPr>
              <w:t>Capital Allocation Phase 1</w:t>
            </w:r>
          </w:p>
        </w:tc>
        <w:tc>
          <w:tcPr>
            <w:tcW w:w="1485" w:type="dxa"/>
            <w:tcBorders>
              <w:top w:val="single" w:sz="6" w:space="0" w:color="CCCCCC"/>
              <w:left w:val="nil"/>
              <w:bottom w:val="single" w:sz="6" w:space="0" w:color="CCCCCC"/>
              <w:right w:val="single" w:sz="6" w:space="0" w:color="CCCCCC"/>
            </w:tcBorders>
            <w:shd w:val="clear" w:color="auto" w:fill="134F5C"/>
            <w:tcMar>
              <w:top w:w="100" w:type="dxa"/>
              <w:left w:w="120" w:type="dxa"/>
              <w:bottom w:w="100" w:type="dxa"/>
              <w:right w:w="120" w:type="dxa"/>
            </w:tcMar>
          </w:tcPr>
          <w:p w14:paraId="46395F4F" w14:textId="77777777" w:rsidR="00702F5C" w:rsidRDefault="00000000">
            <w:pPr>
              <w:jc w:val="center"/>
              <w:rPr>
                <w:b/>
                <w:bCs/>
                <w:color w:val="F3F3F3"/>
              </w:rPr>
            </w:pPr>
            <w:r>
              <w:rPr>
                <w:b/>
                <w:bCs/>
                <w:color w:val="F3F3F3"/>
              </w:rPr>
              <w:t>Amount</w:t>
            </w:r>
          </w:p>
        </w:tc>
        <w:tc>
          <w:tcPr>
            <w:tcW w:w="4515" w:type="dxa"/>
            <w:tcBorders>
              <w:top w:val="single" w:sz="6" w:space="0" w:color="CCCCCC"/>
              <w:left w:val="nil"/>
              <w:bottom w:val="single" w:sz="6" w:space="0" w:color="CCCCCC"/>
              <w:right w:val="single" w:sz="6" w:space="0" w:color="CCCCCC"/>
            </w:tcBorders>
            <w:shd w:val="clear" w:color="auto" w:fill="134F5C"/>
            <w:tcMar>
              <w:top w:w="100" w:type="dxa"/>
              <w:left w:w="120" w:type="dxa"/>
              <w:bottom w:w="100" w:type="dxa"/>
              <w:right w:w="120" w:type="dxa"/>
            </w:tcMar>
          </w:tcPr>
          <w:p w14:paraId="220A3437" w14:textId="77777777" w:rsidR="00702F5C" w:rsidRDefault="00000000">
            <w:pPr>
              <w:jc w:val="center"/>
              <w:rPr>
                <w:b/>
                <w:bCs/>
                <w:color w:val="F3F3F3"/>
              </w:rPr>
            </w:pPr>
            <w:r>
              <w:rPr>
                <w:b/>
                <w:bCs/>
                <w:color w:val="F3F3F3"/>
              </w:rPr>
              <w:t>Purpose</w:t>
            </w:r>
          </w:p>
        </w:tc>
      </w:tr>
      <w:tr w:rsidR="00702F5C" w14:paraId="589831B3" w14:textId="77777777">
        <w:tc>
          <w:tcPr>
            <w:tcW w:w="3029" w:type="dxa"/>
            <w:tcMar>
              <w:top w:w="100" w:type="dxa"/>
              <w:left w:w="100" w:type="dxa"/>
              <w:bottom w:w="100" w:type="dxa"/>
              <w:right w:w="100" w:type="dxa"/>
            </w:tcMar>
          </w:tcPr>
          <w:p w14:paraId="1E539F3E" w14:textId="77777777" w:rsidR="00702F5C" w:rsidRDefault="00000000">
            <w:r>
              <w:t>Building Core System &amp; AI Core Development</w:t>
            </w:r>
          </w:p>
        </w:tc>
        <w:tc>
          <w:tcPr>
            <w:tcW w:w="1485" w:type="dxa"/>
            <w:tcMar>
              <w:top w:w="100" w:type="dxa"/>
              <w:left w:w="100" w:type="dxa"/>
              <w:bottom w:w="100" w:type="dxa"/>
              <w:right w:w="100" w:type="dxa"/>
            </w:tcMar>
          </w:tcPr>
          <w:p w14:paraId="0910DF46" w14:textId="77777777" w:rsidR="00702F5C" w:rsidRDefault="00000000">
            <w:pPr>
              <w:jc w:val="center"/>
            </w:pPr>
            <w:r>
              <w:t>$3,150</w:t>
            </w:r>
          </w:p>
        </w:tc>
        <w:tc>
          <w:tcPr>
            <w:tcW w:w="4515" w:type="dxa"/>
            <w:tcMar>
              <w:top w:w="100" w:type="dxa"/>
              <w:left w:w="100" w:type="dxa"/>
              <w:bottom w:w="100" w:type="dxa"/>
              <w:right w:w="100" w:type="dxa"/>
            </w:tcMar>
          </w:tcPr>
          <w:p w14:paraId="67523A6C" w14:textId="77777777" w:rsidR="00702F5C" w:rsidRDefault="00000000">
            <w:r>
              <w:t>UI/UX design, database setup, and core AI model training.</w:t>
            </w:r>
          </w:p>
        </w:tc>
      </w:tr>
      <w:tr w:rsidR="00702F5C" w14:paraId="2D051FA6" w14:textId="77777777">
        <w:tc>
          <w:tcPr>
            <w:tcW w:w="3029" w:type="dxa"/>
            <w:tcMar>
              <w:top w:w="100" w:type="dxa"/>
              <w:left w:w="100" w:type="dxa"/>
              <w:bottom w:w="100" w:type="dxa"/>
              <w:right w:w="100" w:type="dxa"/>
            </w:tcMar>
          </w:tcPr>
          <w:p w14:paraId="61B79284" w14:textId="77777777" w:rsidR="00702F5C" w:rsidRDefault="00000000">
            <w:r>
              <w:t>Cloud Infrastructure &amp; Setup</w:t>
            </w:r>
          </w:p>
        </w:tc>
        <w:tc>
          <w:tcPr>
            <w:tcW w:w="1485" w:type="dxa"/>
            <w:tcMar>
              <w:top w:w="100" w:type="dxa"/>
              <w:left w:w="100" w:type="dxa"/>
              <w:bottom w:w="100" w:type="dxa"/>
              <w:right w:w="100" w:type="dxa"/>
            </w:tcMar>
          </w:tcPr>
          <w:p w14:paraId="5A7CC0C5" w14:textId="77777777" w:rsidR="00702F5C" w:rsidRDefault="00000000">
            <w:pPr>
              <w:jc w:val="center"/>
            </w:pPr>
            <w:r>
              <w:t>$1,750</w:t>
            </w:r>
          </w:p>
        </w:tc>
        <w:tc>
          <w:tcPr>
            <w:tcW w:w="4515" w:type="dxa"/>
            <w:tcMar>
              <w:top w:w="100" w:type="dxa"/>
              <w:left w:w="100" w:type="dxa"/>
              <w:bottom w:w="100" w:type="dxa"/>
              <w:right w:w="100" w:type="dxa"/>
            </w:tcMar>
          </w:tcPr>
          <w:p w14:paraId="7EFC3834" w14:textId="77777777" w:rsidR="00702F5C" w:rsidRDefault="00000000">
            <w:r>
              <w:t>Server deployment to support traffic for 1–3 pilot universities</w:t>
            </w:r>
          </w:p>
        </w:tc>
      </w:tr>
      <w:tr w:rsidR="00702F5C" w14:paraId="740A3A85" w14:textId="77777777">
        <w:tc>
          <w:tcPr>
            <w:tcW w:w="3029" w:type="dxa"/>
            <w:tcMar>
              <w:top w:w="100" w:type="dxa"/>
              <w:left w:w="100" w:type="dxa"/>
              <w:bottom w:w="100" w:type="dxa"/>
              <w:right w:w="100" w:type="dxa"/>
            </w:tcMar>
          </w:tcPr>
          <w:p w14:paraId="389BE76A" w14:textId="77777777" w:rsidR="00702F5C" w:rsidRDefault="00000000">
            <w:r>
              <w:t>B2B Outreach &amp; Marketing</w:t>
            </w:r>
          </w:p>
        </w:tc>
        <w:tc>
          <w:tcPr>
            <w:tcW w:w="1485" w:type="dxa"/>
            <w:tcMar>
              <w:top w:w="100" w:type="dxa"/>
              <w:left w:w="100" w:type="dxa"/>
              <w:bottom w:w="100" w:type="dxa"/>
              <w:right w:w="100" w:type="dxa"/>
            </w:tcMar>
          </w:tcPr>
          <w:p w14:paraId="5009AB9E" w14:textId="77777777" w:rsidR="00702F5C" w:rsidRDefault="00000000">
            <w:pPr>
              <w:jc w:val="center"/>
            </w:pPr>
            <w:r>
              <w:t>$1,400</w:t>
            </w:r>
          </w:p>
        </w:tc>
        <w:tc>
          <w:tcPr>
            <w:tcW w:w="4515" w:type="dxa"/>
            <w:tcMar>
              <w:top w:w="100" w:type="dxa"/>
              <w:left w:w="100" w:type="dxa"/>
              <w:bottom w:w="100" w:type="dxa"/>
              <w:right w:w="100" w:type="dxa"/>
            </w:tcMar>
          </w:tcPr>
          <w:p w14:paraId="1E09ABA2" w14:textId="77777777" w:rsidR="00702F5C" w:rsidRDefault="00000000">
            <w:r>
              <w:t>Preparation of pitch materials and institutional sales efforts</w:t>
            </w:r>
          </w:p>
        </w:tc>
      </w:tr>
      <w:tr w:rsidR="00702F5C" w14:paraId="07DEE2A3" w14:textId="77777777">
        <w:tc>
          <w:tcPr>
            <w:tcW w:w="3029" w:type="dxa"/>
            <w:tcMar>
              <w:top w:w="100" w:type="dxa"/>
              <w:left w:w="100" w:type="dxa"/>
              <w:bottom w:w="100" w:type="dxa"/>
              <w:right w:w="100" w:type="dxa"/>
            </w:tcMar>
          </w:tcPr>
          <w:p w14:paraId="4773E3E5" w14:textId="77777777" w:rsidR="00702F5C" w:rsidRDefault="00000000">
            <w:r>
              <w:t>Contingency &amp; Legal</w:t>
            </w:r>
          </w:p>
        </w:tc>
        <w:tc>
          <w:tcPr>
            <w:tcW w:w="1485" w:type="dxa"/>
            <w:tcMar>
              <w:top w:w="100" w:type="dxa"/>
              <w:left w:w="100" w:type="dxa"/>
              <w:bottom w:w="100" w:type="dxa"/>
              <w:right w:w="100" w:type="dxa"/>
            </w:tcMar>
          </w:tcPr>
          <w:p w14:paraId="43FAB177" w14:textId="77777777" w:rsidR="00702F5C" w:rsidRDefault="00000000">
            <w:pPr>
              <w:jc w:val="center"/>
            </w:pPr>
            <w:r>
              <w:t>$700</w:t>
            </w:r>
          </w:p>
        </w:tc>
        <w:tc>
          <w:tcPr>
            <w:tcW w:w="4515" w:type="dxa"/>
            <w:tcMar>
              <w:top w:w="100" w:type="dxa"/>
              <w:left w:w="100" w:type="dxa"/>
              <w:bottom w:w="100" w:type="dxa"/>
              <w:right w:w="100" w:type="dxa"/>
            </w:tcMar>
          </w:tcPr>
          <w:p w14:paraId="037703F1" w14:textId="77777777" w:rsidR="00702F5C" w:rsidRDefault="00000000">
            <w:r>
              <w:t>Operational buffer and basic intellectual property protection.</w:t>
            </w:r>
          </w:p>
        </w:tc>
      </w:tr>
      <w:tr w:rsidR="00702F5C" w14:paraId="471BAD23" w14:textId="77777777">
        <w:trPr>
          <w:trHeight w:val="420"/>
        </w:trPr>
        <w:tc>
          <w:tcPr>
            <w:tcW w:w="3029" w:type="dxa"/>
            <w:tcMar>
              <w:top w:w="100" w:type="dxa"/>
              <w:left w:w="100" w:type="dxa"/>
              <w:bottom w:w="100" w:type="dxa"/>
              <w:right w:w="100" w:type="dxa"/>
            </w:tcMar>
          </w:tcPr>
          <w:p w14:paraId="0CA92F88" w14:textId="77777777" w:rsidR="00702F5C" w:rsidRDefault="00000000">
            <w:pPr>
              <w:rPr>
                <w:b/>
                <w:bCs/>
              </w:rPr>
            </w:pPr>
            <w:r>
              <w:rPr>
                <w:b/>
                <w:bCs/>
              </w:rPr>
              <w:lastRenderedPageBreak/>
              <w:t>Total Capital Allocation Phase 1</w:t>
            </w:r>
          </w:p>
        </w:tc>
        <w:tc>
          <w:tcPr>
            <w:tcW w:w="6000" w:type="dxa"/>
            <w:gridSpan w:val="2"/>
            <w:tcMar>
              <w:top w:w="100" w:type="dxa"/>
              <w:left w:w="100" w:type="dxa"/>
              <w:bottom w:w="100" w:type="dxa"/>
              <w:right w:w="100" w:type="dxa"/>
            </w:tcMar>
          </w:tcPr>
          <w:p w14:paraId="51911D3E" w14:textId="77777777" w:rsidR="00702F5C" w:rsidRDefault="00000000">
            <w:pPr>
              <w:rPr>
                <w:b/>
                <w:bCs/>
              </w:rPr>
            </w:pPr>
            <w:r>
              <w:rPr>
                <w:b/>
                <w:bCs/>
              </w:rPr>
              <w:t xml:space="preserve">     $7,000</w:t>
            </w:r>
          </w:p>
        </w:tc>
      </w:tr>
    </w:tbl>
    <w:p w14:paraId="0BCDFAD9" w14:textId="77777777" w:rsidR="00702F5C" w:rsidRDefault="00702F5C"/>
    <w:p w14:paraId="781D1638" w14:textId="77777777" w:rsidR="00702F5C" w:rsidRDefault="00702F5C"/>
    <w:p w14:paraId="0EEA55D0" w14:textId="77777777" w:rsidR="00702F5C" w:rsidRDefault="00000000">
      <w:pPr>
        <w:rPr>
          <w:b/>
          <w:bCs/>
        </w:rPr>
      </w:pPr>
      <w:r>
        <w:rPr>
          <w:b/>
          <w:bCs/>
        </w:rPr>
        <w:t>REFERENCES</w:t>
      </w:r>
    </w:p>
    <w:p w14:paraId="4EEABC97" w14:textId="77777777" w:rsidR="00702F5C" w:rsidRDefault="00000000">
      <w:pPr>
        <w:spacing w:before="240" w:after="240"/>
        <w:rPr>
          <w:color w:val="1155CC"/>
          <w:u w:val="single"/>
        </w:rPr>
      </w:pPr>
      <w:r>
        <w:t>Annur, C. M. (2023). Indonesia becomes the second country with the most universities in the world in 2023. Databoks, Katadata Indonesia.</w:t>
      </w:r>
      <w:hyperlink r:id="rId9">
        <w:r>
          <w:t xml:space="preserve"> </w:t>
        </w:r>
      </w:hyperlink>
      <w:hyperlink r:id="rId10">
        <w:r>
          <w:rPr>
            <w:color w:val="1155CC"/>
            <w:u w:val="single"/>
          </w:rPr>
          <w:t>https://databoks.katadata.co.id/en/demographics/statistics/db7aab0ca2c0d6d/indonesia-becomes-the-second-country-with-the-most-universities-in-the-world-in-2023</w:t>
        </w:r>
      </w:hyperlink>
    </w:p>
    <w:p w14:paraId="1E51D742" w14:textId="77777777" w:rsidR="00702F5C" w:rsidRDefault="00000000">
      <w:pPr>
        <w:spacing w:before="240" w:after="240"/>
        <w:rPr>
          <w:color w:val="1155CC"/>
          <w:u w:val="single"/>
        </w:rPr>
      </w:pPr>
      <w:r>
        <w:t>Cesim Business Simulations. (n.d.). Educational services. Cesim Oy.</w:t>
      </w:r>
      <w:hyperlink r:id="rId11">
        <w:r>
          <w:rPr>
            <w:u w:val="single"/>
          </w:rPr>
          <w:t xml:space="preserve"> </w:t>
        </w:r>
      </w:hyperlink>
      <w:hyperlink r:id="rId12">
        <w:r>
          <w:rPr>
            <w:color w:val="1155CC"/>
            <w:u w:val="single"/>
          </w:rPr>
          <w:t>https://www.cesim.com/solutions/educational/services</w:t>
        </w:r>
      </w:hyperlink>
    </w:p>
    <w:p w14:paraId="44BBAFC1" w14:textId="77777777" w:rsidR="00702F5C" w:rsidRDefault="00000000">
      <w:pPr>
        <w:spacing w:before="240" w:after="240"/>
        <w:rPr>
          <w:color w:val="1155CC"/>
          <w:u w:val="single"/>
        </w:rPr>
      </w:pPr>
      <w:r>
        <w:t>Culta.ai. (2026, April 2). EdTech benchmarks 2026: ARPU, retention and seasonality.</w:t>
      </w:r>
      <w:hyperlink r:id="rId13">
        <w:r>
          <w:t xml:space="preserve"> </w:t>
        </w:r>
      </w:hyperlink>
      <w:hyperlink r:id="rId14">
        <w:r>
          <w:rPr>
            <w:color w:val="1155CC"/>
            <w:u w:val="single"/>
          </w:rPr>
          <w:t>https://culta.ai/benchmarks/edtech-benchmarks</w:t>
        </w:r>
      </w:hyperlink>
    </w:p>
    <w:p w14:paraId="6F526277" w14:textId="77777777" w:rsidR="00702F5C" w:rsidRDefault="00000000">
      <w:pPr>
        <w:spacing w:before="240" w:after="240"/>
        <w:rPr>
          <w:color w:val="1155CC"/>
          <w:u w:val="single"/>
        </w:rPr>
      </w:pPr>
      <w:r>
        <w:t>Directorate General of Higher Education, Republic of Indonesia. (2022). List of universities in Indonesia. As cited in Wikipedia.</w:t>
      </w:r>
      <w:hyperlink r:id="rId15">
        <w:r>
          <w:t xml:space="preserve"> </w:t>
        </w:r>
      </w:hyperlink>
      <w:hyperlink r:id="rId16">
        <w:r>
          <w:rPr>
            <w:color w:val="1155CC"/>
            <w:u w:val="single"/>
          </w:rPr>
          <w:t>https://en.wikipedia.org/wiki/List_of_universities_in_Indonesia</w:t>
        </w:r>
      </w:hyperlink>
    </w:p>
    <w:p w14:paraId="469869E3" w14:textId="77777777" w:rsidR="00702F5C" w:rsidRDefault="00000000">
      <w:pPr>
        <w:spacing w:before="240" w:after="240"/>
        <w:rPr>
          <w:color w:val="1155CC"/>
          <w:u w:val="single"/>
        </w:rPr>
      </w:pPr>
      <w:r>
        <w:t>HolonIQ. (2020). Sizing the global EdTech market: Mode vs model.</w:t>
      </w:r>
      <w:hyperlink r:id="rId17">
        <w:r>
          <w:rPr>
            <w:color w:val="1155CC"/>
            <w:u w:val="single"/>
          </w:rPr>
          <w:t xml:space="preserve"> https://www.holoniq.com/notes/sizing-the-global-edtech-market</w:t>
        </w:r>
      </w:hyperlink>
    </w:p>
    <w:p w14:paraId="602310A4" w14:textId="77777777" w:rsidR="00702F5C" w:rsidRDefault="00000000">
      <w:pPr>
        <w:spacing w:before="240" w:after="240"/>
        <w:rPr>
          <w:color w:val="1155CC"/>
          <w:u w:val="single"/>
        </w:rPr>
      </w:pPr>
      <w:r>
        <w:t>HolonIQ. (2024, November 26). HolonIQ annual education outlook 2025. QS Newsletters.</w:t>
      </w:r>
      <w:hyperlink r:id="rId18">
        <w:r>
          <w:rPr>
            <w:color w:val="1155CC"/>
            <w:u w:val="single"/>
          </w:rPr>
          <w:t xml:space="preserve"> https://newsletters.qs.com/holoniq-annual-education-outlook-2025/</w:t>
        </w:r>
      </w:hyperlink>
    </w:p>
    <w:p w14:paraId="3C4241FD" w14:textId="77777777" w:rsidR="00702F5C" w:rsidRDefault="00000000">
      <w:pPr>
        <w:spacing w:before="240" w:after="240"/>
        <w:rPr>
          <w:color w:val="1155CC"/>
          <w:u w:val="single"/>
        </w:rPr>
      </w:pPr>
      <w:r>
        <w:t>HolonIQ. (2025, November 11). 2025 Southeast Asia EdTech 50.</w:t>
      </w:r>
      <w:hyperlink r:id="rId19">
        <w:r>
          <w:rPr>
            <w:color w:val="1155CC"/>
            <w:u w:val="single"/>
          </w:rPr>
          <w:t xml:space="preserve"> https://www.holoniq.com/notes/2025-southeast-asia-edtech-50</w:t>
        </w:r>
      </w:hyperlink>
    </w:p>
    <w:p w14:paraId="54EA5BA7" w14:textId="77777777" w:rsidR="00702F5C" w:rsidRDefault="00000000">
      <w:pPr>
        <w:spacing w:before="240" w:after="240"/>
        <w:rPr>
          <w:color w:val="1155CC"/>
          <w:u w:val="single"/>
        </w:rPr>
      </w:pPr>
      <w:r>
        <w:t xml:space="preserve">Loyalty.cx. (2025, June 22). The EdTech retention problem: Why learners keep cancelling. </w:t>
      </w:r>
      <w:r>
        <w:rPr>
          <w:color w:val="1155CC"/>
          <w:u w:val="single"/>
        </w:rPr>
        <w:t>Loyalty Customer Experience.</w:t>
      </w:r>
      <w:hyperlink r:id="rId20">
        <w:r>
          <w:rPr>
            <w:color w:val="1155CC"/>
            <w:u w:val="single"/>
          </w:rPr>
          <w:t xml:space="preserve"> https://loyalty.cx/edtech-retention-problem/</w:t>
        </w:r>
      </w:hyperlink>
    </w:p>
    <w:p w14:paraId="3DCB0037" w14:textId="77777777" w:rsidR="00702F5C" w:rsidRDefault="00000000">
      <w:pPr>
        <w:spacing w:before="240" w:after="240"/>
        <w:rPr>
          <w:color w:val="1155CC"/>
          <w:u w:val="single"/>
        </w:rPr>
      </w:pPr>
      <w:r>
        <w:t xml:space="preserve">United Nations Global Compact &amp; Principles for Responsible Management Education. (n.d.). </w:t>
      </w:r>
      <w:r>
        <w:rPr>
          <w:i/>
          <w:iCs/>
          <w:color w:val="1155CC"/>
          <w:u w:val="single"/>
        </w:rPr>
        <w:t>PRME signatory search</w:t>
      </w:r>
      <w:r>
        <w:rPr>
          <w:color w:val="1155CC"/>
          <w:u w:val="single"/>
        </w:rPr>
        <w:t>. Retrieved May 26, 2026, from</w:t>
      </w:r>
      <w:hyperlink r:id="rId21">
        <w:r>
          <w:rPr>
            <w:color w:val="1155CC"/>
            <w:u w:val="single"/>
          </w:rPr>
          <w:t xml:space="preserve"> https://www.unprme.org/search/</w:t>
        </w:r>
      </w:hyperlink>
    </w:p>
    <w:p w14:paraId="2FD4230F" w14:textId="77777777" w:rsidR="00702F5C" w:rsidRDefault="00702F5C">
      <w:pPr>
        <w:spacing w:before="240" w:after="240"/>
      </w:pPr>
    </w:p>
    <w:p w14:paraId="7851D18F" w14:textId="77777777" w:rsidR="00702F5C" w:rsidRDefault="00702F5C">
      <w:pPr>
        <w:rPr>
          <w:b/>
          <w:bCs/>
        </w:rPr>
      </w:pPr>
    </w:p>
    <w:sectPr w:rsidR="00702F5C">
      <w:headerReference w:type="default" r:id="rId22"/>
      <w:footerReference w:type="default" r:id="rId2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398AD" w14:textId="77777777" w:rsidR="0017136C" w:rsidRDefault="0017136C">
      <w:pPr>
        <w:spacing w:line="240" w:lineRule="auto"/>
      </w:pPr>
      <w:r>
        <w:separator/>
      </w:r>
    </w:p>
  </w:endnote>
  <w:endnote w:type="continuationSeparator" w:id="0">
    <w:p w14:paraId="436B3FF2" w14:textId="77777777" w:rsidR="0017136C" w:rsidRDefault="001713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E4D170A-060F-4A09-A983-FFA20504EB24}"/>
  </w:font>
  <w:font w:name="Cambria">
    <w:panose1 w:val="02040503050406030204"/>
    <w:charset w:val="00"/>
    <w:family w:val="roman"/>
    <w:pitch w:val="variable"/>
    <w:sig w:usb0="E00006FF" w:usb1="420024FF" w:usb2="02000000" w:usb3="00000000" w:csb0="0000019F" w:csb1="00000000"/>
    <w:embedRegular r:id="rId2" w:fontKey="{18CE82A2-2293-4F50-BF9A-AF4DF9B081C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C214F" w14:textId="77777777" w:rsidR="00702F5C" w:rsidRDefault="00702F5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8DBDC" w14:textId="77777777" w:rsidR="0017136C" w:rsidRDefault="0017136C">
      <w:pPr>
        <w:spacing w:line="240" w:lineRule="auto"/>
      </w:pPr>
      <w:r>
        <w:separator/>
      </w:r>
    </w:p>
  </w:footnote>
  <w:footnote w:type="continuationSeparator" w:id="0">
    <w:p w14:paraId="67626B15" w14:textId="77777777" w:rsidR="0017136C" w:rsidRDefault="0017136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C76F8" w14:textId="77777777" w:rsidR="00702F5C" w:rsidRDefault="00702F5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2F5C"/>
    <w:rsid w:val="0017136C"/>
    <w:rsid w:val="00702F5C"/>
    <w:rsid w:val="008A34CE"/>
    <w:rsid w:val="00A66B9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EFA93"/>
  <w15:docId w15:val="{1766C220-2A77-4276-B3E2-7F5CFE1EF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culta.ai/benchmarks/edtech-benchmarks" TargetMode="External"/><Relationship Id="rId18" Type="http://schemas.openxmlformats.org/officeDocument/2006/relationships/hyperlink" Target="https://newsletters.qs.com/holoniq-annual-education-outlook-2025/" TargetMode="External"/><Relationship Id="rId3" Type="http://schemas.openxmlformats.org/officeDocument/2006/relationships/webSettings" Target="webSettings.xml"/><Relationship Id="rId21" Type="http://schemas.openxmlformats.org/officeDocument/2006/relationships/hyperlink" Target="https://www.unprme.org/search/" TargetMode="External"/><Relationship Id="rId7" Type="http://schemas.openxmlformats.org/officeDocument/2006/relationships/image" Target="media/image2.png"/><Relationship Id="rId12" Type="http://schemas.openxmlformats.org/officeDocument/2006/relationships/hyperlink" Target="https://www.cesim.com/solutions/educational/services" TargetMode="External"/><Relationship Id="rId17" Type="http://schemas.openxmlformats.org/officeDocument/2006/relationships/hyperlink" Target="https://www.holoniq.com/notes/sizing-the-global-edtech-market" TargetMode="Externa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en.wikipedia.org/wiki/List_of_universities_in_Indonesia" TargetMode="External"/><Relationship Id="rId20" Type="http://schemas.openxmlformats.org/officeDocument/2006/relationships/hyperlink" Target="https://loyalty.cx/edtech-retention-problem/" TargetMode="Externa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www.cesim.com/solutions/educational/services" TargetMode="External"/><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hyperlink" Target="https://en.wikipedia.org/wiki/List_of_universities_in_Indonesia" TargetMode="External"/><Relationship Id="rId23" Type="http://schemas.openxmlformats.org/officeDocument/2006/relationships/footer" Target="footer1.xml"/><Relationship Id="rId10" Type="http://schemas.openxmlformats.org/officeDocument/2006/relationships/hyperlink" Target="https://databoks.katadata.co.id/en/demographics/statistics/db7aab0ca2c0d6d/indonesia-becomes-the-second-country-with-the-most-universities-in-the-world-in-2023" TargetMode="External"/><Relationship Id="rId19" Type="http://schemas.openxmlformats.org/officeDocument/2006/relationships/hyperlink" Target="https://www.holoniq.com/notes/2025-southeast-asia-edtech-50" TargetMode="External"/><Relationship Id="rId4" Type="http://schemas.openxmlformats.org/officeDocument/2006/relationships/footnotes" Target="footnotes.xml"/><Relationship Id="rId9" Type="http://schemas.openxmlformats.org/officeDocument/2006/relationships/hyperlink" Target="https://databoks.katadata.co.id/en/demographics/statistics/db7aab0ca2c0d6d/indonesia-becomes-the-second-country-with-the-most-universities-in-the-world-in-2023" TargetMode="External"/><Relationship Id="rId14" Type="http://schemas.openxmlformats.org/officeDocument/2006/relationships/hyperlink" Target="https://culta.ai/benchmarks/edtech-benchmarks" TargetMode="External"/><Relationship Id="rId22" Type="http://schemas.openxmlformats.org/officeDocument/2006/relationships/header" Target="head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3619</Words>
  <Characters>20632</Characters>
  <Application>Microsoft Office Word</Application>
  <DocSecurity>0</DocSecurity>
  <Lines>171</Lines>
  <Paragraphs>48</Paragraphs>
  <ScaleCrop>false</ScaleCrop>
  <Company/>
  <LinksUpToDate>false</LinksUpToDate>
  <CharactersWithSpaces>24203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Rex Dominic Beronilla</cp:lastModifiedBy>
  <cp:revision>2</cp:revision>
  <dcterms:created xsi:type="dcterms:W3CDTF">2026-06-03T02:28:00Z</dcterms:created>
  <dcterms:modified xsi:type="dcterms:W3CDTF">2026-06-03T02:28:00Z</dcterms:modified>
</cp:coreProperties>
</file>