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8514F"/>
          <w:sz w:val="44"/>
        </w:rPr>
        <w:t>TEST REFERENCE BACKEND SPEC</w:t>
      </w:r>
    </w:p>
    <w:p>
      <w:pPr>
        <w:spacing w:after="280"/>
      </w:pPr>
      <w:r>
        <w:rPr>
          <w:i/>
          <w:color w:val="7C8C89"/>
          <w:sz w:val="20"/>
        </w:rPr>
        <w:t>Backend handoff · lab-backend</w:t>
      </w:r>
    </w:p>
    <w:p>
      <w:pPr>
        <w:spacing w:after="280" w:before="0"/>
      </w:pPr>
      <w:r>
        <w:rPr>
          <w:rFonts w:ascii="Calibri" w:hAnsi="Calibri"/>
          <w:b w:val="0"/>
          <w:i w:val="0"/>
          <w:color w:val="122120"/>
          <w:sz w:val="21"/>
        </w:rPr>
        <w:t xml:space="preserve">Changes required in </w:t>
      </w:r>
      <w:r>
        <w:rPr>
          <w:rFonts w:ascii="Consolas" w:hAnsi="Consolas"/>
          <w:b w:val="0"/>
          <w:i w:val="0"/>
          <w:color w:val="08514F"/>
          <w:sz w:val="21"/>
        </w:rPr>
        <w:t>lab-backend</w:t>
      </w:r>
      <w:r>
        <w:rPr>
          <w:rFonts w:ascii="Calibri" w:hAnsi="Calibri"/>
          <w:b w:val="0"/>
          <w:i w:val="0"/>
          <w:color w:val="122120"/>
          <w:sz w:val="21"/>
        </w:rPr>
        <w:t xml:space="preserve"> to fully support the new Add Test flow in </w:t>
      </w:r>
      <w:r>
        <w:rPr>
          <w:rFonts w:ascii="Consolas" w:hAnsi="Consolas"/>
          <w:b w:val="0"/>
          <w:i w:val="0"/>
          <w:color w:val="08514F"/>
          <w:sz w:val="21"/>
        </w:rPr>
        <w:t>lab-app</w:t>
      </w:r>
      <w:r>
        <w:rPr>
          <w:rFonts w:ascii="Calibri" w:hAnsi="Calibri"/>
          <w:b w:val="0"/>
          <w:i w:val="0"/>
          <w:color w:val="122120"/>
          <w:sz w:val="21"/>
        </w:rPr>
        <w:t xml:space="preserve"> (</w:t>
      </w:r>
      <w:r>
        <w:rPr>
          <w:rFonts w:ascii="Consolas" w:hAnsi="Consolas"/>
          <w:b w:val="0"/>
          <w:i w:val="0"/>
          <w:color w:val="08514F"/>
          <w:sz w:val="21"/>
        </w:rPr>
        <w:t>AddTest.tsx</w:t>
      </w:r>
      <w:r>
        <w:rPr>
          <w:rFonts w:ascii="Calibri" w:hAnsi="Calibri"/>
          <w:b w:val="0"/>
          <w:i w:val="0"/>
          <w:color w:val="122120"/>
          <w:sz w:val="21"/>
        </w:rPr>
        <w:t>): create a Test, then a linked TestReference carrying its result configuration. The two-call shape already matches the existing endpoints — what follows are two response bugs found via live testing, the schema needed for every Result Type panel (Numeric, Dropdown, Text, Textarea, Positive/Negative, Yes/No, Set Range, Multi-Parameter), and the fields that are still local-only on the frontend.</w:t>
      </w:r>
    </w:p>
    <w:tbl>
      <w:tblPr>
        <w:tblW w:type="auto" w:w="0"/>
        <w:jc w:val="left"/>
        <w:tblLook w:firstColumn="1" w:firstRow="1" w:lastColumn="0" w:lastRow="0" w:noHBand="0" w:noVBand="1" w:val="04A0"/>
      </w:tblPr>
      <w:tblGrid>
        <w:gridCol w:w="1930"/>
        <w:gridCol w:w="1930"/>
        <w:gridCol w:w="1930"/>
        <w:gridCol w:w="1930"/>
        <w:gridCol w:w="1930"/>
      </w:tblGrid>
      <w:tr>
        <w:tc>
          <w:tcPr>
            <w:tcW w:type="dxa" w:w="1930"/>
            <w:shd w:val="clear" w:color="auto" w:fill="F4F7F7"/>
            <w:tcBorders>
              <w:top w:val="single" w:sz="4" w:color="D7E1DF"/>
              <w:left w:val="single" w:sz="4" w:color="D7E1DF"/>
              <w:bottom w:val="single" w:sz="4" w:color="D7E1DF"/>
              <w:right w:val="single" w:sz="4" w:color="D7E1DF"/>
            </w:tcBorders>
          </w:tcPr>
          <w:p>
            <w:pPr>
              <w:jc w:val="center"/>
            </w:pPr>
            <w:r>
              <w:rPr>
                <w:rFonts w:ascii="Consolas" w:hAnsi="Consolas"/>
                <w:b/>
                <w:color w:val="B3401C"/>
                <w:sz w:val="30"/>
              </w:rPr>
              <w:t>2</w:t>
              <w:br/>
            </w:r>
          </w:p>
          <w:p>
            <w:pPr>
              <w:jc w:val="center"/>
            </w:pPr>
            <w:r>
              <w:rPr>
                <w:color w:val="7C8C89"/>
                <w:sz w:val="16"/>
              </w:rPr>
              <w:t>blocking fixes</w:t>
            </w:r>
          </w:p>
        </w:tc>
        <w:tc>
          <w:tcPr>
            <w:tcW w:type="dxa" w:w="1930"/>
            <w:shd w:val="clear" w:color="auto" w:fill="F4F7F7"/>
            <w:tcBorders>
              <w:top w:val="single" w:sz="4" w:color="D7E1DF"/>
              <w:left w:val="single" w:sz="4" w:color="D7E1DF"/>
              <w:bottom w:val="single" w:sz="4" w:color="D7E1DF"/>
              <w:right w:val="single" w:sz="4" w:color="D7E1DF"/>
            </w:tcBorders>
          </w:tcPr>
          <w:p>
            <w:pPr>
              <w:jc w:val="center"/>
            </w:pPr>
            <w:r>
              <w:rPr>
                <w:rFonts w:ascii="Consolas" w:hAnsi="Consolas"/>
                <w:b/>
                <w:color w:val="35597A"/>
                <w:sz w:val="30"/>
              </w:rPr>
              <w:t>9</w:t>
              <w:br/>
            </w:r>
          </w:p>
          <w:p>
            <w:pPr>
              <w:jc w:val="center"/>
            </w:pPr>
            <w:r>
              <w:rPr>
                <w:color w:val="7C8C89"/>
                <w:sz w:val="16"/>
              </w:rPr>
              <w:t>new columns</w:t>
            </w:r>
          </w:p>
        </w:tc>
        <w:tc>
          <w:tcPr>
            <w:tcW w:type="dxa" w:w="1930"/>
            <w:shd w:val="clear" w:color="auto" w:fill="F4F7F7"/>
            <w:tcBorders>
              <w:top w:val="single" w:sz="4" w:color="D7E1DF"/>
              <w:left w:val="single" w:sz="4" w:color="D7E1DF"/>
              <w:bottom w:val="single" w:sz="4" w:color="D7E1DF"/>
              <w:right w:val="single" w:sz="4" w:color="D7E1DF"/>
            </w:tcBorders>
          </w:tcPr>
          <w:p>
            <w:pPr>
              <w:jc w:val="center"/>
            </w:pPr>
            <w:r>
              <w:rPr>
                <w:rFonts w:ascii="Consolas" w:hAnsi="Consolas"/>
                <w:b/>
                <w:color w:val="35597A"/>
                <w:sz w:val="30"/>
              </w:rPr>
              <w:t>1</w:t>
              <w:br/>
            </w:r>
          </w:p>
          <w:p>
            <w:pPr>
              <w:jc w:val="center"/>
            </w:pPr>
            <w:r>
              <w:rPr>
                <w:color w:val="7C8C89"/>
                <w:sz w:val="16"/>
              </w:rPr>
              <w:t>optional table</w:t>
            </w:r>
          </w:p>
        </w:tc>
        <w:tc>
          <w:tcPr>
            <w:tcW w:type="dxa" w:w="1930"/>
            <w:shd w:val="clear" w:color="auto" w:fill="F4F7F7"/>
            <w:tcBorders>
              <w:top w:val="single" w:sz="4" w:color="D7E1DF"/>
              <w:left w:val="single" w:sz="4" w:color="D7E1DF"/>
              <w:bottom w:val="single" w:sz="4" w:color="D7E1DF"/>
              <w:right w:val="single" w:sz="4" w:color="D7E1DF"/>
            </w:tcBorders>
          </w:tcPr>
          <w:p>
            <w:pPr>
              <w:jc w:val="center"/>
            </w:pPr>
            <w:r>
              <w:rPr>
                <w:rFonts w:ascii="Consolas" w:hAnsi="Consolas"/>
                <w:b/>
                <w:color w:val="35597A"/>
                <w:sz w:val="30"/>
              </w:rPr>
              <w:t>1</w:t>
              <w:br/>
            </w:r>
          </w:p>
          <w:p>
            <w:pPr>
              <w:jc w:val="center"/>
            </w:pPr>
            <w:r>
              <w:rPr>
                <w:color w:val="7C8C89"/>
                <w:sz w:val="16"/>
              </w:rPr>
              <w:t>decision needed</w:t>
            </w:r>
          </w:p>
        </w:tc>
        <w:tc>
          <w:tcPr>
            <w:tcW w:type="dxa" w:w="1930"/>
            <w:shd w:val="clear" w:color="auto" w:fill="F4F7F7"/>
            <w:tcBorders>
              <w:top w:val="single" w:sz="4" w:color="D7E1DF"/>
              <w:left w:val="single" w:sz="4" w:color="D7E1DF"/>
              <w:bottom w:val="single" w:sz="4" w:color="D7E1DF"/>
              <w:right w:val="single" w:sz="4" w:color="D7E1DF"/>
            </w:tcBorders>
          </w:tcPr>
          <w:p>
            <w:pPr>
              <w:jc w:val="center"/>
            </w:pPr>
            <w:r>
              <w:rPr>
                <w:rFonts w:ascii="Consolas" w:hAnsi="Consolas"/>
                <w:b/>
                <w:color w:val="2C7A4B"/>
                <w:sz w:val="30"/>
              </w:rPr>
              <w:t>0</w:t>
              <w:br/>
            </w:r>
          </w:p>
          <w:p>
            <w:pPr>
              <w:jc w:val="center"/>
            </w:pPr>
            <w:r>
              <w:rPr>
                <w:color w:val="7C8C89"/>
                <w:sz w:val="16"/>
              </w:rPr>
              <w:t>new endpoints</w:t>
            </w:r>
          </w:p>
        </w:tc>
      </w:tr>
    </w:tbl>
    <w:p>
      <w:pPr>
        <w:spacing w:after="120"/>
      </w:pPr>
    </w:p>
    <w:p>
      <w:pPr>
        <w:spacing w:before="440" w:after="40"/>
        <w:pBdr>
          <w:bottom w:val="single" w:sz="8" w:space="4" w:color="D7E1DF"/>
        </w:pBdr>
      </w:pPr>
      <w:r>
        <w:rPr>
          <w:rFonts w:ascii="Calibri" w:hAnsi="Calibri"/>
          <w:b/>
          <w:color w:val="B3401C"/>
          <w:sz w:val="25"/>
        </w:rPr>
        <w:t>BLOCKING — FIX BEFORE THE NEW FLOW WORKS CORRECTLY</w:t>
      </w:r>
      <w:r>
        <w:rPr>
          <w:i/>
          <w:color w:val="7C8C89"/>
          <w:sz w:val="19"/>
        </w:rPr>
        <w:t xml:space="preserve">   (2 items)</w:t>
      </w:r>
    </w:p>
    <w:p>
      <w:pPr>
        <w:spacing w:after="200" w:before="0"/>
      </w:pPr>
      <w:r>
        <w:rPr>
          <w:rFonts w:ascii="Calibri" w:hAnsi="Calibri"/>
          <w:b w:val="0"/>
          <w:i/>
          <w:color w:val="4C605D"/>
          <w:sz w:val="19"/>
        </w:rPr>
        <w:t>Found by tracing an actual create-test-reference request in the network tab, not by code review alone. Both are logic bugs in existing endpoints — no new routes.</w:t>
      </w:r>
    </w:p>
    <w:p>
      <w:pPr>
        <w:spacing w:after="40" w:before="160"/>
      </w:pPr>
      <w:r>
        <w:rPr>
          <w:rFonts w:ascii="Calibri" w:hAnsi="Calibri"/>
          <w:b/>
          <w:i w:val="0"/>
          <w:color w:val="B3401C"/>
          <w:sz w:val="21"/>
        </w:rPr>
        <w:t xml:space="preserve">BLOCKING  </w:t>
      </w:r>
      <w:r>
        <w:rPr>
          <w:rFonts w:ascii="Consolas" w:hAnsi="Consolas"/>
          <w:b/>
          <w:i w:val="0"/>
          <w:color w:val="122120"/>
          <w:sz w:val="21"/>
        </w:rPr>
        <w:t>POST /admin/lab/{labId}/add always returns id: 0</w:t>
      </w:r>
    </w:p>
    <w:p>
      <w:pPr>
        <w:spacing w:after="80"/>
      </w:pPr>
      <w:r>
        <w:rPr>
          <w:rFonts w:ascii="Consolas" w:hAnsi="Consolas"/>
          <w:color w:val="7C8C89"/>
          <w:sz w:val="18"/>
        </w:rPr>
        <w:t>TestController.java · addTest() · ~L187–215, L619–629</w:t>
      </w:r>
    </w:p>
    <w:p>
      <w:pPr>
        <w:spacing w:after="160" w:before="0"/>
      </w:pPr>
      <w:r>
        <w:rPr>
          <w:rFonts w:ascii="Calibri" w:hAnsi="Calibri"/>
          <w:b/>
          <w:i w:val="0"/>
          <w:color w:val="122120"/>
          <w:sz w:val="21"/>
        </w:rPr>
        <w:t xml:space="preserve">Root cause: </w:t>
      </w:r>
      <w:r>
        <w:rPr>
          <w:rFonts w:ascii="Consolas" w:hAnsi="Consolas"/>
          <w:b w:val="0"/>
          <w:i w:val="0"/>
          <w:color w:val="08514F"/>
          <w:sz w:val="21"/>
        </w:rPr>
        <w:t>labRepository.save(lab)</w:t>
      </w:r>
      <w:r>
        <w:rPr>
          <w:rFonts w:ascii="Calibri" w:hAnsi="Calibri"/>
          <w:b w:val="0"/>
          <w:i w:val="0"/>
          <w:color w:val="122120"/>
          <w:sz w:val="21"/>
        </w:rPr>
        <w:t xml:space="preserve">'s return value is discarded, and the response DTO is built from the pre-save </w:t>
      </w:r>
      <w:r>
        <w:rPr>
          <w:rFonts w:ascii="Consolas" w:hAnsi="Consolas"/>
          <w:b w:val="0"/>
          <w:i w:val="0"/>
          <w:color w:val="08514F"/>
          <w:sz w:val="21"/>
        </w:rPr>
        <w:t>test</w:t>
      </w:r>
      <w:r>
        <w:rPr>
          <w:rFonts w:ascii="Calibri" w:hAnsi="Calibri"/>
          <w:b w:val="0"/>
          <w:i w:val="0"/>
          <w:color w:val="122120"/>
          <w:sz w:val="21"/>
        </w:rPr>
        <w:t xml:space="preserve"> object via </w:t>
      </w:r>
      <w:r>
        <w:rPr>
          <w:rFonts w:ascii="Consolas" w:hAnsi="Consolas"/>
          <w:b w:val="0"/>
          <w:i w:val="0"/>
          <w:color w:val="08514F"/>
          <w:sz w:val="21"/>
        </w:rPr>
        <w:t>toTestDTO(test)</w:t>
      </w:r>
      <w:r>
        <w:rPr>
          <w:rFonts w:ascii="Calibri" w:hAnsi="Calibri"/>
          <w:b w:val="0"/>
          <w:i w:val="0"/>
          <w:color w:val="122120"/>
          <w:sz w:val="21"/>
        </w:rPr>
        <w:t>. Because Lab already has a persisted id, save() triggers a JPA merge() — which returns a new managed copy. The generated id lands on that copy, never on the original test variable still referenced afterward.</w:t>
      </w:r>
    </w:p>
    <w:p>
      <w:pPr>
        <w:spacing w:after="40" w:before="0"/>
      </w:pPr>
      <w:r>
        <w:rPr>
          <w:rFonts w:ascii="Calibri" w:hAnsi="Calibri"/>
          <w:b/>
          <w:i w:val="0"/>
          <w:color w:val="122120"/>
          <w:sz w:val="21"/>
        </w:rPr>
        <w:t>Fix — persist Test directly so its id writes back in place:</w:t>
      </w:r>
    </w:p>
    <w:tbl>
      <w:tblPr>
        <w:tblW w:type="auto" w:w="0"/>
        <w:jc w:val="left"/>
        <w:tblLook w:firstColumn="1" w:firstRow="1" w:lastColumn="0" w:lastRow="0" w:noHBand="0" w:noVBand="1" w:val="04A0"/>
      </w:tblPr>
      <w:tblGrid>
        <w:gridCol w:w="9648"/>
      </w:tblGrid>
      <w:tr>
        <w:tc>
          <w:tcPr>
            <w:tcW w:type="dxa" w:w="9648"/>
            <w:shd w:val="clear" w:color="auto" w:fill="EEF3F2"/>
            <w:tcBorders>
              <w:top w:val="single" w:sz="4" w:color="D7E1DF"/>
              <w:left w:val="single" w:sz="4" w:color="D7E1DF"/>
              <w:bottom w:val="single" w:sz="4" w:color="D7E1DF"/>
              <w:right w:val="single" w:sz="4" w:color="D7E1DF"/>
            </w:tcBorders>
          </w:tcPr>
          <w:p>
            <w:pPr>
              <w:spacing w:after="0"/>
            </w:pPr>
            <w:r>
              <w:rPr>
                <w:rFonts w:ascii="Consolas" w:hAnsi="Consolas"/>
                <w:color w:val="122120"/>
                <w:sz w:val="18"/>
              </w:rPr>
              <w:t>test = testRepository.save(test);</w:t>
            </w:r>
          </w:p>
          <w:p>
            <w:pPr>
              <w:spacing w:after="0"/>
            </w:pPr>
            <w:r>
              <w:rPr>
                <w:rFonts w:ascii="Consolas" w:hAnsi="Consolas"/>
                <w:color w:val="122120"/>
                <w:sz w:val="18"/>
              </w:rPr>
              <w:t>lab.addTest(test);</w:t>
            </w:r>
          </w:p>
          <w:p>
            <w:pPr>
              <w:spacing w:after="0"/>
            </w:pPr>
            <w:r>
              <w:rPr>
                <w:rFonts w:ascii="Consolas" w:hAnsi="Consolas"/>
                <w:color w:val="122120"/>
                <w:sz w:val="18"/>
              </w:rPr>
              <w:t>labRepository.save(lab);</w:t>
            </w:r>
          </w:p>
          <w:p>
            <w:pPr>
              <w:spacing w:after="0"/>
            </w:pPr>
            <w:r>
              <w:rPr>
                <w:rFonts w:ascii="Consolas" w:hAnsi="Consolas"/>
                <w:color w:val="122120"/>
                <w:sz w:val="18"/>
              </w:rPr>
              <w:t>TestDTO savedTestDTO = toTestDTO(test);  // test.id is now real</w:t>
            </w:r>
          </w:p>
        </w:tc>
      </w:tr>
    </w:tbl>
    <w:p>
      <w:pPr>
        <w:spacing w:after="80"/>
      </w:pPr>
    </w:p>
    <w:p>
      <w:pPr>
        <w:spacing w:after="240" w:before="0"/>
      </w:pPr>
      <w:r>
        <w:rPr>
          <w:rFonts w:ascii="Calibri" w:hAnsi="Calibri"/>
          <w:b/>
          <w:i w:val="0"/>
          <w:color w:val="122120"/>
          <w:sz w:val="21"/>
        </w:rPr>
        <w:t xml:space="preserve">Downstream impact: </w:t>
      </w:r>
      <w:r>
        <w:rPr>
          <w:rFonts w:ascii="Calibri" w:hAnsi="Calibri"/>
          <w:b w:val="0"/>
          <w:i w:val="0"/>
          <w:color w:val="122120"/>
          <w:sz w:val="21"/>
        </w:rPr>
        <w:t>the frontend now sends testId from this response on every reference-range save. Until this is fixed, that field is always 0, and the reference falls back to an unscoped name lookup (see Hardening #1 below).</w:t>
      </w:r>
    </w:p>
    <w:p>
      <w:pPr>
        <w:spacing w:after="40" w:before="160"/>
      </w:pPr>
      <w:r>
        <w:rPr>
          <w:rFonts w:ascii="Calibri" w:hAnsi="Calibri"/>
          <w:b/>
          <w:i w:val="0"/>
          <w:color w:val="B3401C"/>
          <w:sz w:val="21"/>
        </w:rPr>
        <w:t xml:space="preserve">BLOCKING  </w:t>
      </w:r>
      <w:r>
        <w:rPr>
          <w:rFonts w:ascii="Consolas" w:hAnsi="Consolas"/>
          <w:b/>
          <w:i w:val="0"/>
          <w:color w:val="122120"/>
          <w:sz w:val="21"/>
        </w:rPr>
        <w:t>POST /lab/test-reference/add response drops minAgeUnit / maxAgeUnit</w:t>
      </w:r>
    </w:p>
    <w:p>
      <w:pPr>
        <w:spacing w:after="80"/>
      </w:pPr>
      <w:r>
        <w:rPr>
          <w:rFonts w:ascii="Consolas" w:hAnsi="Consolas"/>
          <w:color w:val="7C8C89"/>
          <w:sz w:val="18"/>
        </w:rPr>
        <w:t>TestReferenceServices.java · addTestReference() · ~L468–489</w:t>
      </w:r>
    </w:p>
    <w:p>
      <w:pPr>
        <w:spacing w:after="160" w:before="0"/>
      </w:pPr>
      <w:r>
        <w:rPr>
          <w:rFonts w:ascii="Calibri" w:hAnsi="Calibri"/>
          <w:b w:val="0"/>
          <w:i w:val="0"/>
          <w:color w:val="122120"/>
          <w:sz w:val="21"/>
        </w:rPr>
        <w:t>The entity itself is saved correctly with both values (lines 445 and 447 set them via AgeUnit.valueOf(...)). The response-DTO block just never copies them across — two setter calls are missing.</w:t>
      </w:r>
    </w:p>
    <w:p>
      <w:pPr>
        <w:spacing w:after="40" w:before="0"/>
      </w:pPr>
      <w:r>
        <w:rPr>
          <w:rFonts w:ascii="Calibri" w:hAnsi="Calibri"/>
          <w:b/>
          <w:i w:val="0"/>
          <w:color w:val="122120"/>
          <w:sz w:val="21"/>
        </w:rPr>
        <w:t>Fix — add to the existing response-building block:</w:t>
      </w:r>
    </w:p>
    <w:tbl>
      <w:tblPr>
        <w:tblW w:type="auto" w:w="0"/>
        <w:jc w:val="left"/>
        <w:tblLook w:firstColumn="1" w:firstRow="1" w:lastColumn="0" w:lastRow="0" w:noHBand="0" w:noVBand="1" w:val="04A0"/>
      </w:tblPr>
      <w:tblGrid>
        <w:gridCol w:w="9648"/>
      </w:tblGrid>
      <w:tr>
        <w:tc>
          <w:tcPr>
            <w:tcW w:type="dxa" w:w="9648"/>
            <w:shd w:val="clear" w:color="auto" w:fill="EEF3F2"/>
            <w:tcBorders>
              <w:top w:val="single" w:sz="4" w:color="D7E1DF"/>
              <w:left w:val="single" w:sz="4" w:color="D7E1DF"/>
              <w:bottom w:val="single" w:sz="4" w:color="D7E1DF"/>
              <w:right w:val="single" w:sz="4" w:color="D7E1DF"/>
            </w:tcBorders>
          </w:tcPr>
          <w:p>
            <w:pPr>
              <w:spacing w:after="0"/>
            </w:pPr>
            <w:r>
              <w:rPr>
                <w:rFonts w:ascii="Consolas" w:hAnsi="Consolas"/>
                <w:color w:val="122120"/>
                <w:sz w:val="18"/>
              </w:rPr>
              <w:t>dto.setMinAgeUnit(saved.getMinAgeUnit() != null ? saved.getMinAgeUnit().name() : null);</w:t>
            </w:r>
          </w:p>
          <w:p>
            <w:pPr>
              <w:spacing w:after="0"/>
            </w:pPr>
            <w:r>
              <w:rPr>
                <w:rFonts w:ascii="Consolas" w:hAnsi="Consolas"/>
                <w:color w:val="122120"/>
                <w:sz w:val="18"/>
              </w:rPr>
              <w:t>dto.setMaxAgeUnit(saved.getMaxAgeUnit() != null ? saved.getMaxAgeUnit().name() : null);</w:t>
            </w:r>
          </w:p>
        </w:tc>
      </w:tr>
    </w:tbl>
    <w:p>
      <w:pPr>
        <w:spacing w:after="80"/>
      </w:pPr>
    </w:p>
    <w:p>
      <w:pPr>
        <w:spacing w:before="440" w:after="40"/>
        <w:pBdr>
          <w:bottom w:val="single" w:sz="8" w:space="4" w:color="D7E1DF"/>
        </w:pBdr>
      </w:pPr>
      <w:r>
        <w:rPr>
          <w:rFonts w:ascii="Calibri" w:hAnsi="Calibri"/>
          <w:b/>
          <w:color w:val="35597A"/>
          <w:sz w:val="25"/>
        </w:rPr>
        <w:t>APPLICABLE CRITERIA &amp; REPORT DISPLAY — ONLY IF THESE SHOULD BE SAVED</w:t>
      </w:r>
      <w:r>
        <w:rPr>
          <w:i/>
          <w:color w:val="7C8C89"/>
          <w:sz w:val="19"/>
        </w:rPr>
        <w:t xml:space="preserve">   (3 fields)</w:t>
      </w:r>
    </w:p>
    <w:p>
      <w:pPr>
        <w:spacing w:after="200" w:before="0"/>
      </w:pPr>
      <w:r>
        <w:rPr>
          <w:rFonts w:ascii="Calibri" w:hAnsi="Calibri"/>
          <w:b w:val="0"/>
          <w:i w:val="0"/>
          <w:color w:val="4C605D"/>
          <w:sz w:val="19"/>
        </w:rPr>
        <w:t>The new frontend captures three things with nowhere to go on the backend today. Until these exist, they stay as local UI state in AddTest.tsx and are never sent. All three go on TestReferenceEntity + TestReferenceDTO, alongside the existing gender / ageMin / ageMax columns.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872"/>
            <w:shd w:val="clear" w:color="auto" w:fill="EBF1F0"/>
          </w:tcPr>
          <w:p>
            <w:r/>
            <w:r>
              <w:rPr>
                <w:b/>
                <w:color w:val="7C8C89"/>
                <w:sz w:val="18"/>
              </w:rPr>
              <w:t>Field</w:t>
            </w:r>
          </w:p>
        </w:tc>
        <w:tc>
          <w:tcPr>
            <w:tcW w:type="dxa" w:w="1872"/>
            <w:shd w:val="clear" w:color="auto" w:fill="EBF1F0"/>
          </w:tcPr>
          <w:p>
            <w:r/>
            <w:r>
              <w:rPr>
                <w:b/>
                <w:color w:val="7C8C89"/>
                <w:sz w:val="18"/>
              </w:rPr>
              <w:t>Column</w:t>
            </w:r>
          </w:p>
        </w:tc>
        <w:tc>
          <w:tcPr>
            <w:tcW w:type="dxa" w:w="1152"/>
            <w:shd w:val="clear" w:color="auto" w:fill="EBF1F0"/>
          </w:tcPr>
          <w:p>
            <w:r/>
            <w:r>
              <w:rPr>
                <w:b/>
                <w:color w:val="7C8C89"/>
                <w:sz w:val="18"/>
              </w:rPr>
              <w:t>Type</w:t>
            </w:r>
          </w:p>
        </w:tc>
        <w:tc>
          <w:tcPr>
            <w:tcW w:type="dxa" w:w="1872"/>
            <w:shd w:val="clear" w:color="auto" w:fill="EBF1F0"/>
          </w:tcPr>
          <w:p>
            <w:r/>
            <w:r>
              <w:rPr>
                <w:b/>
                <w:color w:val="7C8C89"/>
                <w:sz w:val="18"/>
              </w:rPr>
              <w:t>Captured in</w:t>
            </w:r>
          </w:p>
        </w:tc>
        <w:tc>
          <w:tcPr>
            <w:tcW w:type="dxa" w:w="2736"/>
            <w:shd w:val="clear" w:color="auto" w:fill="EBF1F0"/>
          </w:tcPr>
          <w:p>
            <w:r/>
            <w:r>
              <w:rPr>
                <w:b/>
                <w:color w:val="7C8C89"/>
                <w:sz w:val="18"/>
              </w:rPr>
              <w:t>Purpose</w:t>
            </w:r>
          </w:p>
        </w:tc>
      </w:tr>
      <w:tr>
        <w:tc>
          <w:tcPr>
            <w:tcW w:type="dxa" w:w="1872"/>
          </w:tcPr>
          <w:p>
            <w:r/>
            <w:r>
              <w:rPr>
                <w:rFonts w:ascii="Calibri" w:hAnsi="Calibri"/>
                <w:b/>
                <w:color w:val="122120"/>
                <w:sz w:val="19"/>
              </w:rPr>
              <w:t>Pregnancy applicable</w:t>
            </w:r>
          </w:p>
        </w:tc>
        <w:tc>
          <w:tcPr>
            <w:tcW w:type="dxa" w:w="1872"/>
          </w:tcPr>
          <w:p>
            <w:r/>
            <w:r>
              <w:rPr>
                <w:rFonts w:ascii="Consolas" w:hAnsi="Consolas"/>
                <w:b w:val="0"/>
                <w:color w:val="08514F"/>
                <w:sz w:val="19"/>
              </w:rPr>
              <w:t>pregnancy_applicable</w:t>
            </w:r>
          </w:p>
        </w:tc>
        <w:tc>
          <w:tcPr>
            <w:tcW w:type="dxa" w:w="1152"/>
          </w:tcPr>
          <w:p>
            <w:r/>
            <w:r>
              <w:rPr>
                <w:color w:val="4C605D"/>
                <w:sz w:val="19"/>
              </w:rPr>
              <w:t>boolean</w:t>
            </w:r>
          </w:p>
        </w:tc>
        <w:tc>
          <w:tcPr>
            <w:tcW w:type="dxa" w:w="1872"/>
          </w:tcPr>
          <w:p>
            <w:r/>
            <w:r>
              <w:rPr>
                <w:color w:val="4C605D"/>
                <w:sz w:val="19"/>
              </w:rPr>
              <w:t>Applicable Criteria toggle</w:t>
            </w:r>
          </w:p>
        </w:tc>
        <w:tc>
          <w:tcPr>
            <w:tcW w:type="dxa" w:w="2736"/>
          </w:tcPr>
          <w:p>
            <w:r/>
            <w:r>
              <w:rPr>
                <w:color w:val="4C605D"/>
                <w:sz w:val="19"/>
              </w:rPr>
              <w:t>Flags whether this reference range applies during pregnancy.</w:t>
            </w:r>
          </w:p>
        </w:tc>
      </w:tr>
      <w:tr>
        <w:tc>
          <w:tcPr>
            <w:tcW w:type="dxa" w:w="1872"/>
          </w:tcPr>
          <w:p>
            <w:r/>
            <w:r>
              <w:rPr>
                <w:rFonts w:ascii="Calibri" w:hAnsi="Calibri"/>
                <w:b/>
                <w:color w:val="122120"/>
                <w:sz w:val="19"/>
              </w:rPr>
              <w:t>Tags</w:t>
            </w:r>
          </w:p>
        </w:tc>
        <w:tc>
          <w:tcPr>
            <w:tcW w:type="dxa" w:w="1872"/>
          </w:tcPr>
          <w:p>
            <w:r/>
            <w:r>
              <w:rPr>
                <w:rFonts w:ascii="Consolas" w:hAnsi="Consolas"/>
                <w:b w:val="0"/>
                <w:color w:val="08514F"/>
                <w:sz w:val="19"/>
              </w:rPr>
              <w:t>tags</w:t>
            </w:r>
          </w:p>
        </w:tc>
        <w:tc>
          <w:tcPr>
            <w:tcW w:type="dxa" w:w="1152"/>
          </w:tcPr>
          <w:p>
            <w:r/>
            <w:r>
              <w:rPr>
                <w:color w:val="4C605D"/>
                <w:sz w:val="19"/>
              </w:rPr>
              <w:t>jsonb array</w:t>
            </w:r>
          </w:p>
        </w:tc>
        <w:tc>
          <w:tcPr>
            <w:tcW w:type="dxa" w:w="1872"/>
          </w:tcPr>
          <w:p>
            <w:r/>
            <w:r>
              <w:rPr>
                <w:color w:val="4C605D"/>
                <w:sz w:val="19"/>
              </w:rPr>
              <w:t>Applicable Criteria tag list</w:t>
            </w:r>
          </w:p>
        </w:tc>
        <w:tc>
          <w:tcPr>
            <w:tcW w:type="dxa" w:w="2736"/>
          </w:tcPr>
          <w:p>
            <w:r/>
            <w:r>
              <w:rPr>
                <w:color w:val="4C605D"/>
                <w:sz w:val="19"/>
              </w:rPr>
              <w:t>Free-text labels, e.g. ["Pediatric","Geriatric"].</w:t>
            </w:r>
          </w:p>
        </w:tc>
      </w:tr>
      <w:tr>
        <w:tc>
          <w:tcPr>
            <w:tcW w:type="dxa" w:w="1872"/>
          </w:tcPr>
          <w:p>
            <w:r/>
            <w:r>
              <w:rPr>
                <w:rFonts w:ascii="Calibri" w:hAnsi="Calibri"/>
                <w:b/>
                <w:color w:val="122120"/>
                <w:sz w:val="19"/>
              </w:rPr>
              <w:t>Report display settings</w:t>
            </w:r>
          </w:p>
        </w:tc>
        <w:tc>
          <w:tcPr>
            <w:tcW w:type="dxa" w:w="1872"/>
          </w:tcPr>
          <w:p>
            <w:r/>
            <w:r>
              <w:rPr>
                <w:rFonts w:ascii="Consolas" w:hAnsi="Consolas"/>
                <w:b w:val="0"/>
                <w:color w:val="08514F"/>
                <w:sz w:val="19"/>
              </w:rPr>
              <w:t>display_settings</w:t>
            </w:r>
          </w:p>
        </w:tc>
        <w:tc>
          <w:tcPr>
            <w:tcW w:type="dxa" w:w="1152"/>
          </w:tcPr>
          <w:p>
            <w:r/>
            <w:r>
              <w:rPr>
                <w:color w:val="4C605D"/>
                <w:sz w:val="19"/>
              </w:rPr>
              <w:t>jsonb</w:t>
            </w:r>
          </w:p>
        </w:tc>
        <w:tc>
          <w:tcPr>
            <w:tcW w:type="dxa" w:w="1872"/>
          </w:tcPr>
          <w:p>
            <w:r/>
            <w:r>
              <w:rPr>
                <w:color w:val="4C605D"/>
                <w:sz w:val="19"/>
              </w:rPr>
              <w:t>Report Display toggles</w:t>
            </w:r>
          </w:p>
        </w:tc>
        <w:tc>
          <w:tcPr>
            <w:tcW w:type="dxa" w:w="2736"/>
          </w:tcPr>
          <w:p>
            <w:r/>
            <w:r>
              <w:rPr>
                <w:color w:val="4C605D"/>
                <w:sz w:val="19"/>
              </w:rPr>
              <w:t>Show test / unit / reference range / interpretation, highlight abnormal, show trend.</w:t>
            </w:r>
          </w:p>
        </w:tc>
      </w:tr>
    </w:tbl>
    <w:p>
      <w:pPr>
        <w:spacing w:after="80"/>
      </w:pPr>
    </w:p>
    <w:p>
      <w:pPr>
        <w:spacing w:after="160" w:before="0"/>
      </w:pPr>
      <w:r>
        <w:rPr>
          <w:rFonts w:ascii="Calibri" w:hAnsi="Calibri"/>
          <w:b/>
          <w:i w:val="0"/>
          <w:color w:val="B3401C"/>
          <w:sz w:val="21"/>
        </w:rPr>
        <w:t xml:space="preserve">Do not reuse reportJson for display settings. </w:t>
      </w:r>
      <w:r>
        <w:rPr>
          <w:rFonts w:ascii="Calibri" w:hAnsi="Calibri"/>
          <w:b w:val="0"/>
          <w:i w:val="0"/>
          <w:color w:val="122120"/>
          <w:sz w:val="21"/>
        </w:rPr>
        <w:t>It was considered and rejected: the patient-report renderer (CommonReportView2.tsx, isDetailedReportEntry()) switches a test into “Detailed Report” rendering whenever reportJson is non-empty — regardless of testDescription. Writing display settings there would silently break real patient reports for every test created through this flow. display_settings needs to be its own column, structurally separate from report_json.</w:t>
      </w:r>
    </w:p>
    <w:p>
      <w:pPr>
        <w:spacing w:before="440" w:after="40"/>
        <w:pBdr>
          <w:bottom w:val="single" w:sz="8" w:space="4" w:color="D7E1DF"/>
        </w:pBdr>
      </w:pPr>
      <w:r>
        <w:rPr>
          <w:rFonts w:ascii="Calibri" w:hAnsi="Calibri"/>
          <w:b/>
          <w:color w:val="35597A"/>
          <w:sz w:val="25"/>
        </w:rPr>
        <w:t>RESULT-TYPE CONFIG — ONE SHAPE PER INPUT STYLE</w:t>
      </w:r>
      <w:r>
        <w:rPr>
          <w:i/>
          <w:color w:val="7C8C89"/>
          <w:sz w:val="19"/>
        </w:rPr>
        <w:t xml:space="preserve">   (8 result types)</w:t>
      </w:r>
    </w:p>
    <w:p>
      <w:pPr>
        <w:spacing w:after="200" w:before="0"/>
      </w:pPr>
      <w:r>
        <w:rPr>
          <w:rFonts w:ascii="Calibri" w:hAnsi="Calibri"/>
          <w:b w:val="0"/>
          <w:i w:val="0"/>
          <w:color w:val="4C605D"/>
          <w:sz w:val="19"/>
        </w:rPr>
        <w:t>Result.tsx switches the whole input style by resultType — Numeric, Dropdown/Select, Text, Textarea, Positive/Negative, Yes/No, Set Range, Multi-Parameter — and each one asks for different fields (critical values, character limits, band tables, per-option interpretation). None of that is wired to the backend yet; today every non-dropdown type collapses into the same testDescription: "DESCRIPTION" string, and testDescription is already load-bearing elsewhere in the app (report rendering gates on exact strings like "DETAILED REPORT"), so it can't be repurposed as the new discriminator without risking those readers.</w:t>
      </w:r>
    </w:p>
    <w:p>
      <w:pPr>
        <w:spacing w:after="40" w:before="160"/>
      </w:pPr>
      <w:r>
        <w:rPr>
          <w:rFonts w:ascii="Calibri" w:hAnsi="Calibri"/>
          <w:b/>
          <w:i w:val="0"/>
          <w:color w:val="122120"/>
          <w:sz w:val="22"/>
        </w:rPr>
        <w:t>result_type — explicit discriminator</w:t>
      </w:r>
    </w:p>
    <w:p>
      <w:pPr>
        <w:spacing w:after="80"/>
      </w:pPr>
      <w:r>
        <w:rPr>
          <w:rFonts w:ascii="Consolas" w:hAnsi="Consolas"/>
          <w:color w:val="7C8C89"/>
          <w:sz w:val="18"/>
        </w:rPr>
        <w:t>TestReferenceEntity.java / test_reference</w:t>
      </w:r>
    </w:p>
    <w:p>
      <w:pPr>
        <w:spacing w:after="160" w:before="0"/>
      </w:pPr>
      <w:r>
        <w:rPr>
          <w:rFonts w:ascii="Calibri" w:hAnsi="Calibri"/>
          <w:b w:val="0"/>
          <w:i w:val="0"/>
          <w:color w:val="122120"/>
          <w:sz w:val="21"/>
        </w:rPr>
        <w:t>A new VARCHAR column, separate from testDescription: NUMERIC, DROPDOWN, TEXT, TEXTAREA, POSITIVE_NEGATIVE, YES_NO, SET_RANGE, MULTI_PARAMETER. This is what tells the backend (and any future reader) which shape to expect inside result_config below.</w:t>
      </w:r>
    </w:p>
    <w:p>
      <w:pPr>
        <w:spacing w:after="40" w:before="200"/>
      </w:pPr>
      <w:r>
        <w:rPr>
          <w:rFonts w:ascii="Calibri" w:hAnsi="Calibri"/>
          <w:b/>
          <w:i w:val="0"/>
          <w:color w:val="122120"/>
          <w:sz w:val="22"/>
        </w:rPr>
        <w:t>critical_min / critical_max / borderline_min / borderline_max</w:t>
      </w:r>
    </w:p>
    <w:p>
      <w:pPr>
        <w:spacing w:after="80"/>
      </w:pPr>
      <w:r>
        <w:rPr>
          <w:rFonts w:ascii="Consolas" w:hAnsi="Consolas"/>
          <w:color w:val="7C8C89"/>
          <w:sz w:val="18"/>
        </w:rPr>
        <w:t>TestReferenceEntity.java / test_reference</w:t>
      </w:r>
    </w:p>
    <w:p>
      <w:pPr>
        <w:spacing w:after="160" w:before="0"/>
      </w:pPr>
      <w:r>
        <w:rPr>
          <w:rFonts w:ascii="Calibri" w:hAnsi="Calibri"/>
          <w:b w:val="0"/>
          <w:i w:val="0"/>
          <w:color w:val="122120"/>
          <w:sz w:val="21"/>
        </w:rPr>
        <w:t>Numeric's panel captures Critical and Borderline ranges alongside the Normal range. Normal already has a home (min_reference_range / max_reference_range). These four are the same kind of clinically-meaningful, alerting-relevant value — recommended as real DOUBLE PRECISION columns, parallel to the existing pair, rather than buried in JSON where they can't be queried for alerting later.</w:t>
      </w:r>
    </w:p>
    <w:p>
      <w:pPr>
        <w:spacing w:after="40" w:before="200"/>
      </w:pPr>
      <w:r>
        <w:rPr>
          <w:rFonts w:ascii="Calibri" w:hAnsi="Calibri"/>
          <w:b/>
          <w:i w:val="0"/>
          <w:color w:val="122120"/>
          <w:sz w:val="22"/>
        </w:rPr>
        <w:t>result_config — the rest, per type</w:t>
      </w:r>
    </w:p>
    <w:p>
      <w:pPr>
        <w:spacing w:after="80"/>
      </w:pPr>
      <w:r>
        <w:rPr>
          <w:rFonts w:ascii="Consolas" w:hAnsi="Consolas"/>
          <w:color w:val="7C8C89"/>
          <w:sz w:val="18"/>
        </w:rPr>
        <w:t>TestReferenceEntity.java / test_reference</w:t>
      </w:r>
    </w:p>
    <w:p>
      <w:pPr>
        <w:spacing w:after="160" w:before="0"/>
      </w:pPr>
      <w:r>
        <w:rPr>
          <w:rFonts w:ascii="Calibri" w:hAnsi="Calibri"/>
          <w:b w:val="0"/>
          <w:i w:val="0"/>
          <w:color w:val="122120"/>
          <w:sz w:val="21"/>
        </w:rPr>
        <w:t>One jsonb column, same pattern already used for report_json / reference_ranges / dropdown. Shape depends on result_type. Everything in it is input-behavior config, not clinical data that needs its own column or query path.</w:t>
      </w:r>
    </w:p>
    <w:tbl>
      <w:tblPr>
        <w:tblStyle w:val="TableGrid"/>
        <w:tblW w:type="auto" w:w="0"/>
        <w:jc w:val="left"/>
        <w:tblLook w:firstColumn="1" w:firstRow="1" w:lastColumn="0" w:lastRow="0" w:noHBand="0" w:noVBand="1" w:val="04A0"/>
      </w:tblPr>
      <w:tblGrid>
        <w:gridCol w:w="3216"/>
        <w:gridCol w:w="3216"/>
        <w:gridCol w:w="3216"/>
      </w:tblGrid>
      <w:tr>
        <w:tc>
          <w:tcPr>
            <w:tcW w:type="dxa" w:w="1584"/>
            <w:shd w:val="clear" w:color="auto" w:fill="EBF1F0"/>
          </w:tcPr>
          <w:p>
            <w:r/>
            <w:r>
              <w:rPr>
                <w:b/>
                <w:color w:val="7C8C89"/>
                <w:sz w:val="18"/>
              </w:rPr>
              <w:t>Result type</w:t>
            </w:r>
          </w:p>
        </w:tc>
        <w:tc>
          <w:tcPr>
            <w:tcW w:type="dxa" w:w="3744"/>
            <w:shd w:val="clear" w:color="auto" w:fill="EBF1F0"/>
          </w:tcPr>
          <w:p>
            <w:r/>
            <w:r>
              <w:rPr>
                <w:b/>
                <w:color w:val="7C8C89"/>
                <w:sz w:val="18"/>
              </w:rPr>
              <w:t>Fields captured in the UI</w:t>
            </w:r>
          </w:p>
        </w:tc>
        <w:tc>
          <w:tcPr>
            <w:tcW w:type="dxa" w:w="2880"/>
            <w:shd w:val="clear" w:color="auto" w:fill="EBF1F0"/>
          </w:tcPr>
          <w:p>
            <w:r/>
            <w:r>
              <w:rPr>
                <w:b/>
                <w:color w:val="7C8C89"/>
                <w:sz w:val="18"/>
              </w:rPr>
              <w:t>Destination</w:t>
            </w:r>
          </w:p>
        </w:tc>
      </w:tr>
      <w:tr>
        <w:tc>
          <w:tcPr>
            <w:tcW w:type="dxa" w:w="1584"/>
          </w:tcPr>
          <w:p>
            <w:r/>
            <w:r>
              <w:rPr>
                <w:rFonts w:ascii="Calibri" w:hAnsi="Calibri"/>
                <w:b/>
                <w:color w:val="122120"/>
                <w:sz w:val="19"/>
              </w:rPr>
              <w:t>Numeric</w:t>
            </w:r>
          </w:p>
        </w:tc>
        <w:tc>
          <w:tcPr>
            <w:tcW w:type="dxa" w:w="3744"/>
          </w:tcPr>
          <w:p>
            <w:r/>
            <w:r>
              <w:rPr>
                <w:color w:val="4C605D"/>
                <w:sz w:val="19"/>
              </w:rPr>
              <w:t>normalMin/Max, unit, criticalMin/Max, borderlineMin/Max, decimalPlaces, allowDecimal, allowNegative, showOnReport, autoInterpretation</w:t>
            </w:r>
          </w:p>
        </w:tc>
        <w:tc>
          <w:tcPr>
            <w:tcW w:type="dxa" w:w="2880"/>
          </w:tcPr>
          <w:p>
            <w:r/>
            <w:r>
              <w:rPr>
                <w:rFonts w:ascii="Calibri" w:hAnsi="Calibri"/>
                <w:b/>
                <w:color w:val="2C7A4B"/>
                <w:sz w:val="19"/>
              </w:rPr>
              <w:t>min/max_reference_range, units</w:t>
            </w:r>
            <w:r>
              <w:rPr>
                <w:rFonts w:ascii="Calibri" w:hAnsi="Calibri"/>
                <w:b w:val="0"/>
                <w:color w:val="4C605D"/>
                <w:sz w:val="19"/>
              </w:rPr>
              <w:t xml:space="preserve"> exist · </w:t>
            </w:r>
            <w:r>
              <w:rPr>
                <w:rFonts w:ascii="Calibri" w:hAnsi="Calibri"/>
                <w:b/>
                <w:color w:val="08514F"/>
                <w:sz w:val="19"/>
              </w:rPr>
              <w:t>critical_*, borderline_*</w:t>
            </w:r>
            <w:r>
              <w:rPr>
                <w:rFonts w:ascii="Calibri" w:hAnsi="Calibri"/>
                <w:b w:val="0"/>
                <w:color w:val="4C605D"/>
                <w:sz w:val="19"/>
              </w:rPr>
              <w:t xml:space="preserve"> new columns · rest → </w:t>
            </w:r>
            <w:r>
              <w:rPr>
                <w:rFonts w:ascii="Consolas" w:hAnsi="Consolas"/>
                <w:b/>
                <w:color w:val="08514F"/>
                <w:sz w:val="19"/>
              </w:rPr>
              <w:t>result_config.numeric</w:t>
            </w:r>
          </w:p>
        </w:tc>
      </w:tr>
      <w:tr>
        <w:tc>
          <w:tcPr>
            <w:tcW w:type="dxa" w:w="1584"/>
          </w:tcPr>
          <w:p>
            <w:r/>
            <w:r>
              <w:rPr>
                <w:rFonts w:ascii="Calibri" w:hAnsi="Calibri"/>
                <w:b/>
                <w:color w:val="122120"/>
                <w:sz w:val="19"/>
              </w:rPr>
              <w:t>Dropdown / Select</w:t>
            </w:r>
          </w:p>
        </w:tc>
        <w:tc>
          <w:tcPr>
            <w:tcW w:type="dxa" w:w="3744"/>
          </w:tcPr>
          <w:p>
            <w:r/>
            <w:r>
              <w:rPr>
                <w:color w:val="4C605D"/>
                <w:sz w:val="19"/>
              </w:rPr>
              <w:t>label, value, status, interpretation, isDefault</w:t>
            </w:r>
          </w:p>
        </w:tc>
        <w:tc>
          <w:tcPr>
            <w:tcW w:type="dxa" w:w="2880"/>
          </w:tcPr>
          <w:p>
            <w:r/>
            <w:r>
              <w:rPr>
                <w:rFonts w:ascii="Consolas" w:hAnsi="Consolas"/>
                <w:b/>
                <w:color w:val="2C7A4B"/>
                <w:sz w:val="19"/>
              </w:rPr>
              <w:t>dropdown</w:t>
            </w:r>
            <w:r>
              <w:rPr>
                <w:rFonts w:ascii="Calibri" w:hAnsi="Calibri"/>
                <w:b w:val="0"/>
                <w:color w:val="4C605D"/>
                <w:sz w:val="19"/>
              </w:rPr>
              <w:t xml:space="preserve"> column already exists — only value/label are sent today. status/interpretation/isDefault are captured in the UI but dropped before the request goes out — a frontend fix (additive JSON keys), not a backend change.</w:t>
            </w:r>
          </w:p>
        </w:tc>
      </w:tr>
      <w:tr>
        <w:tc>
          <w:tcPr>
            <w:tcW w:type="dxa" w:w="1584"/>
          </w:tcPr>
          <w:p>
            <w:r/>
            <w:r>
              <w:rPr>
                <w:rFonts w:ascii="Calibri" w:hAnsi="Calibri"/>
                <w:b/>
                <w:color w:val="122120"/>
                <w:sz w:val="19"/>
              </w:rPr>
              <w:t>Text</w:t>
            </w:r>
          </w:p>
        </w:tc>
        <w:tc>
          <w:tcPr>
            <w:tcW w:type="dxa" w:w="3744"/>
          </w:tcPr>
          <w:p>
            <w:r/>
            <w:r>
              <w:rPr>
                <w:color w:val="4C605D"/>
                <w:sz w:val="19"/>
              </w:rPr>
              <w:t>placeholder, characterLimit, defaultValue, showOnReport, requiredField</w:t>
            </w:r>
          </w:p>
        </w:tc>
        <w:tc>
          <w:tcPr>
            <w:tcW w:type="dxa" w:w="2880"/>
          </w:tcPr>
          <w:p>
            <w:r/>
            <w:r>
              <w:rPr>
                <w:rFonts w:ascii="Consolas" w:hAnsi="Consolas"/>
                <w:b/>
                <w:color w:val="08514F"/>
                <w:sz w:val="19"/>
              </w:rPr>
              <w:t>all → result_config.text</w:t>
            </w:r>
          </w:p>
        </w:tc>
      </w:tr>
      <w:tr>
        <w:tc>
          <w:tcPr>
            <w:tcW w:type="dxa" w:w="1584"/>
          </w:tcPr>
          <w:p>
            <w:r/>
            <w:r>
              <w:rPr>
                <w:rFonts w:ascii="Calibri" w:hAnsi="Calibri"/>
                <w:b/>
                <w:color w:val="122120"/>
                <w:sz w:val="19"/>
              </w:rPr>
              <w:t>Textarea</w:t>
            </w:r>
          </w:p>
        </w:tc>
        <w:tc>
          <w:tcPr>
            <w:tcW w:type="dxa" w:w="3744"/>
          </w:tcPr>
          <w:p>
            <w:r/>
            <w:r>
              <w:rPr>
                <w:color w:val="4C605D"/>
                <w:sz w:val="19"/>
              </w:rPr>
              <w:t>placeholder, characterLimit, defaultTemplate, defaultValue, showOnReport, requiredField, allowMultiline</w:t>
            </w:r>
          </w:p>
        </w:tc>
        <w:tc>
          <w:tcPr>
            <w:tcW w:type="dxa" w:w="2880"/>
          </w:tcPr>
          <w:p>
            <w:r/>
            <w:r>
              <w:rPr>
                <w:rFonts w:ascii="Consolas" w:hAnsi="Consolas"/>
                <w:b/>
                <w:color w:val="08514F"/>
                <w:sz w:val="19"/>
              </w:rPr>
              <w:t>all → result_config.textarea</w:t>
            </w:r>
          </w:p>
        </w:tc>
      </w:tr>
      <w:tr>
        <w:tc>
          <w:tcPr>
            <w:tcW w:type="dxa" w:w="1584"/>
          </w:tcPr>
          <w:p>
            <w:r/>
            <w:r>
              <w:rPr>
                <w:rFonts w:ascii="Calibri" w:hAnsi="Calibri"/>
                <w:b/>
                <w:color w:val="122120"/>
                <w:sz w:val="19"/>
              </w:rPr>
              <w:t>Positive / Negative</w:t>
            </w:r>
          </w:p>
        </w:tc>
        <w:tc>
          <w:tcPr>
            <w:tcW w:type="dxa" w:w="3744"/>
          </w:tcPr>
          <w:p>
            <w:r/>
            <w:r>
              <w:rPr>
                <w:color w:val="4C605D"/>
                <w:sz w:val="19"/>
              </w:rPr>
              <w:t>status, interpretation, showOnReport, requiredField</w:t>
            </w:r>
          </w:p>
        </w:tc>
        <w:tc>
          <w:tcPr>
            <w:tcW w:type="dxa" w:w="2880"/>
          </w:tcPr>
          <w:p>
            <w:r/>
            <w:r>
              <w:rPr>
                <w:rFonts w:ascii="Consolas" w:hAnsi="Consolas"/>
                <w:b/>
                <w:color w:val="08514F"/>
                <w:sz w:val="19"/>
              </w:rPr>
              <w:t>all → result_config.binary</w:t>
            </w:r>
            <w:r>
              <w:rPr>
                <w:rFonts w:ascii="Calibri" w:hAnsi="Calibri"/>
                <w:b w:val="0"/>
                <w:color w:val="4C605D"/>
                <w:sz w:val="19"/>
              </w:rPr>
              <w:t xml:space="preserve"> (labels are fixed: Positive/Negative)</w:t>
            </w:r>
          </w:p>
        </w:tc>
      </w:tr>
      <w:tr>
        <w:tc>
          <w:tcPr>
            <w:tcW w:type="dxa" w:w="1584"/>
          </w:tcPr>
          <w:p>
            <w:r/>
            <w:r>
              <w:rPr>
                <w:rFonts w:ascii="Calibri" w:hAnsi="Calibri"/>
                <w:b/>
                <w:color w:val="122120"/>
                <w:sz w:val="19"/>
              </w:rPr>
              <w:t>Yes / No</w:t>
            </w:r>
          </w:p>
        </w:tc>
        <w:tc>
          <w:tcPr>
            <w:tcW w:type="dxa" w:w="3744"/>
          </w:tcPr>
          <w:p>
            <w:r/>
            <w:r>
              <w:rPr>
                <w:color w:val="4C605D"/>
                <w:sz w:val="19"/>
              </w:rPr>
              <w:t>status, interpretation, showOnReport, requiredField</w:t>
            </w:r>
          </w:p>
        </w:tc>
        <w:tc>
          <w:tcPr>
            <w:tcW w:type="dxa" w:w="2880"/>
          </w:tcPr>
          <w:p>
            <w:r/>
            <w:r>
              <w:rPr>
                <w:rFonts w:ascii="Consolas" w:hAnsi="Consolas"/>
                <w:b/>
                <w:color w:val="08514F"/>
                <w:sz w:val="19"/>
              </w:rPr>
              <w:t>all → result_config.binary</w:t>
            </w:r>
            <w:r>
              <w:rPr>
                <w:rFonts w:ascii="Calibri" w:hAnsi="Calibri"/>
                <w:b w:val="0"/>
                <w:color w:val="4C605D"/>
                <w:sz w:val="19"/>
              </w:rPr>
              <w:t xml:space="preserve"> (same shape as Positive/Negative; labels are Yes/No)</w:t>
            </w:r>
          </w:p>
        </w:tc>
      </w:tr>
      <w:tr>
        <w:tc>
          <w:tcPr>
            <w:tcW w:type="dxa" w:w="1584"/>
          </w:tcPr>
          <w:p>
            <w:r/>
            <w:r>
              <w:rPr>
                <w:rFonts w:ascii="Calibri" w:hAnsi="Calibri"/>
                <w:b/>
                <w:color w:val="122120"/>
                <w:sz w:val="19"/>
              </w:rPr>
              <w:t>Set Range</w:t>
            </w:r>
          </w:p>
        </w:tc>
        <w:tc>
          <w:tcPr>
            <w:tcW w:type="dxa" w:w="3744"/>
          </w:tcPr>
          <w:p>
            <w:r/>
            <w:r>
              <w:rPr>
                <w:color w:val="4C605D"/>
                <w:sz w:val="19"/>
              </w:rPr>
              <w:t>label, from, to, status, interpretation</w:t>
            </w:r>
          </w:p>
        </w:tc>
        <w:tc>
          <w:tcPr>
            <w:tcW w:type="dxa" w:w="2880"/>
          </w:tcPr>
          <w:p>
            <w:r/>
            <w:r>
              <w:rPr>
                <w:rFonts w:ascii="Consolas" w:hAnsi="Consolas"/>
                <w:b/>
                <w:color w:val="08514F"/>
                <w:sz w:val="19"/>
              </w:rPr>
              <w:t>rows[] → result_config.setRange.rows</w:t>
            </w:r>
            <w:r>
              <w:rPr>
                <w:rFonts w:ascii="Calibri" w:hAnsi="Calibri"/>
                <w:b w:val="0"/>
                <w:color w:val="4C605D"/>
                <w:sz w:val="19"/>
              </w:rPr>
              <w:t xml:space="preserve"> — kept separate from reference_ranges, whose rows are shaped for Gender/Age, not band labels.</w:t>
            </w:r>
          </w:p>
        </w:tc>
      </w:tr>
      <w:tr>
        <w:tc>
          <w:tcPr>
            <w:tcW w:type="dxa" w:w="1584"/>
          </w:tcPr>
          <w:p>
            <w:r/>
            <w:r>
              <w:rPr>
                <w:rFonts w:ascii="Calibri" w:hAnsi="Calibri"/>
                <w:b/>
                <w:color w:val="122120"/>
                <w:sz w:val="19"/>
              </w:rPr>
              <w:t>Multi-Parameter</w:t>
            </w:r>
          </w:p>
        </w:tc>
        <w:tc>
          <w:tcPr>
            <w:tcW w:type="dxa" w:w="3744"/>
          </w:tcPr>
          <w:p>
            <w:r/>
            <w:r>
              <w:rPr>
                <w:color w:val="4C605D"/>
                <w:sz w:val="19"/>
              </w:rPr>
              <w:t>name, resultType, + full per-type config above, once per parameter</w:t>
            </w:r>
          </w:p>
        </w:tc>
        <w:tc>
          <w:tcPr>
            <w:tcW w:type="dxa" w:w="2880"/>
          </w:tcPr>
          <w:p>
            <w:r/>
            <w:r>
              <w:rPr>
                <w:color w:val="4C605D"/>
                <w:sz w:val="19"/>
              </w:rPr>
              <w:t>see decision below</w:t>
            </w:r>
          </w:p>
        </w:tc>
      </w:tr>
    </w:tbl>
    <w:p>
      <w:pPr>
        <w:spacing w:after="80"/>
      </w:pPr>
    </w:p>
    <w:tbl>
      <w:tblPr>
        <w:tblW w:type="auto" w:w="0"/>
        <w:tblLook w:firstColumn="1" w:firstRow="1" w:lastColumn="0" w:lastRow="0" w:noHBand="0" w:noVBand="1" w:val="04A0"/>
      </w:tblPr>
      <w:tblGrid>
        <w:gridCol w:w="9648"/>
      </w:tblGrid>
      <w:tr>
        <w:tc>
          <w:tcPr>
            <w:tcW w:type="dxa" w:w="9648"/>
            <w:shd w:val="clear" w:color="auto" w:fill="E1F1EF"/>
            <w:tcBorders>
              <w:top w:val="single" w:sz="6" w:color="0E7C7B"/>
              <w:left w:val="single" w:sz="6" w:color="0E7C7B"/>
              <w:bottom w:val="single" w:sz="6" w:color="0E7C7B"/>
              <w:right w:val="single" w:sz="6" w:color="0E7C7B"/>
            </w:tcBorders>
          </w:tcPr>
          <w:p>
            <w:pPr>
              <w:spacing w:after="120"/>
            </w:pPr>
            <w:r>
              <w:rPr>
                <w:b/>
                <w:color w:val="08514F"/>
                <w:sz w:val="22"/>
              </w:rPr>
              <w:t>Decision needed — Multi-Parameter is a panel, not a single result.</w:t>
            </w:r>
          </w:p>
          <w:p>
            <w:pPr>
              <w:spacing w:after="160"/>
            </w:pPr>
            <w:r>
              <w:rPr>
                <w:color w:val="122120"/>
                <w:sz w:val="20"/>
              </w:rPr>
              <w:t>"Lipid Panel" isn’t one test with one config — it’s a named list of independent parameters (Total Cholesterol, HDL, LDL…), each with its own result type and config. That doesn't fit one TestReferenceEntity row today.</w:t>
            </w:r>
          </w:p>
          <w:tbl>
            <w:tblPr>
              <w:tblW w:type="auto" w:w="0"/>
              <w:tblLook w:firstColumn="1" w:firstRow="1" w:lastColumn="0" w:lastRow="0" w:noHBand="0" w:noVBand="1" w:val="04A0"/>
            </w:tblPr>
            <w:tblGrid>
              <w:gridCol w:w="4824"/>
              <w:gridCol w:w="4824"/>
            </w:tblGrid>
            <w:tr>
              <w:tc>
                <w:tcPr>
                  <w:tcW w:type="dxa" w:w="4824"/>
                  <w:shd w:val="clear" w:color="auto" w:fill="FFFFFF"/>
                  <w:tcBorders>
                    <w:top w:val="single" w:sz="4" w:color="D7E1DF"/>
                    <w:left w:val="single" w:sz="4" w:color="D7E1DF"/>
                    <w:bottom w:val="single" w:sz="4" w:color="D7E1DF"/>
                    <w:right w:val="single" w:sz="4" w:color="D7E1DF"/>
                  </w:tcBorders>
                </w:tcPr>
                <w:p>
                  <w:pPr>
                    <w:spacing w:after="80"/>
                  </w:pPr>
                  <w:r>
                    <w:rPr>
                      <w:b/>
                      <w:color w:val="08514F"/>
                      <w:sz w:val="19"/>
                    </w:rPr>
                    <w:t>Option A   [RECOMMENDED FOR NOW]</w:t>
                  </w:r>
                </w:p>
                <w:p>
                  <w:pPr>
                    <w:spacing w:after="120"/>
                  </w:pPr>
                  <w:r>
                    <w:rPr>
                      <w:color w:val="4C605D"/>
                      <w:sz w:val="18"/>
                    </w:rPr>
                    <w:t>Store the whole parameters array as one more key inside result_config on the existing row. No new table. Ships fast.</w:t>
                  </w:r>
                </w:p>
                <w:p>
                  <w:r>
                    <w:rPr>
                      <w:i/>
                      <w:color w:val="4C605D"/>
                      <w:sz w:val="18"/>
                    </w:rPr>
                    <w:t>Trade-off: can’t query/report on one parameter across patients (e.g. "every Total Cholesterol result") without a JSON path query.</w:t>
                  </w:r>
                </w:p>
              </w:tc>
              <w:tc>
                <w:tcPr>
                  <w:tcW w:type="dxa" w:w="4824"/>
                  <w:shd w:val="clear" w:color="auto" w:fill="FFFFFF"/>
                  <w:tcBorders>
                    <w:top w:val="single" w:sz="4" w:color="D7E1DF"/>
                    <w:left w:val="single" w:sz="4" w:color="D7E1DF"/>
                    <w:bottom w:val="single" w:sz="4" w:color="D7E1DF"/>
                    <w:right w:val="single" w:sz="4" w:color="D7E1DF"/>
                  </w:tcBorders>
                </w:tcPr>
                <w:p>
                  <w:pPr>
                    <w:spacing w:after="80"/>
                  </w:pPr>
                  <w:r>
                    <w:rPr>
                      <w:b/>
                      <w:color w:val="122120"/>
                      <w:sz w:val="19"/>
                    </w:rPr>
                    <w:t>Option B</w:t>
                  </w:r>
                </w:p>
                <w:p>
                  <w:pPr>
                    <w:spacing w:after="120"/>
                  </w:pPr>
                  <w:r>
                    <w:rPr>
                      <w:color w:val="4C605D"/>
                      <w:sz w:val="18"/>
                    </w:rPr>
                    <w:t>New child table test_parameter (id, test_reference_id FK, name, result_type, result_config, critical/borderline, position) — @OneToMany from TestReferenceEntity, cascade + orphan removal.</w:t>
                  </w:r>
                </w:p>
                <w:p>
                  <w:r>
                    <w:rPr>
                      <w:i/>
                      <w:color w:val="4C605D"/>
                      <w:sz w:val="18"/>
                    </w:rPr>
                    <w:t>Trade-off: real per-parameter querying and reporting later, more work now.</w:t>
                  </w:r>
                </w:p>
              </w:tc>
            </w:tr>
          </w:tbl>
          <w:p/>
        </w:tc>
      </w:tr>
    </w:tbl>
    <w:p>
      <w:pPr>
        <w:spacing w:after="120"/>
      </w:pPr>
    </w:p>
    <w:p>
      <w:pPr>
        <w:spacing w:after="40" w:before="200"/>
      </w:pPr>
      <w:r>
        <w:rPr>
          <w:rFonts w:ascii="Calibri" w:hAnsi="Calibri"/>
          <w:b/>
          <w:i w:val="0"/>
          <w:color w:val="122120"/>
          <w:sz w:val="22"/>
        </w:rPr>
        <w:t>Exact fields to add (Option A)</w:t>
      </w:r>
    </w:p>
    <w:p>
      <w:pPr>
        <w:spacing w:after="80"/>
      </w:pPr>
      <w:r>
        <w:rPr>
          <w:rFonts w:ascii="Consolas" w:hAnsi="Consolas"/>
          <w:color w:val="7C8C89"/>
          <w:sz w:val="18"/>
        </w:rPr>
        <w:t>TestReferenceEntity.java · TestReferenceDTO.java</w:t>
      </w:r>
    </w:p>
    <w:tbl>
      <w:tblPr>
        <w:tblW w:type="auto" w:w="0"/>
        <w:jc w:val="left"/>
        <w:tblLook w:firstColumn="1" w:firstRow="1" w:lastColumn="0" w:lastRow="0" w:noHBand="0" w:noVBand="1" w:val="04A0"/>
      </w:tblPr>
      <w:tblGrid>
        <w:gridCol w:w="9648"/>
      </w:tblGrid>
      <w:tr>
        <w:tc>
          <w:tcPr>
            <w:tcW w:type="dxa" w:w="9648"/>
            <w:shd w:val="clear" w:color="auto" w:fill="EEF3F2"/>
            <w:tcBorders>
              <w:top w:val="single" w:sz="4" w:color="D7E1DF"/>
              <w:left w:val="single" w:sz="4" w:color="D7E1DF"/>
              <w:bottom w:val="single" w:sz="4" w:color="D7E1DF"/>
              <w:right w:val="single" w:sz="4" w:color="D7E1DF"/>
            </w:tcBorders>
          </w:tcPr>
          <w:p>
            <w:pPr>
              <w:spacing w:after="0"/>
            </w:pPr>
            <w:r>
              <w:rPr>
                <w:rFonts w:ascii="Consolas" w:hAnsi="Consolas"/>
                <w:color w:val="122120"/>
                <w:sz w:val="18"/>
              </w:rPr>
              <w:t>// TestReferenceEntity.java — alongside reportJson/referenceRanges/dropdown</w:t>
            </w:r>
          </w:p>
          <w:p>
            <w:pPr>
              <w:spacing w:after="0"/>
            </w:pPr>
            <w:r>
              <w:rPr>
                <w:rFonts w:ascii="Consolas" w:hAnsi="Consolas"/>
                <w:color w:val="122120"/>
                <w:sz w:val="18"/>
              </w:rPr>
              <w:t>private String resultType;         // NUMERIC, TEXT, TEXTAREA, SET_RANGE, ...</w:t>
            </w:r>
          </w:p>
          <w:p>
            <w:pPr>
              <w:spacing w:after="0"/>
            </w:pPr>
            <w:r>
              <w:rPr>
                <w:rFonts w:ascii="Consolas" w:hAnsi="Consolas"/>
                <w:color w:val="122120"/>
                <w:sz w:val="18"/>
              </w:rPr>
              <w:t xml:space="preserve"> </w:t>
            </w:r>
          </w:p>
          <w:p>
            <w:pPr>
              <w:spacing w:after="0"/>
            </w:pPr>
            <w:r>
              <w:rPr>
                <w:rFonts w:ascii="Consolas" w:hAnsi="Consolas"/>
                <w:color w:val="122120"/>
                <w:sz w:val="18"/>
              </w:rPr>
              <w:t>private Double criticalMin;</w:t>
            </w:r>
          </w:p>
          <w:p>
            <w:pPr>
              <w:spacing w:after="0"/>
            </w:pPr>
            <w:r>
              <w:rPr>
                <w:rFonts w:ascii="Consolas" w:hAnsi="Consolas"/>
                <w:color w:val="122120"/>
                <w:sz w:val="18"/>
              </w:rPr>
              <w:t>private Double criticalMax;</w:t>
            </w:r>
          </w:p>
          <w:p>
            <w:pPr>
              <w:spacing w:after="0"/>
            </w:pPr>
            <w:r>
              <w:rPr>
                <w:rFonts w:ascii="Consolas" w:hAnsi="Consolas"/>
                <w:color w:val="122120"/>
                <w:sz w:val="18"/>
              </w:rPr>
              <w:t>private Double borderlineMin;</w:t>
            </w:r>
          </w:p>
          <w:p>
            <w:pPr>
              <w:spacing w:after="0"/>
            </w:pPr>
            <w:r>
              <w:rPr>
                <w:rFonts w:ascii="Consolas" w:hAnsi="Consolas"/>
                <w:color w:val="122120"/>
                <w:sz w:val="18"/>
              </w:rPr>
              <w:t>private Double borderlineMax;</w:t>
            </w:r>
          </w:p>
          <w:p>
            <w:pPr>
              <w:spacing w:after="0"/>
            </w:pPr>
            <w:r>
              <w:rPr>
                <w:rFonts w:ascii="Consolas" w:hAnsi="Consolas"/>
                <w:color w:val="122120"/>
                <w:sz w:val="18"/>
              </w:rPr>
              <w:t xml:space="preserve"> </w:t>
            </w:r>
          </w:p>
          <w:p>
            <w:pPr>
              <w:spacing w:after="0"/>
            </w:pPr>
            <w:r>
              <w:rPr>
                <w:rFonts w:ascii="Consolas" w:hAnsi="Consolas"/>
                <w:color w:val="122120"/>
                <w:sz w:val="18"/>
              </w:rPr>
              <w:t>@Column(columnDefinition = "jsonb")</w:t>
            </w:r>
          </w:p>
          <w:p>
            <w:pPr>
              <w:spacing w:after="0"/>
            </w:pPr>
            <w:r>
              <w:rPr>
                <w:rFonts w:ascii="Consolas" w:hAnsi="Consolas"/>
                <w:color w:val="122120"/>
                <w:sz w:val="18"/>
              </w:rPr>
              <w:t>@JdbcTypeCode(SqlTypes.JSON)</w:t>
            </w:r>
          </w:p>
          <w:p>
            <w:pPr>
              <w:spacing w:after="0"/>
            </w:pPr>
            <w:r>
              <w:rPr>
                <w:rFonts w:ascii="Consolas" w:hAnsi="Consolas"/>
                <w:color w:val="122120"/>
                <w:sz w:val="18"/>
              </w:rPr>
              <w:t>private String resultConfig;       // shape depends on resultType, see table above</w:t>
            </w:r>
          </w:p>
        </w:tc>
      </w:tr>
    </w:tbl>
    <w:p>
      <w:pPr>
        <w:spacing w:after="80"/>
      </w:pPr>
    </w:p>
    <w:p>
      <w:pPr>
        <w:spacing w:after="160" w:before="0"/>
      </w:pPr>
      <w:r>
        <w:rPr>
          <w:rFonts w:ascii="Calibri" w:hAnsi="Calibri"/>
          <w:b/>
          <w:i w:val="0"/>
          <w:color w:val="122120"/>
          <w:sz w:val="21"/>
        </w:rPr>
        <w:t xml:space="preserve">Mirror the same five fields on TestReferenceDTO </w:t>
      </w:r>
      <w:r>
        <w:rPr>
          <w:rFonts w:ascii="Calibri" w:hAnsi="Calibri"/>
          <w:b w:val="0"/>
          <w:i w:val="0"/>
          <w:color w:val="122120"/>
          <w:sz w:val="21"/>
        </w:rPr>
        <w:t>(plain String/Double, same as the existing reportJson/referenceRanges fields), and copy them in addTestReference / updateTestReference the same way the existing JSON fields are copied.</w:t>
      </w:r>
    </w:p>
    <w:p>
      <w:pPr>
        <w:spacing w:after="40" w:before="0"/>
      </w:pPr>
      <w:r>
        <w:rPr>
          <w:rFonts w:ascii="Calibri" w:hAnsi="Calibri"/>
          <w:b/>
          <w:i w:val="0"/>
          <w:color w:val="122120"/>
          <w:sz w:val="21"/>
        </w:rPr>
        <w:t>Migration:</w:t>
      </w:r>
    </w:p>
    <w:tbl>
      <w:tblPr>
        <w:tblW w:type="auto" w:w="0"/>
        <w:jc w:val="left"/>
        <w:tblLook w:firstColumn="1" w:firstRow="1" w:lastColumn="0" w:lastRow="0" w:noHBand="0" w:noVBand="1" w:val="04A0"/>
      </w:tblPr>
      <w:tblGrid>
        <w:gridCol w:w="9648"/>
      </w:tblGrid>
      <w:tr>
        <w:tc>
          <w:tcPr>
            <w:tcW w:type="dxa" w:w="9648"/>
            <w:shd w:val="clear" w:color="auto" w:fill="EEF3F2"/>
            <w:tcBorders>
              <w:top w:val="single" w:sz="4" w:color="D7E1DF"/>
              <w:left w:val="single" w:sz="4" w:color="D7E1DF"/>
              <w:bottom w:val="single" w:sz="4" w:color="D7E1DF"/>
              <w:right w:val="single" w:sz="4" w:color="D7E1DF"/>
            </w:tcBorders>
          </w:tcPr>
          <w:p>
            <w:pPr>
              <w:spacing w:after="0"/>
            </w:pPr>
            <w:r>
              <w:rPr>
                <w:rFonts w:ascii="Consolas" w:hAnsi="Consolas"/>
                <w:color w:val="122120"/>
                <w:sz w:val="18"/>
              </w:rPr>
              <w:t>ALTER TABLE test_reference ADD COLUMN result_type VARCHAR(32);</w:t>
            </w:r>
          </w:p>
          <w:p>
            <w:pPr>
              <w:spacing w:after="0"/>
            </w:pPr>
            <w:r>
              <w:rPr>
                <w:rFonts w:ascii="Consolas" w:hAnsi="Consolas"/>
                <w:color w:val="122120"/>
                <w:sz w:val="18"/>
              </w:rPr>
              <w:t>ALTER TABLE test_reference ADD COLUMN critical_min DOUBLE PRECISION;</w:t>
            </w:r>
          </w:p>
          <w:p>
            <w:pPr>
              <w:spacing w:after="0"/>
            </w:pPr>
            <w:r>
              <w:rPr>
                <w:rFonts w:ascii="Consolas" w:hAnsi="Consolas"/>
                <w:color w:val="122120"/>
                <w:sz w:val="18"/>
              </w:rPr>
              <w:t>ALTER TABLE test_reference ADD COLUMN critical_max DOUBLE PRECISION;</w:t>
            </w:r>
          </w:p>
          <w:p>
            <w:pPr>
              <w:spacing w:after="0"/>
            </w:pPr>
            <w:r>
              <w:rPr>
                <w:rFonts w:ascii="Consolas" w:hAnsi="Consolas"/>
                <w:color w:val="122120"/>
                <w:sz w:val="18"/>
              </w:rPr>
              <w:t>ALTER TABLE test_reference ADD COLUMN borderline_min DOUBLE PRECISION;</w:t>
            </w:r>
          </w:p>
          <w:p>
            <w:pPr>
              <w:spacing w:after="0"/>
            </w:pPr>
            <w:r>
              <w:rPr>
                <w:rFonts w:ascii="Consolas" w:hAnsi="Consolas"/>
                <w:color w:val="122120"/>
                <w:sz w:val="18"/>
              </w:rPr>
              <w:t>ALTER TABLE test_reference ADD COLUMN borderline_max DOUBLE PRECISION;</w:t>
            </w:r>
          </w:p>
          <w:p>
            <w:pPr>
              <w:spacing w:after="0"/>
            </w:pPr>
            <w:r>
              <w:rPr>
                <w:rFonts w:ascii="Consolas" w:hAnsi="Consolas"/>
                <w:color w:val="122120"/>
                <w:sz w:val="18"/>
              </w:rPr>
              <w:t>ALTER TABLE test_reference ADD COLUMN result_config JSONB;</w:t>
            </w:r>
          </w:p>
        </w:tc>
      </w:tr>
    </w:tbl>
    <w:p>
      <w:pPr>
        <w:spacing w:after="80"/>
      </w:pPr>
    </w:p>
    <w:p>
      <w:pPr>
        <w:spacing w:before="440" w:after="40"/>
        <w:pBdr>
          <w:bottom w:val="single" w:sz="8" w:space="4" w:color="D7E1DF"/>
        </w:pBdr>
      </w:pPr>
      <w:r>
        <w:rPr>
          <w:rFonts w:ascii="Calibri" w:hAnsi="Calibri"/>
          <w:b/>
          <w:color w:val="35597A"/>
          <w:sz w:val="25"/>
        </w:rPr>
        <w:t>OPTIONAL HARDENING — NOT BLOCKING, RECOMMENDED</w:t>
      </w:r>
      <w:r>
        <w:rPr>
          <w:i/>
          <w:color w:val="7C8C89"/>
          <w:sz w:val="19"/>
        </w:rPr>
        <w:t xml:space="preserve">   (2 items)</w:t>
      </w:r>
    </w:p>
    <w:p>
      <w:pPr>
        <w:spacing w:after="40" w:before="160"/>
      </w:pPr>
      <w:r>
        <w:rPr>
          <w:rFonts w:ascii="Calibri" w:hAnsi="Calibri"/>
          <w:b/>
          <w:i w:val="0"/>
          <w:color w:val="35597A"/>
          <w:sz w:val="21"/>
        </w:rPr>
        <w:t xml:space="preserve">HARDENING  </w:t>
      </w:r>
      <w:r>
        <w:rPr>
          <w:rFonts w:ascii="Calibri" w:hAnsi="Calibri"/>
          <w:b/>
          <w:i w:val="0"/>
          <w:color w:val="122120"/>
          <w:sz w:val="21"/>
        </w:rPr>
        <w:t>Name-based test lookup is unscoped across all labs</w:t>
      </w:r>
    </w:p>
    <w:p>
      <w:pPr>
        <w:spacing w:after="80"/>
      </w:pPr>
      <w:r>
        <w:rPr>
          <w:rFonts w:ascii="Consolas" w:hAnsi="Consolas"/>
          <w:color w:val="7C8C89"/>
          <w:sz w:val="18"/>
        </w:rPr>
        <w:t>TestRepository.java · findByNameIgnoreCase · L19</w:t>
      </w:r>
    </w:p>
    <w:p>
      <w:pPr>
        <w:spacing w:after="160" w:before="0"/>
      </w:pPr>
      <w:r>
        <w:rPr>
          <w:rFonts w:ascii="Calibri" w:hAnsi="Calibri"/>
          <w:b w:val="0"/>
          <w:i w:val="0"/>
          <w:color w:val="122120"/>
          <w:sz w:val="21"/>
        </w:rPr>
        <w:t>resolveTestId() in TestReferenceServices falls back to testRepository.findByNameIgnoreCase(name) whenever testId isn't supplied — and that query has no lab filter. Two different labs can each have a test named the same thing; this can attach a reference row to the wrong lab's test. Blocking Fix #1 makes the frontend send a real testId going forward, but the CSV-upload path and any other caller that omits it still hits this.</w:t>
      </w:r>
    </w:p>
    <w:p>
      <w:pPr>
        <w:spacing w:after="240" w:before="0"/>
      </w:pPr>
      <w:r>
        <w:rPr>
          <w:rFonts w:ascii="Calibri" w:hAnsi="Calibri"/>
          <w:b/>
          <w:i w:val="0"/>
          <w:color w:val="122120"/>
          <w:sz w:val="21"/>
        </w:rPr>
        <w:t xml:space="preserve">Suggested fix: </w:t>
      </w:r>
      <w:r>
        <w:rPr>
          <w:rFonts w:ascii="Consolas" w:hAnsi="Consolas"/>
          <w:b w:val="0"/>
          <w:i w:val="0"/>
          <w:color w:val="08514F"/>
          <w:sz w:val="21"/>
        </w:rPr>
        <w:t>findByLabs_IdAndNameIgnoreCase(Long labId, String name)</w:t>
      </w:r>
      <w:r>
        <w:rPr>
          <w:rFonts w:ascii="Calibri" w:hAnsi="Calibri"/>
          <w:b w:val="0"/>
          <w:i w:val="0"/>
          <w:color w:val="122120"/>
          <w:sz w:val="21"/>
        </w:rPr>
        <w:t>.</w:t>
      </w:r>
    </w:p>
    <w:p>
      <w:pPr>
        <w:spacing w:after="40" w:before="160"/>
      </w:pPr>
      <w:r>
        <w:rPr>
          <w:rFonts w:ascii="Calibri" w:hAnsi="Calibri"/>
          <w:b/>
          <w:i w:val="0"/>
          <w:color w:val="35597A"/>
          <w:sz w:val="21"/>
        </w:rPr>
        <w:t xml:space="preserve">HARDENING  </w:t>
      </w:r>
      <w:r>
        <w:rPr>
          <w:rFonts w:ascii="Calibri" w:hAnsi="Calibri"/>
          <w:b/>
          <w:i w:val="0"/>
          <w:color w:val="122120"/>
          <w:sz w:val="21"/>
        </w:rPr>
        <w:t>testId is a bare Long, not a real relationship</w:t>
      </w:r>
    </w:p>
    <w:p>
      <w:pPr>
        <w:spacing w:after="80"/>
      </w:pPr>
      <w:r>
        <w:rPr>
          <w:rFonts w:ascii="Consolas" w:hAnsi="Consolas"/>
          <w:color w:val="7C8C89"/>
          <w:sz w:val="18"/>
        </w:rPr>
        <w:t>TestReferenceEntity.java · testId · L32–33</w:t>
      </w:r>
    </w:p>
    <w:p>
      <w:pPr>
        <w:spacing w:after="160" w:before="0"/>
      </w:pPr>
      <w:r>
        <w:rPr>
          <w:rFonts w:ascii="Calibri" w:hAnsi="Calibri"/>
          <w:b w:val="0"/>
          <w:i w:val="0"/>
          <w:color w:val="122120"/>
          <w:sz w:val="21"/>
        </w:rPr>
        <w:t>No @ManyToOne, no @JoinColumn, no FK constraint back to Test. Now that Blocking Fix #1 makes this column reliably populated, it's a reasonable time to promote it to a proper foreign-key relationship for data integrity going forward — not required for the new flow to work.</w:t>
      </w:r>
    </w:p>
    <w:p>
      <w:pPr>
        <w:spacing w:before="440" w:after="40"/>
        <w:pBdr>
          <w:bottom w:val="single" w:sz="8" w:space="4" w:color="D7E1DF"/>
        </w:pBdr>
      </w:pPr>
      <w:r>
        <w:rPr>
          <w:rFonts w:ascii="Calibri" w:hAnsi="Calibri"/>
          <w:b/>
          <w:color w:val="2C7A4B"/>
          <w:sz w:val="25"/>
        </w:rPr>
        <w:t>ALREADY COMPATIBLE — NO CHANGE NEEDED</w:t>
      </w:r>
      <w:r>
        <w:rPr>
          <w:i/>
          <w:color w:val="7C8C89"/>
          <w:sz w:val="19"/>
        </w:rPr>
        <w:t xml:space="preserve">   (for completeness)</w:t>
      </w:r>
    </w:p>
    <w:p>
      <w:pPr>
        <w:pStyle w:val="ListBullet"/>
        <w:spacing w:after="120"/>
      </w:pPr>
      <w:r>
        <w:rPr>
          <w:rFonts w:ascii="Calibri" w:hAnsi="Calibri"/>
          <w:b/>
          <w:color w:val="122120"/>
          <w:sz w:val="21"/>
        </w:rPr>
        <w:t>The two-call flow itself</w:t>
      </w:r>
      <w:r>
        <w:rPr>
          <w:rFonts w:ascii="Calibri" w:hAnsi="Calibri"/>
          <w:b w:val="0"/>
          <w:color w:val="122120"/>
          <w:sz w:val="21"/>
        </w:rPr>
        <w:t xml:space="preserve"> — create Test via TestDTO, then create TestReference via TestReferenceDTO — matches the existing endpoints field-for-field. No new routes or DTO shape changes.</w:t>
      </w:r>
    </w:p>
    <w:p>
      <w:pPr>
        <w:pStyle w:val="ListBullet"/>
        <w:spacing w:after="120"/>
      </w:pPr>
      <w:r>
        <w:rPr>
          <w:rFonts w:ascii="Calibri" w:hAnsi="Calibri"/>
          <w:b/>
          <w:color w:val="122120"/>
          <w:sz w:val="21"/>
        </w:rPr>
        <w:t>Per-row range name / critical low / critical high / interpretation</w:t>
      </w:r>
      <w:r>
        <w:rPr>
          <w:rFonts w:ascii="Calibri" w:hAnsi="Calibri"/>
          <w:b w:val="0"/>
          <w:color w:val="122120"/>
          <w:sz w:val="21"/>
        </w:rPr>
        <w:t xml:space="preserve"> already ride inside the existing reference_ranges jsonb blob as additive JSON keys — no schema change needed unless these should become first-class, queryable columns later.</w:t>
      </w:r>
    </w:p>
    <w:p>
      <w:pPr>
        <w:spacing w:before="400"/>
      </w:pPr>
    </w:p>
    <w:p>
      <w:pPr>
        <w:spacing w:before="320"/>
      </w:pPr>
      <w:r>
        <w:rPr>
          <w:rFonts w:ascii="Consolas" w:hAnsi="Consolas"/>
          <w:color w:val="7C8C89"/>
          <w:sz w:val="17"/>
        </w:rPr>
        <w:t>lab-backend · generated from a live network trace against /lab/test-reference/add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221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8514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21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21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