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A2" w:rsidRDefault="003A5640" w:rsidP="003A5640">
      <w:pPr>
        <w:jc w:val="center"/>
        <w:rPr>
          <w:rFonts w:ascii="Arial Black" w:hAnsi="Arial Black"/>
          <w:sz w:val="36"/>
          <w:szCs w:val="36"/>
        </w:rPr>
      </w:pPr>
      <w:r w:rsidRPr="003A5640">
        <w:rPr>
          <w:rFonts w:ascii="Arial Black" w:hAnsi="Arial Black"/>
          <w:sz w:val="36"/>
          <w:szCs w:val="36"/>
        </w:rPr>
        <w:t>ACTIVITY-10</w:t>
      </w:r>
    </w:p>
    <w:p w:rsidR="003A5640" w:rsidRDefault="003A5640" w:rsidP="003A5640">
      <w:pPr>
        <w:rPr>
          <w:rFonts w:ascii="Arial Black" w:hAnsi="Arial Black"/>
          <w:sz w:val="24"/>
          <w:szCs w:val="24"/>
        </w:rPr>
      </w:pPr>
      <w:r>
        <w:rPr>
          <w:rFonts w:ascii="Arial Black" w:hAnsi="Arial Black"/>
          <w:sz w:val="24"/>
          <w:szCs w:val="24"/>
        </w:rPr>
        <w:t xml:space="preserve">Problem Definition: </w:t>
      </w:r>
      <w:r w:rsidR="005C45F9">
        <w:rPr>
          <w:rFonts w:ascii="Arial Black" w:hAnsi="Arial Black"/>
          <w:sz w:val="24"/>
          <w:szCs w:val="24"/>
        </w:rPr>
        <w:t>Identify IPV6 Addresses.</w:t>
      </w:r>
    </w:p>
    <w:p w:rsidR="005C45F9" w:rsidRDefault="005C45F9" w:rsidP="003A5640">
      <w:pPr>
        <w:rPr>
          <w:rFonts w:ascii="Arial Black" w:hAnsi="Arial Black"/>
          <w:sz w:val="24"/>
          <w:szCs w:val="24"/>
        </w:rPr>
      </w:pPr>
    </w:p>
    <w:p w:rsidR="005C45F9" w:rsidRPr="005C45F9" w:rsidRDefault="005C45F9" w:rsidP="005C45F9">
      <w:pPr>
        <w:spacing w:before="100" w:beforeAutospacing="1" w:after="100" w:afterAutospacing="1" w:line="240" w:lineRule="auto"/>
        <w:outlineLvl w:val="0"/>
        <w:rPr>
          <w:rFonts w:ascii="Arial Black" w:eastAsia="Times New Roman" w:hAnsi="Arial Black" w:cs="Times New Roman"/>
          <w:b/>
          <w:bCs/>
          <w:color w:val="000000"/>
          <w:kern w:val="36"/>
          <w:sz w:val="40"/>
          <w:szCs w:val="40"/>
        </w:rPr>
      </w:pPr>
      <w:r w:rsidRPr="005C45F9">
        <w:rPr>
          <w:rFonts w:ascii="Arial Black" w:eastAsia="Times New Roman" w:hAnsi="Arial Black" w:cs="Times New Roman"/>
          <w:b/>
          <w:bCs/>
          <w:color w:val="000000"/>
          <w:kern w:val="36"/>
          <w:sz w:val="40"/>
          <w:szCs w:val="40"/>
        </w:rPr>
        <w:t>IPv6 Addressing</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IPv6 addresses are 128-bits long and are identifiers for individual interfaces and sets of interfaces. IPv6 addresses of all types are assigned to interfaces, not nodes (hosts and routers). Because each interface belongs to a single node, any of that node's interfaces' unicast addresses can be used as an identifier for the node. A single interface can be assigned multiple IPv6 addresses of any type.</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bookmarkStart w:id="0" w:name="indexterm-1420"/>
      <w:bookmarkStart w:id="1" w:name="indexterm-1421"/>
      <w:bookmarkStart w:id="2" w:name="indexterm-1422"/>
      <w:bookmarkStart w:id="3" w:name="indexterm-1423"/>
      <w:bookmarkStart w:id="4" w:name="indexterm-1424"/>
      <w:bookmarkStart w:id="5" w:name="indexterm-1425"/>
      <w:bookmarkStart w:id="6" w:name="indexterm-1426"/>
      <w:bookmarkStart w:id="7" w:name="indexterm-1427"/>
      <w:bookmarkStart w:id="8" w:name="indexterm-1428"/>
      <w:bookmarkStart w:id="9" w:name="indexterm-1429"/>
      <w:bookmarkEnd w:id="0"/>
      <w:bookmarkEnd w:id="1"/>
      <w:bookmarkEnd w:id="2"/>
      <w:bookmarkEnd w:id="3"/>
      <w:bookmarkEnd w:id="4"/>
      <w:bookmarkEnd w:id="5"/>
      <w:bookmarkEnd w:id="6"/>
      <w:bookmarkEnd w:id="7"/>
      <w:bookmarkEnd w:id="8"/>
      <w:bookmarkEnd w:id="9"/>
      <w:r w:rsidRPr="005C45F9">
        <w:rPr>
          <w:rFonts w:ascii="Arial Black" w:eastAsia="Times New Roman" w:hAnsi="Arial Black" w:cs="Times New Roman"/>
          <w:color w:val="000000"/>
          <w:sz w:val="24"/>
          <w:szCs w:val="24"/>
        </w:rPr>
        <w:t xml:space="preserve">The three types of IPv6 addresses are: unicast, </w:t>
      </w:r>
      <w:proofErr w:type="spellStart"/>
      <w:r w:rsidRPr="005C45F9">
        <w:rPr>
          <w:rFonts w:ascii="Arial Black" w:eastAsia="Times New Roman" w:hAnsi="Arial Black" w:cs="Times New Roman"/>
          <w:color w:val="000000"/>
          <w:sz w:val="24"/>
          <w:szCs w:val="24"/>
        </w:rPr>
        <w:t>anycast</w:t>
      </w:r>
      <w:proofErr w:type="spellEnd"/>
      <w:r w:rsidRPr="005C45F9">
        <w:rPr>
          <w:rFonts w:ascii="Arial Black" w:eastAsia="Times New Roman" w:hAnsi="Arial Black" w:cs="Times New Roman"/>
          <w:color w:val="000000"/>
          <w:sz w:val="24"/>
          <w:szCs w:val="24"/>
        </w:rPr>
        <w:t>, and multicast.</w:t>
      </w:r>
    </w:p>
    <w:p w:rsidR="005C45F9" w:rsidRPr="005C45F9" w:rsidRDefault="005C45F9" w:rsidP="005C45F9">
      <w:pPr>
        <w:numPr>
          <w:ilvl w:val="0"/>
          <w:numId w:val="1"/>
        </w:numPr>
        <w:spacing w:before="100" w:beforeAutospacing="1" w:after="100" w:afterAutospacing="1" w:line="240" w:lineRule="auto"/>
        <w:rPr>
          <w:rFonts w:ascii="Arial Black" w:eastAsia="Times New Roman" w:hAnsi="Arial Black" w:cs="Times New Roman"/>
          <w:color w:val="000000"/>
          <w:sz w:val="24"/>
          <w:szCs w:val="24"/>
        </w:rPr>
      </w:pPr>
      <w:bookmarkStart w:id="10" w:name=""/>
      <w:bookmarkEnd w:id="10"/>
      <w:r w:rsidRPr="005C45F9">
        <w:rPr>
          <w:rFonts w:ascii="Arial Black" w:eastAsia="Times New Roman" w:hAnsi="Arial Black" w:cs="Times New Roman"/>
          <w:color w:val="000000"/>
          <w:sz w:val="24"/>
          <w:szCs w:val="24"/>
        </w:rPr>
        <w:t>Unicast addresses identify a single interface.</w:t>
      </w:r>
    </w:p>
    <w:p w:rsidR="005C45F9" w:rsidRPr="005C45F9" w:rsidRDefault="005C45F9" w:rsidP="005C45F9">
      <w:pPr>
        <w:numPr>
          <w:ilvl w:val="0"/>
          <w:numId w:val="1"/>
        </w:numPr>
        <w:spacing w:before="100" w:beforeAutospacing="1" w:after="100" w:afterAutospacing="1" w:line="240" w:lineRule="auto"/>
        <w:rPr>
          <w:rFonts w:ascii="Arial Black" w:eastAsia="Times New Roman" w:hAnsi="Arial Black" w:cs="Times New Roman"/>
          <w:color w:val="000000"/>
          <w:sz w:val="24"/>
          <w:szCs w:val="24"/>
        </w:rPr>
      </w:pPr>
      <w:proofErr w:type="spellStart"/>
      <w:r w:rsidRPr="005C45F9">
        <w:rPr>
          <w:rFonts w:ascii="Arial Black" w:eastAsia="Times New Roman" w:hAnsi="Arial Black" w:cs="Times New Roman"/>
          <w:color w:val="000000"/>
          <w:sz w:val="24"/>
          <w:szCs w:val="24"/>
        </w:rPr>
        <w:t>Anycast</w:t>
      </w:r>
      <w:proofErr w:type="spellEnd"/>
      <w:r w:rsidRPr="005C45F9">
        <w:rPr>
          <w:rFonts w:ascii="Arial Black" w:eastAsia="Times New Roman" w:hAnsi="Arial Black" w:cs="Times New Roman"/>
          <w:color w:val="000000"/>
          <w:sz w:val="24"/>
          <w:szCs w:val="24"/>
        </w:rPr>
        <w:t xml:space="preserve"> addresses identify a set of interfaces in such a way that a packet sent to an </w:t>
      </w:r>
      <w:proofErr w:type="spellStart"/>
      <w:r w:rsidRPr="005C45F9">
        <w:rPr>
          <w:rFonts w:ascii="Arial Black" w:eastAsia="Times New Roman" w:hAnsi="Arial Black" w:cs="Times New Roman"/>
          <w:color w:val="000000"/>
          <w:sz w:val="24"/>
          <w:szCs w:val="24"/>
        </w:rPr>
        <w:t>anycast</w:t>
      </w:r>
      <w:proofErr w:type="spellEnd"/>
      <w:r w:rsidRPr="005C45F9">
        <w:rPr>
          <w:rFonts w:ascii="Arial Black" w:eastAsia="Times New Roman" w:hAnsi="Arial Black" w:cs="Times New Roman"/>
          <w:color w:val="000000"/>
          <w:sz w:val="24"/>
          <w:szCs w:val="24"/>
        </w:rPr>
        <w:t xml:space="preserve"> address is delivered to a member of the set.</w:t>
      </w:r>
    </w:p>
    <w:p w:rsidR="005C45F9" w:rsidRPr="005C45F9" w:rsidRDefault="005C45F9" w:rsidP="005C45F9">
      <w:pPr>
        <w:numPr>
          <w:ilvl w:val="0"/>
          <w:numId w:val="1"/>
        </w:num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Multicast addresses identify a group of interfaces in such a way that a packet sent to a multicast address is delivered to all of the interfaces in the group.</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IPv6 has no broadcast addresses: multicast addresses took over.</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IPv6 supports addresses that are four times the number of bits as IPv4 addresses (128 vs. 32). This is 4 billion times 4 billion times the size of the IPv4 address space. Realistically, the assignment and routing of addresses requires the creation of hierarchies that reduce the efficiency of address space usage, thus reducing the number of available addresses. Nonetheless, IPv6 provides enough address space to last into the foreseeable future.</w:t>
      </w:r>
    </w:p>
    <w:p w:rsid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bookmarkStart w:id="11" w:name="indexterm-1430"/>
      <w:bookmarkStart w:id="12" w:name="indexterm-1431"/>
      <w:bookmarkEnd w:id="11"/>
      <w:bookmarkEnd w:id="12"/>
      <w:r w:rsidRPr="005C45F9">
        <w:rPr>
          <w:rFonts w:ascii="Arial Black" w:eastAsia="Times New Roman" w:hAnsi="Arial Black" w:cs="Times New Roman"/>
          <w:color w:val="000000"/>
          <w:sz w:val="24"/>
          <w:szCs w:val="24"/>
        </w:rPr>
        <w:t xml:space="preserve">The leading bits in the address specify the type of IPv6 address. The variable-length field containing these leading bits is called the format </w:t>
      </w:r>
      <w:r w:rsidRPr="005C45F9">
        <w:rPr>
          <w:rFonts w:ascii="Arial Black" w:eastAsia="Times New Roman" w:hAnsi="Arial Black" w:cs="Times New Roman"/>
          <w:color w:val="000000"/>
          <w:sz w:val="24"/>
          <w:szCs w:val="24"/>
        </w:rPr>
        <w:lastRenderedPageBreak/>
        <w:t>prefix (FP). The following table shows the initial allocation of these prefixes.</w:t>
      </w:r>
    </w:p>
    <w:p w:rsidR="005C45F9" w:rsidRPr="005C45F9" w:rsidRDefault="005C45F9" w:rsidP="005C45F9">
      <w:pPr>
        <w:spacing w:before="100" w:beforeAutospacing="1" w:after="100" w:afterAutospacing="1" w:line="240" w:lineRule="auto"/>
        <w:outlineLvl w:val="1"/>
        <w:rPr>
          <w:rFonts w:ascii="Arial Black" w:eastAsia="Times New Roman" w:hAnsi="Arial Black" w:cs="Times New Roman"/>
          <w:b/>
          <w:bCs/>
          <w:color w:val="000000"/>
          <w:sz w:val="36"/>
          <w:szCs w:val="36"/>
        </w:rPr>
      </w:pPr>
      <w:r w:rsidRPr="005C45F9">
        <w:rPr>
          <w:rFonts w:ascii="Arial Black" w:eastAsia="Times New Roman" w:hAnsi="Arial Black" w:cs="Times New Roman"/>
          <w:b/>
          <w:bCs/>
          <w:color w:val="000000"/>
          <w:sz w:val="36"/>
          <w:szCs w:val="36"/>
        </w:rPr>
        <w:t>Unicast Addresses</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IPv6 unicast address assignment consists of the following forms:</w:t>
      </w:r>
    </w:p>
    <w:p w:rsidR="005C45F9" w:rsidRPr="005C45F9" w:rsidRDefault="005C45F9" w:rsidP="005C45F9">
      <w:pPr>
        <w:numPr>
          <w:ilvl w:val="0"/>
          <w:numId w:val="2"/>
        </w:num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Aggregate global unicast address</w:t>
      </w:r>
    </w:p>
    <w:p w:rsidR="005C45F9" w:rsidRPr="005C45F9" w:rsidRDefault="005C45F9" w:rsidP="005C45F9">
      <w:pPr>
        <w:numPr>
          <w:ilvl w:val="0"/>
          <w:numId w:val="2"/>
        </w:num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Neutral-interconnect unicast address</w:t>
      </w:r>
    </w:p>
    <w:p w:rsidR="005C45F9" w:rsidRPr="005C45F9" w:rsidRDefault="005C45F9" w:rsidP="005C45F9">
      <w:pPr>
        <w:numPr>
          <w:ilvl w:val="0"/>
          <w:numId w:val="2"/>
        </w:num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NSAP address</w:t>
      </w:r>
    </w:p>
    <w:p w:rsidR="005C45F9" w:rsidRDefault="005C45F9" w:rsidP="005C45F9">
      <w:pPr>
        <w:numPr>
          <w:ilvl w:val="0"/>
          <w:numId w:val="2"/>
        </w:num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IPX hierarchical address</w:t>
      </w:r>
      <w:r>
        <w:rPr>
          <w:rFonts w:ascii="Arial Black" w:eastAsia="Times New Roman" w:hAnsi="Arial Black" w:cs="Times New Roman"/>
          <w:color w:val="000000"/>
          <w:sz w:val="24"/>
          <w:szCs w:val="24"/>
        </w:rPr>
        <w:t>.</w:t>
      </w:r>
    </w:p>
    <w:p w:rsidR="005C45F9" w:rsidRPr="005C45F9" w:rsidRDefault="005C45F9" w:rsidP="005C45F9">
      <w:pPr>
        <w:pStyle w:val="Heading2"/>
        <w:rPr>
          <w:rFonts w:ascii="Arial Black" w:hAnsi="Arial Black"/>
          <w:color w:val="000000"/>
          <w:sz w:val="32"/>
          <w:szCs w:val="32"/>
        </w:rPr>
      </w:pPr>
      <w:r w:rsidRPr="005C45F9">
        <w:rPr>
          <w:rFonts w:ascii="Arial Black" w:hAnsi="Arial Black"/>
          <w:color w:val="000000"/>
          <w:sz w:val="32"/>
          <w:szCs w:val="32"/>
        </w:rPr>
        <w:t>Aggregate Global Unicast Addresses</w:t>
      </w:r>
      <w:r w:rsidRPr="005C45F9">
        <w:rPr>
          <w:rFonts w:ascii="Arial Black" w:hAnsi="Arial Black"/>
          <w:color w:val="000000"/>
          <w:sz w:val="32"/>
          <w:szCs w:val="32"/>
        </w:rPr>
        <w:t>:</w:t>
      </w:r>
    </w:p>
    <w:p w:rsidR="005C45F9" w:rsidRPr="005C45F9" w:rsidRDefault="005C45F9" w:rsidP="005C45F9">
      <w:pPr>
        <w:pStyle w:val="NormalWeb"/>
        <w:rPr>
          <w:rFonts w:ascii="Arial Black" w:hAnsi="Arial Black"/>
          <w:color w:val="000000"/>
        </w:rPr>
      </w:pPr>
      <w:r w:rsidRPr="005C45F9">
        <w:rPr>
          <w:rFonts w:ascii="Arial Black" w:hAnsi="Arial Black"/>
          <w:color w:val="000000"/>
        </w:rPr>
        <w:t xml:space="preserve">Aggregate global unicast addresses are used for global communication. They are similar in function to IPv4 addresses under CIDR (classless </w:t>
      </w:r>
      <w:proofErr w:type="spellStart"/>
      <w:r w:rsidRPr="005C45F9">
        <w:rPr>
          <w:rFonts w:ascii="Arial Black" w:hAnsi="Arial Black"/>
          <w:color w:val="000000"/>
        </w:rPr>
        <w:t>interdomain</w:t>
      </w:r>
      <w:proofErr w:type="spellEnd"/>
      <w:r w:rsidRPr="005C45F9">
        <w:rPr>
          <w:rFonts w:ascii="Arial Black" w:hAnsi="Arial Black"/>
          <w:color w:val="000000"/>
        </w:rPr>
        <w:t xml:space="preserve"> routing). </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The first 48 bits represent the public topology. The next 16 bits represent the site topology.</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The first 3 bits identify the address as an aggregate global unicast address. The next field, TLA ID, is the top level in the routing hierarchy. The next 8 bits are reserved for future use. The NLA ID field is used by organizations assigned a TLA ID to create an addressing hierarchy and to identify sites.</w:t>
      </w:r>
    </w:p>
    <w:p w:rsid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The SLA ID field is used by an individual organization to create its own local addressing hierarchy and to identify subnets. This is analogous to subnets in IPv4 except that each organization has a much greater number of subnets. The 16 bit SLA ID field supports 65,535 individual subnets. The Interface ID is used to identify interfaces on a link. They are required to be unique on that link. They can also be unique over a broader scope. In many cases, an interface identifier is the same or is based on the interface's link-layer address.</w:t>
      </w:r>
    </w:p>
    <w:p w:rsid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p>
    <w:p w:rsidR="005C45F9" w:rsidRPr="005C45F9" w:rsidRDefault="005C45F9" w:rsidP="005C45F9">
      <w:pPr>
        <w:spacing w:before="100" w:beforeAutospacing="1" w:after="100" w:afterAutospacing="1" w:line="240" w:lineRule="auto"/>
        <w:outlineLvl w:val="1"/>
        <w:rPr>
          <w:rFonts w:ascii="Arial Black" w:eastAsia="Times New Roman" w:hAnsi="Arial Black" w:cs="Times New Roman"/>
          <w:b/>
          <w:bCs/>
          <w:color w:val="000000"/>
          <w:sz w:val="36"/>
          <w:szCs w:val="36"/>
        </w:rPr>
      </w:pPr>
      <w:r w:rsidRPr="005C45F9">
        <w:rPr>
          <w:rFonts w:ascii="Arial Black" w:eastAsia="Times New Roman" w:hAnsi="Arial Black" w:cs="Times New Roman"/>
          <w:b/>
          <w:bCs/>
          <w:color w:val="000000"/>
          <w:sz w:val="36"/>
          <w:szCs w:val="36"/>
        </w:rPr>
        <w:lastRenderedPageBreak/>
        <w:t>Local-Use Addresses</w:t>
      </w:r>
      <w:r w:rsidR="005D5769">
        <w:rPr>
          <w:rFonts w:ascii="Arial Black" w:eastAsia="Times New Roman" w:hAnsi="Arial Black" w:cs="Times New Roman"/>
          <w:b/>
          <w:bCs/>
          <w:color w:val="000000"/>
          <w:sz w:val="36"/>
          <w:szCs w:val="36"/>
        </w:rPr>
        <w:t>:</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r w:rsidRPr="005C45F9">
        <w:rPr>
          <w:rFonts w:ascii="Arial Black" w:eastAsia="Times New Roman" w:hAnsi="Arial Black" w:cs="Times New Roman"/>
          <w:color w:val="000000"/>
          <w:sz w:val="24"/>
          <w:szCs w:val="24"/>
        </w:rPr>
        <w:t xml:space="preserve">A local-use address is a unicast address that has only local </w:t>
      </w:r>
      <w:proofErr w:type="spellStart"/>
      <w:r w:rsidRPr="005C45F9">
        <w:rPr>
          <w:rFonts w:ascii="Arial Black" w:eastAsia="Times New Roman" w:hAnsi="Arial Black" w:cs="Times New Roman"/>
          <w:color w:val="000000"/>
          <w:sz w:val="24"/>
          <w:szCs w:val="24"/>
        </w:rPr>
        <w:t>routability</w:t>
      </w:r>
      <w:proofErr w:type="spellEnd"/>
      <w:r w:rsidRPr="005C45F9">
        <w:rPr>
          <w:rFonts w:ascii="Arial Black" w:eastAsia="Times New Roman" w:hAnsi="Arial Black" w:cs="Times New Roman"/>
          <w:color w:val="000000"/>
          <w:sz w:val="24"/>
          <w:szCs w:val="24"/>
        </w:rPr>
        <w:t xml:space="preserve"> scope (within the subnet or within a subscriber network), and can have a local or global uniqueness scope. These addresses are intended for use inside of a site for </w:t>
      </w:r>
      <w:r w:rsidRPr="005C45F9">
        <w:rPr>
          <w:rFonts w:ascii="Arial Black" w:eastAsia="Times New Roman" w:hAnsi="Arial Black" w:cs="Times New Roman"/>
          <w:b/>
          <w:bCs/>
          <w:color w:val="000000"/>
          <w:sz w:val="24"/>
          <w:szCs w:val="24"/>
        </w:rPr>
        <w:t>plug and play</w:t>
      </w:r>
      <w:r w:rsidRPr="005C45F9">
        <w:rPr>
          <w:rFonts w:ascii="Arial Black" w:eastAsia="Times New Roman" w:hAnsi="Arial Black" w:cs="Times New Roman"/>
          <w:color w:val="000000"/>
          <w:sz w:val="24"/>
          <w:szCs w:val="24"/>
        </w:rPr>
        <w:t> local communication and for bootstrapping up to the use of global addresses.</w:t>
      </w: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bookmarkStart w:id="13" w:name="indexterm-1465"/>
      <w:bookmarkStart w:id="14" w:name="indexterm-1466"/>
      <w:bookmarkStart w:id="15" w:name="indexterm-1467"/>
      <w:bookmarkEnd w:id="13"/>
      <w:bookmarkEnd w:id="14"/>
      <w:bookmarkEnd w:id="15"/>
      <w:r w:rsidRPr="005C45F9">
        <w:rPr>
          <w:rFonts w:ascii="Arial Black" w:eastAsia="Times New Roman" w:hAnsi="Arial Black" w:cs="Times New Roman"/>
          <w:color w:val="000000"/>
          <w:sz w:val="24"/>
          <w:szCs w:val="24"/>
        </w:rPr>
        <w:t>Two types of local-use unicast addresses are defined. These are link-local and site-local. The Link-Local-Use is for use on a single link and the Site-Local-Use is for use on a single site. </w:t>
      </w:r>
    </w:p>
    <w:p w:rsidR="005C45F9" w:rsidRPr="005D5769" w:rsidRDefault="005C45F9" w:rsidP="005C45F9">
      <w:pPr>
        <w:spacing w:before="100" w:beforeAutospacing="1" w:after="100" w:afterAutospacing="1" w:line="240" w:lineRule="auto"/>
        <w:rPr>
          <w:rFonts w:ascii="Arial Black" w:hAnsi="Arial Black"/>
          <w:color w:val="000000"/>
          <w:sz w:val="24"/>
          <w:szCs w:val="24"/>
        </w:rPr>
      </w:pPr>
      <w:r w:rsidRPr="005D5769">
        <w:rPr>
          <w:rFonts w:ascii="Arial Black" w:hAnsi="Arial Black"/>
          <w:color w:val="000000"/>
          <w:sz w:val="24"/>
          <w:szCs w:val="24"/>
        </w:rPr>
        <w:t>Link-Local-Use addresses are used for addressing on a single link for purposes such as auto-address configuration.</w:t>
      </w:r>
    </w:p>
    <w:p w:rsidR="005C45F9" w:rsidRPr="005D5769" w:rsidRDefault="005C45F9" w:rsidP="005C45F9">
      <w:pPr>
        <w:pStyle w:val="NormalWeb"/>
        <w:rPr>
          <w:rFonts w:ascii="Arial Black" w:hAnsi="Arial Black"/>
          <w:color w:val="000000"/>
        </w:rPr>
      </w:pPr>
      <w:r w:rsidRPr="005D5769">
        <w:rPr>
          <w:rFonts w:ascii="Arial Black" w:hAnsi="Arial Black"/>
          <w:color w:val="000000"/>
        </w:rPr>
        <w:t xml:space="preserve">For both types of local-use addresses, the interface ID is an identifier that must be unique in the domain in which it is being used. In most cases these will use a node's IEEE-802 </w:t>
      </w:r>
      <w:proofErr w:type="gramStart"/>
      <w:r w:rsidRPr="005D5769">
        <w:rPr>
          <w:rFonts w:ascii="Arial Black" w:hAnsi="Arial Black"/>
          <w:color w:val="000000"/>
        </w:rPr>
        <w:t>48 bit</w:t>
      </w:r>
      <w:proofErr w:type="gramEnd"/>
      <w:r w:rsidRPr="005D5769">
        <w:rPr>
          <w:rFonts w:ascii="Arial Black" w:hAnsi="Arial Black"/>
          <w:color w:val="000000"/>
        </w:rPr>
        <w:t xml:space="preserve"> address. The Subnet ID identifies a specific subnet in a site. The combination of the Subnet ID and the interface ID to form a local-use address allows a large private internet to be constructed without any other address allocation.</w:t>
      </w:r>
    </w:p>
    <w:p w:rsidR="005C45F9" w:rsidRDefault="005C45F9" w:rsidP="005C45F9">
      <w:pPr>
        <w:pStyle w:val="NormalWeb"/>
        <w:rPr>
          <w:rFonts w:ascii="Arial Black" w:hAnsi="Arial Black"/>
          <w:color w:val="000000"/>
        </w:rPr>
      </w:pPr>
      <w:r w:rsidRPr="005D5769">
        <w:rPr>
          <w:rFonts w:ascii="Arial Black" w:hAnsi="Arial Black"/>
          <w:color w:val="000000"/>
        </w:rPr>
        <w:t>Local-use addresses allow organizations that are not yet connected to the global Internet to operate without the need to request an address prefix from the global Internet address space. If the organization later connects to the global Internet, it can use its Subnet ID and Interface ID in combination with a global prefix (for example, Registry ID + Provider ID + Subscriber ID) to create a global address. This is a significant improvement over IPv4, which requires sites that use private (non-global) IPv4 addresses to manually renumber when they connect to the Internet. IPv6 automatically does the renumbering.</w:t>
      </w:r>
    </w:p>
    <w:p w:rsidR="005D5769" w:rsidRDefault="005D5769" w:rsidP="005C45F9">
      <w:pPr>
        <w:pStyle w:val="NormalWeb"/>
        <w:rPr>
          <w:rFonts w:ascii="Arial Black" w:hAnsi="Arial Black"/>
          <w:color w:val="000000"/>
        </w:rPr>
      </w:pPr>
    </w:p>
    <w:p w:rsidR="005D5769" w:rsidRPr="005D5769" w:rsidRDefault="005D5769" w:rsidP="005D5769">
      <w:pPr>
        <w:pStyle w:val="Heading2"/>
        <w:rPr>
          <w:rFonts w:ascii="Arial Black" w:hAnsi="Arial Black"/>
          <w:color w:val="000000"/>
          <w:sz w:val="32"/>
          <w:szCs w:val="32"/>
        </w:rPr>
      </w:pPr>
      <w:r w:rsidRPr="005D5769">
        <w:rPr>
          <w:rFonts w:ascii="Arial Black" w:hAnsi="Arial Black"/>
          <w:color w:val="000000"/>
          <w:sz w:val="32"/>
          <w:szCs w:val="32"/>
        </w:rPr>
        <w:t xml:space="preserve">IPv6 Addresses </w:t>
      </w:r>
      <w:proofErr w:type="gramStart"/>
      <w:r w:rsidRPr="005D5769">
        <w:rPr>
          <w:rFonts w:ascii="Arial Black" w:hAnsi="Arial Black"/>
          <w:color w:val="000000"/>
          <w:sz w:val="32"/>
          <w:szCs w:val="32"/>
        </w:rPr>
        <w:t>With</w:t>
      </w:r>
      <w:proofErr w:type="gramEnd"/>
      <w:r w:rsidRPr="005D5769">
        <w:rPr>
          <w:rFonts w:ascii="Arial Black" w:hAnsi="Arial Black"/>
          <w:color w:val="000000"/>
          <w:sz w:val="32"/>
          <w:szCs w:val="32"/>
        </w:rPr>
        <w:t xml:space="preserve"> Embedded IPv4 Addresses</w:t>
      </w:r>
      <w:r w:rsidRPr="005D5769">
        <w:rPr>
          <w:rFonts w:ascii="Arial Black" w:hAnsi="Arial Black"/>
          <w:color w:val="000000"/>
          <w:sz w:val="32"/>
          <w:szCs w:val="32"/>
        </w:rPr>
        <w:t>:</w:t>
      </w:r>
    </w:p>
    <w:p w:rsidR="005D5769" w:rsidRPr="005D5769" w:rsidRDefault="005D5769" w:rsidP="005D5769">
      <w:pPr>
        <w:pStyle w:val="NormalWeb"/>
        <w:rPr>
          <w:rFonts w:ascii="Arial Black" w:hAnsi="Arial Black"/>
          <w:b/>
          <w:bCs/>
          <w:color w:val="000000"/>
        </w:rPr>
      </w:pPr>
      <w:bookmarkStart w:id="16" w:name="indexterm-1480"/>
      <w:bookmarkEnd w:id="16"/>
      <w:r w:rsidRPr="005D5769">
        <w:rPr>
          <w:rFonts w:ascii="Arial Black" w:hAnsi="Arial Black"/>
          <w:color w:val="000000"/>
        </w:rPr>
        <w:t xml:space="preserve">The IPv6 transition mechanisms include a technique for hosts and routers to tunnel IPv6 packets dynamically under IPv4 routing </w:t>
      </w:r>
      <w:r w:rsidRPr="005D5769">
        <w:rPr>
          <w:rFonts w:ascii="Arial Black" w:hAnsi="Arial Black"/>
          <w:color w:val="000000"/>
        </w:rPr>
        <w:lastRenderedPageBreak/>
        <w:t>infrastructure. IPv6 nodes that utilize this technique are assigned special IPv6 unicast addresses that carry an IPv4 address in the low-order 32-bits. This type of address is called an </w:t>
      </w:r>
      <w:r w:rsidRPr="005D5769">
        <w:rPr>
          <w:rFonts w:ascii="Arial Black" w:hAnsi="Arial Black"/>
          <w:b/>
          <w:bCs/>
          <w:color w:val="000000"/>
        </w:rPr>
        <w:t>IPv4-compatible IPv6 address</w:t>
      </w:r>
      <w:r w:rsidRPr="005D5769">
        <w:rPr>
          <w:rFonts w:ascii="Arial Black" w:hAnsi="Arial Black"/>
          <w:b/>
          <w:bCs/>
          <w:color w:val="000000"/>
        </w:rPr>
        <w:t>.</w:t>
      </w:r>
    </w:p>
    <w:p w:rsidR="005D5769" w:rsidRDefault="005D5769" w:rsidP="005D5769">
      <w:pPr>
        <w:pStyle w:val="NormalWeb"/>
        <w:rPr>
          <w:rFonts w:ascii="Arial Black" w:hAnsi="Arial Black"/>
          <w:color w:val="000000"/>
        </w:rPr>
      </w:pPr>
      <w:r w:rsidRPr="005D5769">
        <w:rPr>
          <w:rFonts w:ascii="Arial Black" w:hAnsi="Arial Black"/>
          <w:color w:val="000000"/>
        </w:rPr>
        <w:t>A second type of IPv6 address that holds an embedded IPv4 address is also defined. This address is used to represent an IPv4 address within the IPv6 address space. It is mainly used internally within the implementation of applications, APIs, and the operating system. This type of address is called an </w:t>
      </w:r>
      <w:r w:rsidRPr="005D5769">
        <w:rPr>
          <w:rFonts w:ascii="Arial Black" w:hAnsi="Arial Black"/>
          <w:b/>
          <w:bCs/>
          <w:color w:val="000000"/>
        </w:rPr>
        <w:t>IPv4-mapped IPv6 address</w:t>
      </w:r>
      <w:r w:rsidRPr="005D5769">
        <w:rPr>
          <w:rFonts w:ascii="Arial Black" w:hAnsi="Arial Black"/>
          <w:color w:val="000000"/>
        </w:rPr>
        <w:t>.</w:t>
      </w:r>
    </w:p>
    <w:p w:rsidR="005D5769" w:rsidRDefault="005D5769" w:rsidP="005D5769">
      <w:pPr>
        <w:pStyle w:val="NormalWeb"/>
        <w:rPr>
          <w:rFonts w:ascii="Arial Black" w:hAnsi="Arial Black"/>
          <w:color w:val="000000"/>
        </w:rPr>
      </w:pPr>
    </w:p>
    <w:p w:rsidR="005D5769" w:rsidRPr="00FA4172" w:rsidRDefault="005D5769" w:rsidP="005D5769">
      <w:pPr>
        <w:spacing w:before="100" w:beforeAutospacing="1" w:after="100" w:afterAutospacing="1" w:line="240" w:lineRule="auto"/>
        <w:outlineLvl w:val="1"/>
        <w:rPr>
          <w:rFonts w:ascii="Arial Black" w:eastAsia="Times New Roman" w:hAnsi="Arial Black" w:cs="Times New Roman"/>
          <w:b/>
          <w:bCs/>
          <w:color w:val="000000"/>
          <w:sz w:val="32"/>
          <w:szCs w:val="32"/>
        </w:rPr>
      </w:pPr>
      <w:proofErr w:type="spellStart"/>
      <w:r w:rsidRPr="00FA4172">
        <w:rPr>
          <w:rFonts w:ascii="Arial Black" w:eastAsia="Times New Roman" w:hAnsi="Arial Black" w:cs="Times New Roman"/>
          <w:b/>
          <w:bCs/>
          <w:color w:val="000000"/>
          <w:sz w:val="32"/>
          <w:szCs w:val="32"/>
        </w:rPr>
        <w:t>Anycast</w:t>
      </w:r>
      <w:proofErr w:type="spellEnd"/>
      <w:r w:rsidRPr="00FA4172">
        <w:rPr>
          <w:rFonts w:ascii="Arial Black" w:eastAsia="Times New Roman" w:hAnsi="Arial Black" w:cs="Times New Roman"/>
          <w:b/>
          <w:bCs/>
          <w:color w:val="000000"/>
          <w:sz w:val="32"/>
          <w:szCs w:val="32"/>
        </w:rPr>
        <w:t xml:space="preserve"> Addresses:</w:t>
      </w:r>
    </w:p>
    <w:p w:rsidR="005D5769" w:rsidRPr="005D5769" w:rsidRDefault="005D5769" w:rsidP="005D5769">
      <w:pPr>
        <w:spacing w:before="100" w:beforeAutospacing="1" w:after="100" w:afterAutospacing="1" w:line="240" w:lineRule="auto"/>
        <w:outlineLvl w:val="1"/>
        <w:rPr>
          <w:rFonts w:ascii="Arial Black" w:eastAsia="Times New Roman" w:hAnsi="Arial Black" w:cs="Times New Roman"/>
          <w:b/>
          <w:bCs/>
          <w:color w:val="000000"/>
          <w:sz w:val="24"/>
          <w:szCs w:val="24"/>
        </w:rPr>
      </w:pPr>
      <w:r w:rsidRPr="005D5769">
        <w:rPr>
          <w:rFonts w:ascii="Arial Black" w:eastAsia="Times New Roman" w:hAnsi="Arial Black" w:cs="Times New Roman"/>
          <w:color w:val="000000"/>
          <w:sz w:val="24"/>
          <w:szCs w:val="24"/>
        </w:rPr>
        <w:t xml:space="preserve">An IPv6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 is an address that is assigned to more than one interface (typically belonging to different nodes), where a packet sent to an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 is routed to the </w:t>
      </w:r>
      <w:r w:rsidRPr="005D5769">
        <w:rPr>
          <w:rFonts w:ascii="Arial Black" w:eastAsia="Times New Roman" w:hAnsi="Arial Black" w:cs="Times New Roman"/>
          <w:b/>
          <w:bCs/>
          <w:color w:val="000000"/>
          <w:sz w:val="24"/>
          <w:szCs w:val="24"/>
        </w:rPr>
        <w:t>nearest</w:t>
      </w:r>
      <w:r w:rsidRPr="005D5769">
        <w:rPr>
          <w:rFonts w:ascii="Arial Black" w:eastAsia="Times New Roman" w:hAnsi="Arial Black" w:cs="Times New Roman"/>
          <w:color w:val="000000"/>
          <w:sz w:val="24"/>
          <w:szCs w:val="24"/>
        </w:rPr>
        <w:t> interface having that address, according to the routing protocol's measure of distance.</w:t>
      </w:r>
    </w:p>
    <w:p w:rsidR="005D5769" w:rsidRPr="005D5769" w:rsidRDefault="005D5769" w:rsidP="005D5769">
      <w:pPr>
        <w:spacing w:before="100" w:beforeAutospacing="1" w:after="100" w:afterAutospacing="1" w:line="240" w:lineRule="auto"/>
        <w:rPr>
          <w:rFonts w:ascii="Arial Black" w:eastAsia="Times New Roman" w:hAnsi="Arial Black" w:cs="Times New Roman"/>
          <w:color w:val="000000"/>
          <w:sz w:val="24"/>
          <w:szCs w:val="24"/>
        </w:rPr>
      </w:pPr>
      <w:bookmarkStart w:id="17" w:name="indexterm-1483"/>
      <w:bookmarkStart w:id="18" w:name="indexterm-1484"/>
      <w:bookmarkEnd w:id="17"/>
      <w:bookmarkEnd w:id="18"/>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addresses, when used as part of a route sequence, permit a node to select which of several Internet service providers it wants to carry its traffic. This capability is sometimes called </w:t>
      </w:r>
      <w:r w:rsidRPr="005D5769">
        <w:rPr>
          <w:rFonts w:ascii="Arial Black" w:eastAsia="Times New Roman" w:hAnsi="Arial Black" w:cs="Times New Roman"/>
          <w:b/>
          <w:bCs/>
          <w:color w:val="000000"/>
          <w:sz w:val="24"/>
          <w:szCs w:val="24"/>
        </w:rPr>
        <w:t>source selected policies</w:t>
      </w:r>
      <w:r w:rsidRPr="005D5769">
        <w:rPr>
          <w:rFonts w:ascii="Arial Black" w:eastAsia="Times New Roman" w:hAnsi="Arial Black" w:cs="Times New Roman"/>
          <w:color w:val="000000"/>
          <w:sz w:val="24"/>
          <w:szCs w:val="24"/>
        </w:rPr>
        <w:t xml:space="preserve">. You implement this by configuring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addresses to identify the set of routers belonging to Internet service providers (for example, one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 per Internet service provider). You can use these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addresses as intermediate addresses in an IPv6 routing header, to cause a packet to be delivered by a particular provider or sequence of providers. You can also use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addresses to identify the set of routers attached to a particular subnet or the set of routers providing entry into a particular routing domain.</w:t>
      </w:r>
    </w:p>
    <w:p w:rsidR="005D5769" w:rsidRDefault="005D5769" w:rsidP="005D5769">
      <w:pPr>
        <w:spacing w:before="100" w:beforeAutospacing="1" w:after="100" w:afterAutospacing="1" w:line="240" w:lineRule="auto"/>
        <w:rPr>
          <w:rFonts w:ascii="Arial Black" w:eastAsia="Times New Roman" w:hAnsi="Arial Black" w:cs="Times New Roman"/>
          <w:color w:val="000000"/>
          <w:sz w:val="24"/>
          <w:szCs w:val="24"/>
        </w:rPr>
      </w:pPr>
      <w:r w:rsidRPr="005D5769">
        <w:rPr>
          <w:rFonts w:ascii="Arial Black" w:eastAsia="Times New Roman" w:hAnsi="Arial Black" w:cs="Times New Roman"/>
          <w:color w:val="000000"/>
          <w:sz w:val="24"/>
          <w:szCs w:val="24"/>
        </w:rPr>
        <w:t xml:space="preserve">You can locate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addresses from the unicast address space by using any of the defined unicast address formats. Thus,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addresses are syntactically indistinguishable from unicast addresses. When you assign a unicast address to more than one interface, that is, turning it into an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 you must explicitly configure the </w:t>
      </w:r>
      <w:r w:rsidRPr="005D5769">
        <w:rPr>
          <w:rFonts w:ascii="Arial Black" w:eastAsia="Times New Roman" w:hAnsi="Arial Black" w:cs="Times New Roman"/>
          <w:color w:val="000000"/>
          <w:sz w:val="24"/>
          <w:szCs w:val="24"/>
        </w:rPr>
        <w:lastRenderedPageBreak/>
        <w:t xml:space="preserve">nodes to which the address is assigned in order to know that it is an </w:t>
      </w:r>
      <w:proofErr w:type="spellStart"/>
      <w:r w:rsidRPr="005D5769">
        <w:rPr>
          <w:rFonts w:ascii="Arial Black" w:eastAsia="Times New Roman" w:hAnsi="Arial Black" w:cs="Times New Roman"/>
          <w:color w:val="000000"/>
          <w:sz w:val="24"/>
          <w:szCs w:val="24"/>
        </w:rPr>
        <w:t>anycast</w:t>
      </w:r>
      <w:proofErr w:type="spellEnd"/>
      <w:r w:rsidRPr="005D5769">
        <w:rPr>
          <w:rFonts w:ascii="Arial Black" w:eastAsia="Times New Roman" w:hAnsi="Arial Black" w:cs="Times New Roman"/>
          <w:color w:val="000000"/>
          <w:sz w:val="24"/>
          <w:szCs w:val="24"/>
        </w:rPr>
        <w:t xml:space="preserve"> address.</w:t>
      </w:r>
    </w:p>
    <w:p w:rsidR="00FA4172" w:rsidRDefault="00FA4172" w:rsidP="005D5769">
      <w:pPr>
        <w:spacing w:before="100" w:beforeAutospacing="1" w:after="100" w:afterAutospacing="1" w:line="240" w:lineRule="auto"/>
        <w:rPr>
          <w:rFonts w:ascii="Arial Black" w:eastAsia="Times New Roman" w:hAnsi="Arial Black" w:cs="Times New Roman"/>
          <w:color w:val="000000"/>
          <w:sz w:val="24"/>
          <w:szCs w:val="24"/>
        </w:rPr>
      </w:pPr>
    </w:p>
    <w:p w:rsidR="00FA4172" w:rsidRPr="00FA4172" w:rsidRDefault="00FA4172" w:rsidP="00FA4172">
      <w:pPr>
        <w:pStyle w:val="Heading2"/>
        <w:rPr>
          <w:rFonts w:ascii="Arial Black" w:hAnsi="Arial Black"/>
          <w:color w:val="000000"/>
          <w:sz w:val="32"/>
          <w:szCs w:val="32"/>
        </w:rPr>
      </w:pPr>
      <w:r w:rsidRPr="00FA4172">
        <w:rPr>
          <w:rFonts w:ascii="Arial Black" w:hAnsi="Arial Black"/>
          <w:color w:val="000000"/>
          <w:sz w:val="32"/>
          <w:szCs w:val="32"/>
        </w:rPr>
        <w:t>Multicast Addresses</w:t>
      </w:r>
      <w:r>
        <w:rPr>
          <w:rFonts w:ascii="Arial Black" w:hAnsi="Arial Black"/>
          <w:color w:val="000000"/>
          <w:sz w:val="32"/>
          <w:szCs w:val="32"/>
        </w:rPr>
        <w:t>:</w:t>
      </w:r>
      <w:bookmarkStart w:id="19" w:name="_GoBack"/>
      <w:bookmarkEnd w:id="19"/>
    </w:p>
    <w:p w:rsidR="00FA4172" w:rsidRPr="00FA4172" w:rsidRDefault="00FA4172" w:rsidP="00FA4172">
      <w:pPr>
        <w:pStyle w:val="NormalWeb"/>
        <w:rPr>
          <w:rFonts w:ascii="Arial Black" w:hAnsi="Arial Black"/>
          <w:color w:val="000000"/>
        </w:rPr>
      </w:pPr>
      <w:r w:rsidRPr="00FA4172">
        <w:rPr>
          <w:rFonts w:ascii="Arial Black" w:hAnsi="Arial Black"/>
          <w:color w:val="000000"/>
        </w:rPr>
        <w:t>An IPv6 multicast address is an identifier for a group of interfaces. An interface can belong to any number of multicast groups. The following table shows the multicast address format.</w:t>
      </w:r>
    </w:p>
    <w:p w:rsidR="00FA4172" w:rsidRPr="00FA4172" w:rsidRDefault="00FA4172" w:rsidP="00FA4172">
      <w:pPr>
        <w:pStyle w:val="NormalWeb"/>
        <w:rPr>
          <w:rFonts w:ascii="Arial Black" w:hAnsi="Arial Black"/>
          <w:color w:val="000000"/>
        </w:rPr>
      </w:pPr>
      <w:r w:rsidRPr="00FA4172">
        <w:rPr>
          <w:rFonts w:ascii="Arial Black" w:hAnsi="Arial Black"/>
          <w:color w:val="000000"/>
        </w:rPr>
        <w:t>11111111 at the start of the address identifies the address as a multicast address. FLGS is a set of 4 flags: 0,0,</w:t>
      </w:r>
      <w:proofErr w:type="gramStart"/>
      <w:r w:rsidRPr="00FA4172">
        <w:rPr>
          <w:rFonts w:ascii="Arial Black" w:hAnsi="Arial Black"/>
          <w:color w:val="000000"/>
        </w:rPr>
        <w:t>0,T.</w:t>
      </w:r>
      <w:proofErr w:type="gramEnd"/>
    </w:p>
    <w:p w:rsidR="00FA4172" w:rsidRPr="00FA4172" w:rsidRDefault="00FA4172" w:rsidP="00FA4172">
      <w:pPr>
        <w:pStyle w:val="NormalWeb"/>
        <w:rPr>
          <w:rFonts w:ascii="Arial Black" w:hAnsi="Arial Black"/>
          <w:color w:val="000000"/>
        </w:rPr>
      </w:pPr>
      <w:r w:rsidRPr="00FA4172">
        <w:rPr>
          <w:rFonts w:ascii="Arial Black" w:hAnsi="Arial Black"/>
          <w:color w:val="000000"/>
        </w:rPr>
        <w:t>The high-order 3 flags are reserved and must be initialized to 0.</w:t>
      </w:r>
    </w:p>
    <w:p w:rsidR="00FA4172" w:rsidRPr="00FA4172" w:rsidRDefault="00FA4172" w:rsidP="00FA4172">
      <w:pPr>
        <w:pStyle w:val="NormalWeb"/>
        <w:numPr>
          <w:ilvl w:val="0"/>
          <w:numId w:val="3"/>
        </w:numPr>
        <w:rPr>
          <w:rFonts w:ascii="Arial Black" w:hAnsi="Arial Black"/>
          <w:color w:val="000000"/>
        </w:rPr>
      </w:pPr>
      <w:r w:rsidRPr="00FA4172">
        <w:rPr>
          <w:rStyle w:val="Strong"/>
          <w:rFonts w:ascii="Arial Black" w:eastAsiaTheme="majorEastAsia" w:hAnsi="Arial Black"/>
          <w:color w:val="000000"/>
        </w:rPr>
        <w:t>T=0</w:t>
      </w:r>
      <w:r w:rsidRPr="00FA4172">
        <w:rPr>
          <w:rFonts w:ascii="Arial Black" w:hAnsi="Arial Black"/>
          <w:color w:val="000000"/>
        </w:rPr>
        <w:t> - Indicates a permanently assigned (</w:t>
      </w:r>
      <w:r w:rsidRPr="00FA4172">
        <w:rPr>
          <w:rFonts w:ascii="Arial Black" w:hAnsi="Arial Black"/>
          <w:b/>
          <w:bCs/>
          <w:color w:val="000000"/>
        </w:rPr>
        <w:t>well-known</w:t>
      </w:r>
      <w:r w:rsidRPr="00FA4172">
        <w:rPr>
          <w:rFonts w:ascii="Arial Black" w:hAnsi="Arial Black"/>
          <w:color w:val="000000"/>
        </w:rPr>
        <w:t>) multicast address, assigned by the global Internet numbering authority.</w:t>
      </w:r>
    </w:p>
    <w:p w:rsidR="00FA4172" w:rsidRPr="00FA4172" w:rsidRDefault="00FA4172" w:rsidP="00FA4172">
      <w:pPr>
        <w:pStyle w:val="NormalWeb"/>
        <w:numPr>
          <w:ilvl w:val="0"/>
          <w:numId w:val="3"/>
        </w:numPr>
        <w:rPr>
          <w:rFonts w:ascii="Arial Black" w:hAnsi="Arial Black"/>
          <w:color w:val="000000"/>
        </w:rPr>
      </w:pPr>
      <w:r w:rsidRPr="00FA4172">
        <w:rPr>
          <w:rStyle w:val="Strong"/>
          <w:rFonts w:ascii="Arial Black" w:eastAsiaTheme="majorEastAsia" w:hAnsi="Arial Black"/>
          <w:color w:val="000000"/>
        </w:rPr>
        <w:t>T=1</w:t>
      </w:r>
      <w:r w:rsidRPr="00FA4172">
        <w:rPr>
          <w:rFonts w:ascii="Arial Black" w:hAnsi="Arial Black"/>
          <w:color w:val="000000"/>
        </w:rPr>
        <w:t> - Indicates a non-permanently assigned (</w:t>
      </w:r>
      <w:r w:rsidRPr="00FA4172">
        <w:rPr>
          <w:rFonts w:ascii="Arial Black" w:hAnsi="Arial Black"/>
          <w:b/>
          <w:bCs/>
          <w:color w:val="000000"/>
        </w:rPr>
        <w:t>transient</w:t>
      </w:r>
      <w:r w:rsidRPr="00FA4172">
        <w:rPr>
          <w:rFonts w:ascii="Arial Black" w:hAnsi="Arial Black"/>
          <w:color w:val="000000"/>
        </w:rPr>
        <w:t>) multicast address.</w:t>
      </w:r>
    </w:p>
    <w:p w:rsidR="00FA4172" w:rsidRPr="00FA4172" w:rsidRDefault="00FA4172" w:rsidP="00FA4172">
      <w:pPr>
        <w:pStyle w:val="NormalWeb"/>
        <w:rPr>
          <w:rFonts w:ascii="Arial Black" w:hAnsi="Arial Black"/>
          <w:color w:val="000000"/>
        </w:rPr>
      </w:pPr>
      <w:r w:rsidRPr="00FA4172">
        <w:rPr>
          <w:rFonts w:ascii="Arial Black" w:hAnsi="Arial Black"/>
          <w:color w:val="000000"/>
        </w:rPr>
        <w:t>SCOP is a 4-bit multicast scope value used to limit the scope of the multicast group. The following table shows the SCOP values.</w:t>
      </w:r>
    </w:p>
    <w:p w:rsidR="00FA4172" w:rsidRPr="005D5769" w:rsidRDefault="00FA4172" w:rsidP="005D5769">
      <w:pPr>
        <w:spacing w:before="100" w:beforeAutospacing="1" w:after="100" w:afterAutospacing="1" w:line="240" w:lineRule="auto"/>
        <w:rPr>
          <w:rFonts w:ascii="Arial Black" w:eastAsia="Times New Roman" w:hAnsi="Arial Black" w:cs="Times New Roman"/>
          <w:color w:val="000000"/>
          <w:sz w:val="24"/>
          <w:szCs w:val="24"/>
        </w:rPr>
      </w:pPr>
    </w:p>
    <w:p w:rsidR="005D5769" w:rsidRPr="005D5769" w:rsidRDefault="005D5769" w:rsidP="005D5769">
      <w:pPr>
        <w:pStyle w:val="NormalWeb"/>
        <w:rPr>
          <w:rFonts w:ascii="Arial Black" w:hAnsi="Arial Black"/>
          <w:color w:val="000000"/>
        </w:rPr>
      </w:pPr>
    </w:p>
    <w:p w:rsidR="005D5769" w:rsidRPr="005D5769" w:rsidRDefault="005D5769" w:rsidP="005C45F9">
      <w:pPr>
        <w:pStyle w:val="NormalWeb"/>
        <w:rPr>
          <w:rFonts w:ascii="Arial Black" w:hAnsi="Arial Black"/>
          <w:color w:val="000000"/>
        </w:rPr>
      </w:pPr>
    </w:p>
    <w:p w:rsidR="005C45F9" w:rsidRPr="005C45F9" w:rsidRDefault="005C45F9" w:rsidP="005C45F9">
      <w:pPr>
        <w:spacing w:before="100" w:beforeAutospacing="1" w:after="100" w:afterAutospacing="1" w:line="240" w:lineRule="auto"/>
        <w:rPr>
          <w:rFonts w:ascii="Arial Black" w:eastAsia="Times New Roman" w:hAnsi="Arial Black" w:cs="Times New Roman"/>
          <w:color w:val="000000"/>
          <w:sz w:val="24"/>
          <w:szCs w:val="24"/>
        </w:rPr>
      </w:pPr>
    </w:p>
    <w:p w:rsidR="005C45F9" w:rsidRPr="005D5769" w:rsidRDefault="005C45F9" w:rsidP="005C45F9">
      <w:pPr>
        <w:pStyle w:val="NormalWeb"/>
        <w:rPr>
          <w:rFonts w:ascii="Arial Black" w:hAnsi="Arial Black"/>
          <w:color w:val="000000"/>
        </w:rPr>
      </w:pPr>
    </w:p>
    <w:p w:rsidR="005C45F9" w:rsidRPr="005D5769" w:rsidRDefault="005C45F9" w:rsidP="003A5640">
      <w:pPr>
        <w:rPr>
          <w:rFonts w:ascii="Arial Black" w:hAnsi="Arial Black"/>
          <w:sz w:val="24"/>
          <w:szCs w:val="24"/>
        </w:rPr>
      </w:pPr>
    </w:p>
    <w:p w:rsidR="005C45F9" w:rsidRPr="005D5769" w:rsidRDefault="005C45F9" w:rsidP="003A5640">
      <w:pPr>
        <w:rPr>
          <w:rFonts w:ascii="Arial Black" w:hAnsi="Arial Black"/>
          <w:sz w:val="24"/>
          <w:szCs w:val="24"/>
        </w:rPr>
      </w:pPr>
    </w:p>
    <w:sectPr w:rsidR="005C45F9" w:rsidRPr="005D5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0FD9"/>
    <w:multiLevelType w:val="multilevel"/>
    <w:tmpl w:val="3A3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77814"/>
    <w:multiLevelType w:val="multilevel"/>
    <w:tmpl w:val="EB5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27C35"/>
    <w:multiLevelType w:val="multilevel"/>
    <w:tmpl w:val="A71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40"/>
    <w:rsid w:val="003A5640"/>
    <w:rsid w:val="004D12A2"/>
    <w:rsid w:val="005C45F9"/>
    <w:rsid w:val="005D5769"/>
    <w:rsid w:val="00FA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DB5F"/>
  <w15:chartTrackingRefBased/>
  <w15:docId w15:val="{9FABE204-205F-4D3D-8ED3-818173D4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45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4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F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4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45F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4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94803">
      <w:bodyDiv w:val="1"/>
      <w:marLeft w:val="0"/>
      <w:marRight w:val="0"/>
      <w:marTop w:val="0"/>
      <w:marBottom w:val="0"/>
      <w:divBdr>
        <w:top w:val="none" w:sz="0" w:space="0" w:color="auto"/>
        <w:left w:val="none" w:sz="0" w:space="0" w:color="auto"/>
        <w:bottom w:val="none" w:sz="0" w:space="0" w:color="auto"/>
        <w:right w:val="none" w:sz="0" w:space="0" w:color="auto"/>
      </w:divBdr>
    </w:div>
    <w:div w:id="367753873">
      <w:bodyDiv w:val="1"/>
      <w:marLeft w:val="0"/>
      <w:marRight w:val="0"/>
      <w:marTop w:val="0"/>
      <w:marBottom w:val="0"/>
      <w:divBdr>
        <w:top w:val="none" w:sz="0" w:space="0" w:color="auto"/>
        <w:left w:val="none" w:sz="0" w:space="0" w:color="auto"/>
        <w:bottom w:val="none" w:sz="0" w:space="0" w:color="auto"/>
        <w:right w:val="none" w:sz="0" w:space="0" w:color="auto"/>
      </w:divBdr>
    </w:div>
    <w:div w:id="715468500">
      <w:bodyDiv w:val="1"/>
      <w:marLeft w:val="0"/>
      <w:marRight w:val="0"/>
      <w:marTop w:val="0"/>
      <w:marBottom w:val="0"/>
      <w:divBdr>
        <w:top w:val="none" w:sz="0" w:space="0" w:color="auto"/>
        <w:left w:val="none" w:sz="0" w:space="0" w:color="auto"/>
        <w:bottom w:val="none" w:sz="0" w:space="0" w:color="auto"/>
        <w:right w:val="none" w:sz="0" w:space="0" w:color="auto"/>
      </w:divBdr>
    </w:div>
    <w:div w:id="767504104">
      <w:bodyDiv w:val="1"/>
      <w:marLeft w:val="0"/>
      <w:marRight w:val="0"/>
      <w:marTop w:val="0"/>
      <w:marBottom w:val="0"/>
      <w:divBdr>
        <w:top w:val="none" w:sz="0" w:space="0" w:color="auto"/>
        <w:left w:val="none" w:sz="0" w:space="0" w:color="auto"/>
        <w:bottom w:val="none" w:sz="0" w:space="0" w:color="auto"/>
        <w:right w:val="none" w:sz="0" w:space="0" w:color="auto"/>
      </w:divBdr>
    </w:div>
    <w:div w:id="789930816">
      <w:bodyDiv w:val="1"/>
      <w:marLeft w:val="0"/>
      <w:marRight w:val="0"/>
      <w:marTop w:val="0"/>
      <w:marBottom w:val="0"/>
      <w:divBdr>
        <w:top w:val="none" w:sz="0" w:space="0" w:color="auto"/>
        <w:left w:val="none" w:sz="0" w:space="0" w:color="auto"/>
        <w:bottom w:val="none" w:sz="0" w:space="0" w:color="auto"/>
        <w:right w:val="none" w:sz="0" w:space="0" w:color="auto"/>
      </w:divBdr>
    </w:div>
    <w:div w:id="813453458">
      <w:bodyDiv w:val="1"/>
      <w:marLeft w:val="0"/>
      <w:marRight w:val="0"/>
      <w:marTop w:val="0"/>
      <w:marBottom w:val="0"/>
      <w:divBdr>
        <w:top w:val="none" w:sz="0" w:space="0" w:color="auto"/>
        <w:left w:val="none" w:sz="0" w:space="0" w:color="auto"/>
        <w:bottom w:val="none" w:sz="0" w:space="0" w:color="auto"/>
        <w:right w:val="none" w:sz="0" w:space="0" w:color="auto"/>
      </w:divBdr>
    </w:div>
    <w:div w:id="1285966912">
      <w:bodyDiv w:val="1"/>
      <w:marLeft w:val="0"/>
      <w:marRight w:val="0"/>
      <w:marTop w:val="0"/>
      <w:marBottom w:val="0"/>
      <w:divBdr>
        <w:top w:val="none" w:sz="0" w:space="0" w:color="auto"/>
        <w:left w:val="none" w:sz="0" w:space="0" w:color="auto"/>
        <w:bottom w:val="none" w:sz="0" w:space="0" w:color="auto"/>
        <w:right w:val="none" w:sz="0" w:space="0" w:color="auto"/>
      </w:divBdr>
    </w:div>
    <w:div w:id="1459183871">
      <w:bodyDiv w:val="1"/>
      <w:marLeft w:val="0"/>
      <w:marRight w:val="0"/>
      <w:marTop w:val="0"/>
      <w:marBottom w:val="0"/>
      <w:divBdr>
        <w:top w:val="none" w:sz="0" w:space="0" w:color="auto"/>
        <w:left w:val="none" w:sz="0" w:space="0" w:color="auto"/>
        <w:bottom w:val="none" w:sz="0" w:space="0" w:color="auto"/>
        <w:right w:val="none" w:sz="0" w:space="0" w:color="auto"/>
      </w:divBdr>
    </w:div>
    <w:div w:id="1568567078">
      <w:bodyDiv w:val="1"/>
      <w:marLeft w:val="0"/>
      <w:marRight w:val="0"/>
      <w:marTop w:val="0"/>
      <w:marBottom w:val="0"/>
      <w:divBdr>
        <w:top w:val="none" w:sz="0" w:space="0" w:color="auto"/>
        <w:left w:val="none" w:sz="0" w:space="0" w:color="auto"/>
        <w:bottom w:val="none" w:sz="0" w:space="0" w:color="auto"/>
        <w:right w:val="none" w:sz="0" w:space="0" w:color="auto"/>
      </w:divBdr>
    </w:div>
    <w:div w:id="1653286878">
      <w:bodyDiv w:val="1"/>
      <w:marLeft w:val="0"/>
      <w:marRight w:val="0"/>
      <w:marTop w:val="0"/>
      <w:marBottom w:val="0"/>
      <w:divBdr>
        <w:top w:val="none" w:sz="0" w:space="0" w:color="auto"/>
        <w:left w:val="none" w:sz="0" w:space="0" w:color="auto"/>
        <w:bottom w:val="none" w:sz="0" w:space="0" w:color="auto"/>
        <w:right w:val="none" w:sz="0" w:space="0" w:color="auto"/>
      </w:divBdr>
    </w:div>
    <w:div w:id="18373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2022-12-25T14:17:00Z</dcterms:created>
  <dcterms:modified xsi:type="dcterms:W3CDTF">2022-12-25T14:49:00Z</dcterms:modified>
</cp:coreProperties>
</file>