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43.00000000000001" w:type="dxa"/>
        <w:tblLayout w:type="fixed"/>
        <w:tblLook w:val="0000"/>
      </w:tblPr>
      <w:tblGrid>
        <w:gridCol w:w="2955"/>
        <w:gridCol w:w="8010"/>
        <w:tblGridChange w:id="0">
          <w:tblGrid>
            <w:gridCol w:w="2955"/>
            <w:gridCol w:w="8010"/>
          </w:tblGrid>
        </w:tblGridChange>
      </w:tblGrid>
      <w:tr>
        <w:trPr>
          <w:cantSplit w:val="1"/>
          <w:trHeight w:val="390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Open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manager will fill a form that will open a transport event for the volunteers.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218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 Signed in as a manager or special authorization.</w:t>
            </w:r>
          </w:p>
        </w:tc>
      </w:tr>
      <w:tr>
        <w:trPr>
          <w:cantSplit w:val="1"/>
          <w:trHeight w:val="1162.3828125" w:hRule="atLeast"/>
          <w:tblHeader w:val="0"/>
        </w:trPr>
        <w:tc>
          <w:tcPr>
            <w:tcBorders>
              <w:bottom w:color="515151" w:space="0" w:sz="8" w:val="single"/>
            </w:tcBorders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15151" w:space="0" w:sz="8" w:val="single"/>
            </w:tcBorders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1.The manager will fill the catalog number of the product.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2.The system will link the product from the inventory.</w:t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3.The manager will fill out the rest of the form.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 Press “submit”</w:t>
              <w:br w:type="textWrapping"/>
              <w:br w:type="textWrapping"/>
              <w:t xml:space="preserve">5. The manager will receive a message “event opened successfully.</w:t>
            </w:r>
          </w:p>
        </w:tc>
      </w:tr>
      <w:tr>
        <w:trPr>
          <w:cantSplit w:val="1"/>
          <w:trHeight w:val="294" w:hRule="atLeast"/>
          <w:tblHeader w:val="0"/>
        </w:trPr>
        <w:tc>
          <w:tcPr>
            <w:vMerge w:val="restart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5e5e" w:space="0" w:sz="8" w:val="single"/>
            </w:tcBorders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1.A new event will be dispatched to the volunteer via push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9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The event will appear in the open events panel with status “Open”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The Event will appear in the events for volunteer taking.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