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D60B0D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D60B0D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D60B0D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w-z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 w:rsidR="00355E2E">
        <w:rPr>
          <w:rFonts w:eastAsiaTheme="minorEastAsia"/>
        </w:rPr>
        <w:t xml:space="preserve"> (it comes from the Pythagorean theorem)</w:t>
      </w:r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⊥(z-x)</m:t>
        </m:r>
      </m:oMath>
      <w:r w:rsidR="004724CF">
        <w:rPr>
          <w:rFonts w:eastAsiaTheme="minorEastAsia"/>
        </w:rPr>
        <w:t>. F</w:t>
      </w:r>
      <w:r w:rsidR="006653E8">
        <w:rPr>
          <w:rFonts w:eastAsiaTheme="minorEastAsia"/>
        </w:rPr>
        <w:t>rom the Pythagorean</w:t>
      </w:r>
      <w:r w:rsidR="0017476D">
        <w:rPr>
          <w:rFonts w:eastAsiaTheme="minorEastAsia"/>
        </w:rPr>
        <w:t xml:space="preserve">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2E06DF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κ</m:t>
        </m:r>
      </m:oMath>
      <w:r w:rsidR="00F558C3">
        <w:rPr>
          <w:rFonts w:eastAsiaTheme="minorEastAsia"/>
          <w:bCs/>
        </w:rPr>
        <w:t xml:space="preserve"> (because we get it in the last iteration)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D60B0D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 xml:space="preserve">section b and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D60B0D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D60B0D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D60B0D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ListParagraph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D60B0D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D60B0D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Combining the last section, we derive the following algorithm: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)+        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680C1E" w:rsidRPr="005E4B3F" w:rsidRDefault="00F04D63" w:rsidP="005E4B3F">
      <w:pPr>
        <w:pStyle w:val="ListParagraph"/>
        <w:tabs>
          <w:tab w:val="left" w:pos="5940"/>
        </w:tabs>
        <w:rPr>
          <w:rFonts w:ascii="Arial" w:eastAsiaTheme="minorEastAsia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4B13CC" w:rsidRPr="009F63BA" w:rsidRDefault="00F04D63" w:rsidP="009F63BA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 xml:space="preserve">     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4B13CC" w:rsidRPr="009F63BA">
        <w:rPr>
          <w:rFonts w:ascii="Arial" w:hAnsi="Arial" w:cs="Arial"/>
          <w:color w:val="FF0000"/>
          <w:shd w:val="clear" w:color="auto" w:fill="FFFFFF"/>
        </w:rPr>
        <w:t xml:space="preserve">           </w:t>
      </w:r>
    </w:p>
    <w:p w:rsidR="005E4B3F" w:rsidRPr="00A6268F" w:rsidRDefault="005E4B3F" w:rsidP="005E4B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866573" w:rsidRPr="00D60B0D" w:rsidRDefault="005E4B3F" w:rsidP="00D60B0D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</m:oMath>
      <w:bookmarkStart w:id="0" w:name="_GoBack"/>
      <w:bookmarkEnd w:id="0"/>
    </w:p>
    <w:p w:rsidR="00F04D6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D614A9" w:rsidRPr="003E2170" w:rsidRDefault="00D614A9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Therefore, we must save all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which costs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⋅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for each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D60B0D" w:rsidP="00841C4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DD212C" w:rsidRDefault="00DD212C" w:rsidP="00267977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bCs/>
          <w:iCs/>
          <w:color w:val="FF0000"/>
          <w:shd w:val="clear" w:color="auto" w:fill="FFFFFF"/>
        </w:rPr>
      </w:pPr>
    </w:p>
    <w:p w:rsidR="00841C44" w:rsidRPr="00841C44" w:rsidRDefault="00841C44" w:rsidP="00841C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Where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b/>
                <w:i/>
                <w:color w:val="252525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x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 w:rsidRPr="00841C44">
        <w:rPr>
          <w:rFonts w:ascii="Arial" w:eastAsiaTheme="minorEastAsia" w:hAnsi="Arial" w:cs="Arial"/>
        </w:rPr>
        <w:t>and</w:t>
      </w:r>
      <w:r>
        <w:rPr>
          <w:rFonts w:ascii="Arial" w:eastAsiaTheme="minorEastAsia" w:hAnsi="Arial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K</m:t>
            </m:r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(x</m:t>
            </m:r>
            <m:ctrlPr>
              <w:rPr>
                <w:rFonts w:ascii="Cambria Math" w:hAnsi="Cambria Math" w:cs="Arial"/>
                <w:b/>
                <w:bCs/>
                <w:i/>
                <w:color w:val="252525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,x</m:t>
        </m:r>
        <m:r>
          <w:rPr>
            <w:rFonts w:ascii="Cambria Math" w:hAnsi="Cambria Math" w:cs="Arial"/>
            <w:color w:val="252525"/>
            <w:shd w:val="clear" w:color="auto" w:fill="FFFFFF"/>
          </w:rPr>
          <m:t>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x</m:t>
        </m:r>
      </m:oMath>
    </w:p>
    <w:p w:rsidR="00841C44" w:rsidRDefault="00841C44" w:rsidP="00267977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</w:p>
    <w:p w:rsidR="002B735E" w:rsidRPr="00DD212C" w:rsidRDefault="0049407C" w:rsidP="00267977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As seen by section b, t</w:t>
      </w:r>
      <w:r w:rsidR="006C0629" w:rsidRPr="00DD212C">
        <w:rPr>
          <w:rFonts w:eastAsiaTheme="minorEastAsia"/>
          <w:color w:val="FF0000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</m:oMath>
      <w:r w:rsidR="006C0629" w:rsidRPr="00DD212C">
        <w:rPr>
          <w:rFonts w:eastAsiaTheme="minorEastAsia"/>
          <w:b/>
          <w:bCs/>
          <w:color w:val="FF0000"/>
        </w:rPr>
        <w:t xml:space="preserve"> </w:t>
      </w:r>
      <w:r w:rsidR="006C0629" w:rsidRPr="00DD212C">
        <w:rPr>
          <w:rFonts w:eastAsiaTheme="minorEastAsia"/>
          <w:color w:val="FF0000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</m:oMath>
      <w:r w:rsidR="006C0629" w:rsidRPr="00DD212C">
        <w:rPr>
          <w:rFonts w:eastAsiaTheme="minorEastAsia"/>
          <w:color w:val="FF0000"/>
        </w:rPr>
        <w:t xml:space="preserve"> where the dependency on </w:t>
      </w:r>
      <m:oMath>
        <m:r>
          <w:rPr>
            <w:rFonts w:ascii="Cambria Math" w:eastAsiaTheme="minorEastAsia" w:hAnsi="Cambria Math"/>
            <w:color w:val="FF0000"/>
          </w:rPr>
          <m:t>η</m:t>
        </m:r>
      </m:oMath>
      <w:r w:rsidR="006C0629" w:rsidRPr="00DD212C">
        <w:rPr>
          <w:rFonts w:eastAsiaTheme="minorEastAsia"/>
          <w:color w:val="FF0000"/>
        </w:rPr>
        <w:t xml:space="preserve"> relies on the regularization gradient </w:t>
      </w:r>
      <w:r w:rsidR="006C0629" w:rsidRPr="00DD212C">
        <w:rPr>
          <w:rFonts w:eastAsiaTheme="minorEastAsia"/>
          <w:color w:val="FF0000"/>
        </w:rPr>
        <w:lastRenderedPageBreak/>
        <w:t xml:space="preserve">(can be proved by easy induction the same way as the perceptron proof from last exrecise). </w:t>
      </w:r>
      <w:r w:rsidR="001828EB" w:rsidRPr="00DD212C">
        <w:rPr>
          <w:rFonts w:eastAsiaTheme="minorEastAsia"/>
          <w:color w:val="FF0000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FF0000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b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  <w:r w:rsidR="001828EB" w:rsidRPr="00DD212C">
        <w:rPr>
          <w:rFonts w:eastAsiaTheme="minorEastAsia"/>
          <w:color w:val="FF0000"/>
        </w:rPr>
        <w:t xml:space="preserve"> which would be the kernel version of our SVM.</w:t>
      </w:r>
    </w:p>
    <w:p w:rsidR="001828EB" w:rsidRPr="00DD212C" w:rsidRDefault="00402D93" w:rsidP="00703C08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N</w:t>
      </w:r>
      <w:r w:rsidR="001828EB" w:rsidRPr="00DD212C">
        <w:rPr>
          <w:rFonts w:eastAsiaTheme="minorEastAsia"/>
          <w:color w:val="FF0000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703C08" w:rsidRPr="00DD212C">
        <w:rPr>
          <w:rFonts w:eastAsiaTheme="minorEastAsia"/>
          <w:color w:val="FF0000"/>
        </w:rPr>
        <w:t xml:space="preserve"> is a K size vector, and is equal to one of the options stated in the following algorithm.</w:t>
      </w:r>
    </w:p>
    <w:p w:rsidR="00703C08" w:rsidRPr="00DD212C" w:rsidRDefault="00703C08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</w:p>
    <w:p w:rsidR="001828EB" w:rsidRPr="00DD212C" w:rsidRDefault="001828EB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We get the algorithm: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DD212C">
        <w:rPr>
          <w:rFonts w:eastAsiaTheme="minorEastAsia"/>
          <w:color w:val="FF0000"/>
        </w:rPr>
        <w:t xml:space="preserve">, and initialize t: </w:t>
      </w:r>
      <m:oMath>
        <m:r>
          <w:rPr>
            <w:rFonts w:ascii="Cambria Math" w:eastAsiaTheme="minorEastAsia" w:hAnsi="Cambria Math"/>
            <w:color w:val="FF0000"/>
          </w:rPr>
          <m:t>t←1</m:t>
        </m:r>
      </m:oMath>
      <w:r w:rsidRPr="00DD212C">
        <w:rPr>
          <w:rFonts w:eastAsiaTheme="minorEastAsia"/>
          <w:color w:val="FF0000"/>
        </w:rPr>
        <w:t>.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</w:p>
    <w:p w:rsidR="001828EB" w:rsidRPr="00DD212C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if classified correct</w:t>
      </w:r>
      <w:r w:rsidR="00602460" w:rsidRPr="00DD212C">
        <w:rPr>
          <w:rFonts w:eastAsiaTheme="minorEastAsia"/>
          <w:color w:val="FF0000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</w:p>
    <w:p w:rsidR="00602460" w:rsidRPr="00DD212C" w:rsidRDefault="00602460" w:rsidP="004663C3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o.w.</m:t>
                </m:r>
              </m:e>
            </m:eqArr>
          </m:e>
        </m:d>
      </m:oMath>
    </w:p>
    <w:p w:rsidR="00602460" w:rsidRPr="00DD212C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Go over 1.</w:t>
      </w:r>
    </w:p>
    <w:p w:rsidR="00602460" w:rsidRPr="00DD212C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  <w:color w:val="FF0000"/>
        </w:rPr>
      </w:pPr>
    </w:p>
    <w:p w:rsidR="00663B0E" w:rsidRPr="00DD212C" w:rsidRDefault="00602460" w:rsidP="00404B19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</m:oMath>
      <w:r w:rsidRPr="00DD212C">
        <w:rPr>
          <w:rFonts w:eastAsiaTheme="minorEastAsia"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 are the classification estimate and the true label of </w:t>
      </w:r>
      <w:r w:rsidRPr="00DD212C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DD212C">
        <w:rPr>
          <w:rFonts w:eastAsiaTheme="minorEastAsia"/>
          <w:color w:val="FF0000"/>
        </w:rPr>
        <w:t>}</w:t>
      </w:r>
      <w:r w:rsidRPr="00DD212C">
        <w:rPr>
          <w:rFonts w:eastAsiaTheme="minorEastAsia"/>
          <w:color w:val="FF0000"/>
        </w:rPr>
        <w:tab/>
      </w:r>
    </w:p>
    <w:p w:rsidR="00374F11" w:rsidRPr="00DD212C" w:rsidRDefault="00374F11" w:rsidP="001D57F6">
      <w:pPr>
        <w:rPr>
          <w:color w:val="FF0000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6D1C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87DF1"/>
    <w:rsid w:val="00395048"/>
    <w:rsid w:val="003955F8"/>
    <w:rsid w:val="0039575B"/>
    <w:rsid w:val="003970A9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42C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1C8"/>
    <w:rsid w:val="00833369"/>
    <w:rsid w:val="0083370E"/>
    <w:rsid w:val="00834CF1"/>
    <w:rsid w:val="0083615E"/>
    <w:rsid w:val="00836EF2"/>
    <w:rsid w:val="00841C44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7240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58C3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014E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20E6-44F7-4667-9033-B796A750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6</Pages>
  <Words>1762</Words>
  <Characters>10045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169</cp:revision>
  <dcterms:created xsi:type="dcterms:W3CDTF">2016-12-23T17:23:00Z</dcterms:created>
  <dcterms:modified xsi:type="dcterms:W3CDTF">2017-01-05T23:37:00Z</dcterms:modified>
</cp:coreProperties>
</file>