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both"/>
        <w:rPr>
          <w:rFonts w:ascii="Arial" w:cs="Arial" w:hAnsi="Arial"/>
          <w:b/>
          <w:sz w:val="36"/>
          <w:szCs w:val="36"/>
        </w:rPr>
      </w:pPr>
      <w:r>
        <w:rPr>
          <w:rFonts w:ascii="Arial" w:cs="Arial" w:hAnsi="Arial"/>
          <w:b/>
          <w:sz w:val="36"/>
          <w:szCs w:val="36"/>
        </w:rPr>
        <w:t>Relatório Técnicas de Programação</w:t>
      </w:r>
    </w:p>
    <w:p>
      <w:pPr>
        <w:pStyle w:val="style0"/>
        <w:spacing w:after="120" w:before="0"/>
        <w:contextualSpacing w:val="false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Bruno Feres Klein, Italo Lobato Qualisoni</w:t>
      </w:r>
    </w:p>
    <w:p>
      <w:pPr>
        <w:pStyle w:val="style0"/>
        <w:jc w:val="both"/>
        <w:rPr>
          <w:rStyle w:val="style16"/>
          <w:rFonts w:ascii="Arial" w:cs="Arial" w:hAnsi="Arial"/>
          <w:i/>
          <w:color w:val="00000A"/>
          <w:sz w:val="24"/>
          <w:szCs w:val="24"/>
          <w:u w:val="none"/>
        </w:rPr>
      </w:pPr>
      <w:hyperlink r:id="rId2">
        <w:r>
          <w:rPr>
            <w:rStyle w:val="style16"/>
            <w:rFonts w:ascii="Arial" w:cs="Arial" w:hAnsi="Arial"/>
            <w:i/>
            <w:color w:val="00000A"/>
            <w:sz w:val="24"/>
            <w:szCs w:val="24"/>
            <w:u w:val="none"/>
          </w:rPr>
          <w:t>bruno.klein@acad.pucrs.br</w:t>
        </w:r>
      </w:hyperlink>
      <w:r>
        <w:rPr>
          <w:rFonts w:ascii="Arial" w:cs="Arial" w:hAnsi="Arial"/>
          <w:i/>
          <w:sz w:val="24"/>
          <w:szCs w:val="24"/>
        </w:rPr>
        <w:t xml:space="preserve">, </w:t>
      </w:r>
      <w:hyperlink r:id="rId3">
        <w:r>
          <w:rPr>
            <w:rStyle w:val="style16"/>
            <w:rFonts w:ascii="Arial" w:cs="Arial" w:hAnsi="Arial"/>
            <w:i/>
            <w:color w:val="00000A"/>
            <w:sz w:val="24"/>
            <w:szCs w:val="24"/>
            <w:u w:val="none"/>
          </w:rPr>
          <w:t>italo.qualisone@acad.pucrs.br</w:t>
        </w:r>
      </w:hyperlink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Padrões utilizados</w:t>
      </w:r>
    </w:p>
    <w:p>
      <w:pPr>
        <w:pStyle w:val="style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Foram utilizados os padrões, Facade, o padrão DAO na camada de persistência e o padrão Domain Model na camada de domínio que foram requisitados no enunciado do trabalho, além dos padrões Strategist e Observer que julgamos necessários para a elaboração de um trabalho mais consistente. </w:t>
      </w:r>
    </w:p>
    <w:p>
      <w:pPr>
        <w:pStyle w:val="style0"/>
        <w:jc w:val="both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Camada de Apresentação</w:t>
      </w:r>
    </w:p>
    <w:p>
      <w:pPr>
        <w:pStyle w:val="style0"/>
        <w:jc w:val="both"/>
        <w:rPr/>
      </w:pPr>
      <w:r>
        <w:rPr/>
        <w:drawing>
          <wp:inline distB="0" distL="0" distR="0" distT="0">
            <wp:extent cx="6452235" cy="3151505"/>
            <wp:effectExtent b="0" l="0" r="0" t="0"/>
            <wp:docPr descr="C:\Users\Bruno\Desktop\Técnicas\Print View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Bruno\Desktop\Técnicas\Print 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style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style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style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style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style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style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Camada de Negócio</w:t>
      </w:r>
    </w:p>
    <w:p>
      <w:pPr>
        <w:pStyle w:val="style0"/>
        <w:jc w:val="both"/>
        <w:rPr/>
      </w:pPr>
      <w:r>
        <w:rPr/>
        <w:drawing>
          <wp:inline distB="0" distL="0" distR="0" distT="0">
            <wp:extent cx="6533515" cy="3470910"/>
            <wp:effectExtent b="0" l="0" r="0" t="0"/>
            <wp:docPr descr="C:\Users\Bruno\Desktop\Técnicas\Print Negócio.pn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Bruno\Desktop\Técnicas\Print Negócio.pn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/>
      </w:pPr>
      <w:r>
        <w:rPr/>
        <w:drawing>
          <wp:inline distB="0" distL="0" distR="0" distT="0">
            <wp:extent cx="1804670" cy="692150"/>
            <wp:effectExtent b="0" l="0" r="0" t="0"/>
            <wp:docPr descr="C:\Users\Bruno\Desktop\Técnicas\calculo.png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Bruno\Desktop\Técnicas\calculo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Camada de Persistência</w:t>
      </w:r>
      <w:r>
        <w:rPr>
          <w:rFonts w:ascii="Arial" w:cs="Arial" w:hAnsi="Arial"/>
          <w:b/>
          <w:sz w:val="24"/>
          <w:szCs w:val="24"/>
        </w:rPr>
        <w:drawing>
          <wp:inline distB="0" distL="0" distR="0" distT="0">
            <wp:extent cx="6390640" cy="4435475"/>
            <wp:effectExtent b="0" l="0" r="0" t="0"/>
            <wp:docPr descr="C:\Users\Bruno\Desktop\Técnicas\Print Persistência.png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Bruno\Desktop\Técnicas\Print Persistência.png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>Comunicação entre a Camada de Apresentação e Camada de Negócio</w:t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/>
      </w:pPr>
      <w:r>
        <w:rPr/>
        <w:drawing>
          <wp:inline distB="0" distL="0" distR="0" distT="0">
            <wp:extent cx="5894705" cy="3703955"/>
            <wp:effectExtent b="0" l="0" r="0" t="0"/>
            <wp:docPr descr="C:\Users\Bruno\Desktop\Técnicas\Comunicação View e Negócio.png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Bruno\Desktop\Técnicas\Comunicação View e Negócio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Nesta figura está sendo mostrada a forma de comunicação entre as Camadas de Apresentação e de Negócio pelo padrão de projeto Facade. Como podemos ver, na camada de negócios há duas fachadas, uma normal que é responsável diversas funcionalidades do sistema e outra gerencial que é voltada para a parte administrativa do sistema.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>Comunicação entre a Camada de Negócio e Camada Persistência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 camada de Negócio se comunica com a camada de persistência através de duas interfaces da camada de Negócio que são implementadas na camada de persistência.</w:t>
      </w:r>
    </w:p>
    <w:p>
      <w:pPr>
        <w:pStyle w:val="style0"/>
        <w:jc w:val="both"/>
        <w:rPr/>
      </w:pPr>
      <w:r>
        <w:rPr/>
        <w:drawing>
          <wp:inline distB="0" distL="0" distR="0" distT="0">
            <wp:extent cx="5397500" cy="5424170"/>
            <wp:effectExtent b="0" l="0" r="0" t="0"/>
            <wp:docPr descr="C:\Users\Bruno\Desktop\Técnicas\Comunicação Negócio Persistência.png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Bruno\Desktop\Técnicas\Comunicação Negócio Persistência.png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42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Padrão Strategist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Foi utilizado na Camada de Negócio, para o encapsulamento de dois algoritmos. Foi encapsulado o algoritmo Calcular() como interface, e este é implementado pela classe CalculoSimples. Também encapsulamos um algoritmo, que gera códigos aleatórios, como a interface Codigo e a partir dela definimos a classe CodigoSimples.</w:t>
      </w:r>
    </w:p>
    <w:p>
      <w:pPr>
        <w:pStyle w:val="style0"/>
        <w:jc w:val="both"/>
        <w:rPr/>
      </w:pPr>
      <w:r>
        <w:rPr/>
        <w:drawing>
          <wp:inline distB="0" distL="0" distR="0" distT="0">
            <wp:extent cx="5397500" cy="1953260"/>
            <wp:effectExtent b="0" l="0" r="0" t="0"/>
            <wp:docPr descr="C:\Users\Bruno\Desktop\Técnicas\Strategist.png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Bruno\Desktop\Técnicas\Strategist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>Sistema</w:t>
      </w:r>
    </w:p>
    <w:p>
      <w:pPr>
        <w:pStyle w:val="style0"/>
        <w:tabs>
          <w:tab w:leader="none" w:pos="1188" w:val="left"/>
        </w:tabs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tabs>
          <w:tab w:leader="none" w:pos="1188" w:val="left"/>
        </w:tabs>
        <w:jc w:val="both"/>
        <w:rPr/>
      </w:pPr>
      <w:bookmarkStart w:id="0" w:name="_GoBack"/>
      <w:bookmarkEnd w:id="0"/>
      <w:r>
        <w:rPr/>
        <w:drawing>
          <wp:inline distB="0" distL="0" distR="0" distT="0">
            <wp:extent cx="6379210" cy="5193665"/>
            <wp:effectExtent b="0" l="0" r="0" t="0"/>
            <wp:docPr descr="C:\Users\Bruno\Desktop\Técnicas\Sistema.png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Bruno\Desktop\Técnicas\Sistema.png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51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Padrão Observer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As classes que tem participação neste padrão são: TicketPagamentoFramev2, TicketBuscaFrame, TicketListener(Interface Observer) e CancelaFachada, sendo que a CancelaFachada é o o Subject contendo uma coleção de objetos de TicketListener. Sempre que há ocorrência de um evento o Subject vai avisar as duas outras classes que estão observando, que neste caso são TicketPagamentoFravev2 e TicketBuscarFrame(estas implementam TicketListener).</w:t>
      </w:r>
    </w:p>
    <w:p>
      <w:pPr>
        <w:pStyle w:val="style0"/>
        <w:jc w:val="both"/>
        <w:rPr/>
      </w:pPr>
      <w:r>
        <w:rPr/>
        <w:drawing>
          <wp:inline distB="0" distL="0" distR="0" distT="0">
            <wp:extent cx="5397500" cy="2903220"/>
            <wp:effectExtent b="0" l="0" r="0" t="0"/>
            <wp:docPr descr="C:\Users\Bruno\Desktop\Técnicas\Observer.png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Bruno\Desktop\Técnicas\Observer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Link da Internet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Texto de balão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Título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Corpo do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Legenda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no.klein@acad.pucrs.br" TargetMode="External"/><Relationship Id="rId3" Type="http://schemas.openxmlformats.org/officeDocument/2006/relationships/hyperlink" Target="mailto:italo.qualisone@acad.pucrs.br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2013-11-30T21:18:00Z</dcterms:created>
  <dc:creator>Bruno Klein</dc:creator>
  <cp:lastModifiedBy>Bruno Klein</cp:lastModifiedBy>
  <dcterms:modified xsi:type="dcterms:W3CDTF">2013-11-30T23:50:00Z</dcterms:modified>
  <cp:revision>9</cp:revision>
</cp:coreProperties>
</file>