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D4ED8"/>
          <w:sz w:val="52"/>
        </w:rPr>
        <w:t>AGENTEPRO</w:t>
      </w:r>
    </w:p>
    <w:p>
      <w:pPr>
        <w:jc w:val="center"/>
      </w:pPr>
      <w:r>
        <w:rPr>
          <w:i/>
          <w:color w:val="555555"/>
          <w:sz w:val="22"/>
        </w:rPr>
        <w:t>Plataforma SaaS de automatización de atención al cliente con inteligencia artificial</w:t>
      </w:r>
    </w:p>
    <w:p/>
    <w:p/>
    <w:p>
      <w:pPr>
        <w:jc w:val="center"/>
      </w:pPr>
      <w:r>
        <w:rPr>
          <w:b/>
          <w:sz w:val="40"/>
        </w:rPr>
        <w:t>Memoria Descriptiva</w:t>
      </w:r>
    </w:p>
    <w:p>
      <w:pPr>
        <w:jc w:val="center"/>
      </w:pPr>
      <w:r>
        <w:rPr>
          <w:color w:val="555555"/>
          <w:sz w:val="24"/>
        </w:rPr>
        <w:t>Descripción técnica de la obra · Programa de ordenador</w:t>
      </w:r>
    </w:p>
    <w:p/>
    <w:p/>
    <w:p/>
    <w:p/>
    <w:p/>
    <w:p/>
    <w:p>
      <w:pPr>
        <w:jc w:val="center"/>
      </w:pPr>
      <w:r>
        <w:rPr>
          <w:b/>
        </w:rPr>
        <w:t xml:space="preserve">Autor y titular: </w:t>
      </w:r>
      <w:r>
        <w:t>Italo Eduardo Reyes Cordero</w:t>
      </w:r>
    </w:p>
    <w:p>
      <w:pPr>
        <w:jc w:val="center"/>
      </w:pPr>
      <w:r>
        <w:rPr>
          <w:b/>
        </w:rPr>
        <w:t xml:space="preserve">Tipo de obra: </w:t>
      </w:r>
      <w:r>
        <w:t>Programa de ordenador (software)</w:t>
      </w:r>
    </w:p>
    <w:p>
      <w:pPr>
        <w:jc w:val="center"/>
      </w:pPr>
      <w:r>
        <w:rPr>
          <w:b/>
        </w:rPr>
        <w:t xml:space="preserve">Año de creación: </w:t>
      </w:r>
      <w:r>
        <w:t>2026</w:t>
      </w:r>
    </w:p>
    <w:p>
      <w:pPr>
        <w:jc w:val="center"/>
      </w:pPr>
      <w:r>
        <w:rPr>
          <w:b/>
        </w:rPr>
        <w:t xml:space="preserve">Lugar: </w:t>
      </w:r>
      <w:r>
        <w:t>Huancayo, Perú</w:t>
      </w:r>
    </w:p>
    <w:p>
      <w:pPr>
        <w:jc w:val="center"/>
      </w:pPr>
      <w:r>
        <w:rPr>
          <w:b/>
        </w:rPr>
        <w:t xml:space="preserve">Correo de contacto: </w:t>
      </w:r>
      <w:r>
        <w:t>italoreyescordero1@gmail.com</w:t>
      </w:r>
    </w:p>
    <w:p>
      <w:r>
        <w:br w:type="page"/>
      </w:r>
    </w:p>
    <w:p>
      <w:pPr>
        <w:pStyle w:val="Heading1"/>
      </w:pPr>
      <w:r>
        <w:rPr>
          <w:b/>
          <w:color w:val="1D4ED8"/>
          <w:sz w:val="30"/>
        </w:rPr>
        <w:t>1. Presentación</w:t>
      </w:r>
    </w:p>
    <w:p>
      <w:pPr>
        <w:jc w:val="both"/>
      </w:pPr>
      <w:r>
        <w:t>El presente documento constituye la memoria descriptiva de la obra de software denominada «AgentePro», elaborada para acompañar su registro como programa de ordenador ante la Dirección de Derecho de Autor (DDA) del Instituto Nacional de Defensa de la Competencia y de la Protección de la Propiedad Intelectual (INDECOPI), al amparo del Decreto Legislativo N.º 822, Ley sobre el Derecho de Autor, y la Decisión Andina 351.</w:t>
      </w:r>
    </w:p>
    <w:p>
      <w:pPr>
        <w:jc w:val="both"/>
      </w:pPr>
      <w:r>
        <w:t>Su finalidad es explicar, en lenguaje claro y preciso, qué hace el programa, cuáles son sus funciones, su arquitectura y los lenguajes de programación empleados en su desarrollo.</w:t>
      </w:r>
    </w:p>
    <w:p>
      <w:pPr>
        <w:pStyle w:val="Heading1"/>
      </w:pPr>
      <w:r>
        <w:rPr>
          <w:b/>
          <w:color w:val="1D4ED8"/>
          <w:sz w:val="30"/>
        </w:rPr>
        <w:t>2. Identificación de la obra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Detalle</w:t>
            </w:r>
          </w:p>
        </w:tc>
      </w:tr>
      <w:tr>
        <w:tc>
          <w:tcPr>
            <w:tcW w:type="dxa" w:w="4320"/>
          </w:tcPr>
          <w:p>
            <w:r>
              <w:rPr>
                <w:b/>
              </w:rPr>
              <w:t>Título de la obra</w:t>
            </w:r>
          </w:p>
        </w:tc>
        <w:tc>
          <w:tcPr>
            <w:tcW w:type="dxa" w:w="4320"/>
          </w:tcPr>
          <w:p>
            <w:r>
              <w:t>AgentePro</w:t>
            </w:r>
          </w:p>
        </w:tc>
      </w:tr>
      <w:tr>
        <w:tc>
          <w:tcPr>
            <w:tcW w:type="dxa" w:w="4320"/>
          </w:tcPr>
          <w:p>
            <w:r>
              <w:rPr>
                <w:b/>
              </w:rPr>
              <w:t>Tipo de obra</w:t>
            </w:r>
          </w:p>
        </w:tc>
        <w:tc>
          <w:tcPr>
            <w:tcW w:type="dxa" w:w="4320"/>
          </w:tcPr>
          <w:p>
            <w:r>
              <w:t>Programa de ordenador (software)</w:t>
            </w:r>
          </w:p>
        </w:tc>
      </w:tr>
      <w:tr>
        <w:tc>
          <w:tcPr>
            <w:tcW w:type="dxa" w:w="4320"/>
          </w:tcPr>
          <w:p>
            <w:r>
              <w:rPr>
                <w:b/>
              </w:rPr>
              <w:t>Clase</w:t>
            </w:r>
          </w:p>
        </w:tc>
        <w:tc>
          <w:tcPr>
            <w:tcW w:type="dxa" w:w="4320"/>
          </w:tcPr>
          <w:p>
            <w:r>
              <w:t>Obra literaria (software), según D. Leg. N.º 822</w:t>
            </w:r>
          </w:p>
        </w:tc>
      </w:tr>
      <w:tr>
        <w:tc>
          <w:tcPr>
            <w:tcW w:type="dxa" w:w="4320"/>
          </w:tcPr>
          <w:p>
            <w:r>
              <w:rPr>
                <w:b/>
              </w:rPr>
              <w:t>Naturaleza</w:t>
            </w:r>
          </w:p>
        </w:tc>
        <w:tc>
          <w:tcPr>
            <w:tcW w:type="dxa" w:w="4320"/>
          </w:tcPr>
          <w:p>
            <w:r>
              <w:t>Obra originaria e individual</w:t>
            </w:r>
          </w:p>
        </w:tc>
      </w:tr>
      <w:tr>
        <w:tc>
          <w:tcPr>
            <w:tcW w:type="dxa" w:w="4320"/>
          </w:tcPr>
          <w:p>
            <w:r>
              <w:rPr>
                <w:b/>
              </w:rPr>
              <w:t>Año de creación</w:t>
            </w:r>
          </w:p>
        </w:tc>
        <w:tc>
          <w:tcPr>
            <w:tcW w:type="dxa" w:w="4320"/>
          </w:tcPr>
          <w:p>
            <w:r>
              <w:t>2026</w:t>
            </w:r>
          </w:p>
        </w:tc>
      </w:tr>
      <w:tr>
        <w:tc>
          <w:tcPr>
            <w:tcW w:type="dxa" w:w="4320"/>
          </w:tcPr>
          <w:p>
            <w:r>
              <w:rPr>
                <w:b/>
              </w:rPr>
              <w:t>País de origen</w:t>
            </w:r>
          </w:p>
        </w:tc>
        <w:tc>
          <w:tcPr>
            <w:tcW w:type="dxa" w:w="4320"/>
          </w:tcPr>
          <w:p>
            <w:r>
              <w:t>Perú</w:t>
            </w:r>
          </w:p>
        </w:tc>
      </w:tr>
      <w:tr>
        <w:tc>
          <w:tcPr>
            <w:tcW w:type="dxa" w:w="4320"/>
          </w:tcPr>
          <w:p>
            <w:r>
              <w:rPr>
                <w:b/>
              </w:rPr>
              <w:t>Lenguajes de programación</w:t>
            </w:r>
          </w:p>
        </w:tc>
        <w:tc>
          <w:tcPr>
            <w:tcW w:type="dxa" w:w="4320"/>
          </w:tcPr>
          <w:p>
            <w:r>
              <w:t>Python, TypeScript, JavaScript y SQL</w:t>
            </w:r>
          </w:p>
        </w:tc>
      </w:tr>
    </w:tbl>
    <w:p/>
    <w:p>
      <w:pPr>
        <w:pStyle w:val="Heading1"/>
      </w:pPr>
      <w:r>
        <w:rPr>
          <w:b/>
          <w:color w:val="1D4ED8"/>
          <w:sz w:val="30"/>
        </w:rPr>
        <w:t>3. Datos del autor y titular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Detalle</w:t>
            </w:r>
          </w:p>
        </w:tc>
      </w:tr>
      <w:tr>
        <w:tc>
          <w:tcPr>
            <w:tcW w:type="dxa" w:w="4320"/>
          </w:tcPr>
          <w:p>
            <w:r>
              <w:rPr>
                <w:b/>
              </w:rPr>
              <w:t>Autor</w:t>
            </w:r>
          </w:p>
        </w:tc>
        <w:tc>
          <w:tcPr>
            <w:tcW w:type="dxa" w:w="4320"/>
          </w:tcPr>
          <w:p>
            <w:r>
              <w:t>Italo Eduardo Reyes Cordero</w:t>
            </w:r>
          </w:p>
        </w:tc>
      </w:tr>
      <w:tr>
        <w:tc>
          <w:tcPr>
            <w:tcW w:type="dxa" w:w="4320"/>
          </w:tcPr>
          <w:p>
            <w:r>
              <w:rPr>
                <w:b/>
              </w:rPr>
              <w:t>Titular de los derechos patrimoniales</w:t>
            </w:r>
          </w:p>
        </w:tc>
        <w:tc>
          <w:tcPr>
            <w:tcW w:type="dxa" w:w="4320"/>
          </w:tcPr>
          <w:p>
            <w:r>
              <w:t>Italo Eduardo Reyes Cordero</w:t>
            </w:r>
          </w:p>
        </w:tc>
      </w:tr>
      <w:tr>
        <w:tc>
          <w:tcPr>
            <w:tcW w:type="dxa" w:w="4320"/>
          </w:tcPr>
          <w:p>
            <w:r>
              <w:rPr>
                <w:b/>
              </w:rPr>
              <w:t>Nacionalidad</w:t>
            </w:r>
          </w:p>
        </w:tc>
        <w:tc>
          <w:tcPr>
            <w:tcW w:type="dxa" w:w="4320"/>
          </w:tcPr>
          <w:p>
            <w:r>
              <w:t>Peruana</w:t>
            </w:r>
          </w:p>
        </w:tc>
      </w:tr>
      <w:tr>
        <w:tc>
          <w:tcPr>
            <w:tcW w:type="dxa" w:w="4320"/>
          </w:tcPr>
          <w:p>
            <w:r>
              <w:rPr>
                <w:b/>
              </w:rPr>
              <w:t>Documento de identidad</w:t>
            </w:r>
          </w:p>
        </w:tc>
        <w:tc>
          <w:tcPr>
            <w:tcW w:type="dxa" w:w="4320"/>
          </w:tcPr>
          <w:p>
            <w:r>
              <w:t>DNI N.º 75220834</w:t>
            </w:r>
          </w:p>
        </w:tc>
      </w:tr>
      <w:tr>
        <w:tc>
          <w:tcPr>
            <w:tcW w:type="dxa" w:w="4320"/>
          </w:tcPr>
          <w:p>
            <w:r>
              <w:rPr>
                <w:b/>
              </w:rPr>
              <w:t>Domicilio</w:t>
            </w:r>
          </w:p>
        </w:tc>
        <w:tc>
          <w:tcPr>
            <w:tcW w:type="dxa" w:w="4320"/>
          </w:tcPr>
          <w:p>
            <w:r>
              <w:t>Jr. Grau N.º 419, distrito de Jauja, provincia de Jauja, departamento de Junín</w:t>
            </w:r>
          </w:p>
        </w:tc>
      </w:tr>
      <w:tr>
        <w:tc>
          <w:tcPr>
            <w:tcW w:type="dxa" w:w="4320"/>
          </w:tcPr>
          <w:p>
            <w:r>
              <w:rPr>
                <w:b/>
              </w:rPr>
              <w:t>Correo electrónico</w:t>
            </w:r>
          </w:p>
        </w:tc>
        <w:tc>
          <w:tcPr>
            <w:tcW w:type="dxa" w:w="4320"/>
          </w:tcPr>
          <w:p>
            <w:r>
              <w:t>italoreyescordero1@gmail.com</w:t>
            </w:r>
          </w:p>
        </w:tc>
      </w:tr>
      <w:tr>
        <w:tc>
          <w:tcPr>
            <w:tcW w:type="dxa" w:w="4320"/>
          </w:tcPr>
          <w:p>
            <w:r>
              <w:rPr>
                <w:b/>
              </w:rPr>
              <w:t>Teléfono</w:t>
            </w:r>
          </w:p>
        </w:tc>
        <w:tc>
          <w:tcPr>
            <w:tcW w:type="dxa" w:w="4320"/>
          </w:tcPr>
          <w:p>
            <w:r>
              <w:t>916085873</w:t>
            </w:r>
          </w:p>
        </w:tc>
      </w:tr>
    </w:tbl>
    <w:p/>
    <w:p>
      <w:pPr>
        <w:pStyle w:val="Heading1"/>
      </w:pPr>
      <w:r>
        <w:rPr>
          <w:b/>
          <w:color w:val="1D4ED8"/>
          <w:sz w:val="30"/>
        </w:rPr>
        <w:t>4. Descripción general de la obra</w:t>
      </w:r>
    </w:p>
    <w:p>
      <w:pPr>
        <w:jc w:val="both"/>
      </w:pPr>
      <w:r>
        <w:t>AgentePro es una plataforma de software como servicio (SaaS) multiempresa, diseñada para que negocios del Perú automaticen la atención a sus clientes y la gestión comercial mediante inteligencia artificial. Cada negocio cliente (denominado «tenant» o inquilino) obtiene, de forma automática, un conjunto de herramientas que operan de manera continua, las veinticuatro horas del día, sin intervención manual.</w:t>
      </w:r>
    </w:p>
    <w:p>
      <w:pPr>
        <w:jc w:val="both"/>
      </w:pPr>
      <w:r>
        <w:t>El sistema centraliza en un único panel de control la comunicación por mensajería (WhatsApp e Instagram), la atención telefónica por voz, la administración de contactos y conversaciones, la generación de contenido para redes sociales y el seguimiento de clientes potenciales, todo ello sincronizado y visible en tiempo real.</w:t>
      </w:r>
    </w:p>
    <w:p>
      <w:pPr>
        <w:pStyle w:val="Heading1"/>
      </w:pPr>
      <w:r>
        <w:rPr>
          <w:b/>
          <w:color w:val="1D4ED8"/>
          <w:sz w:val="30"/>
        </w:rPr>
        <w:t>5. Problema que resuelve y objetivo</w:t>
      </w:r>
    </w:p>
    <w:p>
      <w:pPr>
        <w:jc w:val="both"/>
      </w:pPr>
      <w:r>
        <w:t>Muchos negocios pequeños y medianos pierden ventas porque no logran responder a tiempo a sus clientes, sobre todo fuera del horario laboral. Contratar personal de atención permanente resulta costoso. AgentePro resuelve este problema dotando a cada negocio de un asistente conversacional con inteligencia artificial que responde de inmediato, califica el interés del cliente, agenda citas y realiza seguimientos automáticos.</w:t>
      </w:r>
    </w:p>
    <w:p>
      <w:pPr>
        <w:jc w:val="both"/>
      </w:pPr>
      <w:r>
        <w:t>El objetivo de la obra es ofrecer una solución asequible, fácil de configurar y operable por personas sin conocimientos técnicos, que permita a cualquier negocio atender a sus clientes de manera profesional y permanente.</w:t>
      </w:r>
    </w:p>
    <w:p>
      <w:pPr>
        <w:pStyle w:val="Heading1"/>
      </w:pPr>
      <w:r>
        <w:rPr>
          <w:b/>
          <w:color w:val="1D4ED8"/>
          <w:sz w:val="30"/>
        </w:rPr>
        <w:t>6. Funcionalidades principales</w:t>
      </w:r>
    </w:p>
    <w:p>
      <w:pPr>
        <w:pStyle w:val="ListBullet"/>
      </w:pPr>
      <w:r>
        <w:rPr>
          <w:b/>
        </w:rPr>
        <w:t xml:space="preserve">Agente de WhatsApp con IA: </w:t>
      </w:r>
      <w:r>
        <w:t>responde mensajes de los clientes de forma automática y natural, las veinticuatro horas, califica al cliente potencial y agenda citas.</w:t>
      </w:r>
    </w:p>
    <w:p>
      <w:pPr>
        <w:pStyle w:val="ListBullet"/>
      </w:pPr>
      <w:r>
        <w:rPr>
          <w:b/>
        </w:rPr>
        <w:t xml:space="preserve">Agente de voz con IA: </w:t>
      </w:r>
      <w:r>
        <w:t>contesta y realiza llamadas telefónicas en español, conversando de manera natural con el cliente.</w:t>
      </w:r>
    </w:p>
    <w:p>
      <w:pPr>
        <w:pStyle w:val="ListBullet"/>
      </w:pPr>
      <w:r>
        <w:rPr>
          <w:b/>
        </w:rPr>
        <w:t xml:space="preserve">Gestión de contactos y conversaciones (CRM): </w:t>
      </w:r>
      <w:r>
        <w:t>registra automáticamente cada contacto y cada conversación, con sincronización opcional hacia plataformas de CRM externas.</w:t>
      </w:r>
    </w:p>
    <w:p>
      <w:pPr>
        <w:pStyle w:val="ListBullet"/>
      </w:pPr>
      <w:r>
        <w:rPr>
          <w:b/>
        </w:rPr>
        <w:t xml:space="preserve">Generación de contenido para Instagram: </w:t>
      </w:r>
      <w:r>
        <w:t>crea publicaciones con texto e imagen mediante inteligencia artificial, listas para que el negocio las apruebe y publique.</w:t>
      </w:r>
    </w:p>
    <w:p>
      <w:pPr>
        <w:pStyle w:val="ListBullet"/>
      </w:pPr>
      <w:r>
        <w:rPr>
          <w:b/>
        </w:rPr>
        <w:t xml:space="preserve">Automatizaciones: </w:t>
      </w:r>
      <w:r>
        <w:t>ejecuta seguimientos, recordatorios y reportes de manera programada y sin intervención humana.</w:t>
      </w:r>
    </w:p>
    <w:p>
      <w:pPr>
        <w:pStyle w:val="ListBullet"/>
      </w:pPr>
      <w:r>
        <w:rPr>
          <w:b/>
        </w:rPr>
        <w:t xml:space="preserve">Panel de control (dashboard): </w:t>
      </w:r>
      <w:r>
        <w:t>muestra en tiempo real las métricas del negocio: mensajes, llamadas, contactos y embudo de clientes potenciales.</w:t>
      </w:r>
    </w:p>
    <w:p>
      <w:pPr>
        <w:pStyle w:val="ListBullet"/>
      </w:pPr>
      <w:r>
        <w:rPr>
          <w:b/>
        </w:rPr>
        <w:t xml:space="preserve">Panel de superadministración: </w:t>
      </w:r>
      <w:r>
        <w:t>permite al titular de la plataforma crear y administrar negocios, planes, cobros y soporte.</w:t>
      </w:r>
    </w:p>
    <w:p>
      <w:pPr>
        <w:pStyle w:val="ListBullet"/>
      </w:pPr>
      <w:r>
        <w:rPr>
          <w:b/>
        </w:rPr>
        <w:t xml:space="preserve">Administración de cobros: </w:t>
      </w:r>
      <w:r>
        <w:t>gestiona el periodo de prueba gratuito y el cobro mensual por adelantado, con suspensión automática del servicio en caso de falta de pago.</w:t>
      </w:r>
    </w:p>
    <w:p>
      <w:pPr>
        <w:pStyle w:val="ListBullet"/>
      </w:pPr>
      <w:r>
        <w:rPr>
          <w:b/>
        </w:rPr>
        <w:t xml:space="preserve">Aislamiento de datos entre negocios: </w:t>
      </w:r>
      <w:r>
        <w:t>garantiza que la información de cada negocio sea privada y no accesible por otros, reforzado a nivel de la capa de datos.</w:t>
      </w:r>
    </w:p>
    <w:p>
      <w:pPr>
        <w:pStyle w:val="Heading1"/>
      </w:pPr>
      <w:r>
        <w:rPr>
          <w:b/>
          <w:color w:val="1D4ED8"/>
          <w:sz w:val="30"/>
        </w:rPr>
        <w:t>7. Arquitectura y componentes</w:t>
      </w:r>
    </w:p>
    <w:p>
      <w:pPr>
        <w:pStyle w:val="Heading2"/>
      </w:pPr>
      <w:r>
        <w:rPr>
          <w:b/>
          <w:color w:val="111111"/>
          <w:sz w:val="25"/>
        </w:rPr>
        <w:t>7.1. Componente de servidor (backend)</w:t>
      </w:r>
    </w:p>
    <w:p>
      <w:pPr>
        <w:jc w:val="both"/>
      </w:pPr>
      <w:r>
        <w:t>Implementa la lógica de negocio, la seguridad, el aislamiento de datos entre empresas, la comunicación en tiempo real y la integración con servicios externos (modelos de inteligencia artificial, mensajería, telefonía, almacenamiento y CRM). Expone una interfaz de programación de aplicaciones (API) y procesa los eventos entrantes mediante webhooks.</w:t>
      </w:r>
    </w:p>
    <w:p>
      <w:pPr>
        <w:pStyle w:val="Heading2"/>
      </w:pPr>
      <w:r>
        <w:rPr>
          <w:b/>
          <w:color w:val="111111"/>
          <w:sz w:val="25"/>
        </w:rPr>
        <w:t>7.2. Componente de interfaz (frontend)</w:t>
      </w:r>
    </w:p>
    <w:p>
      <w:pPr>
        <w:jc w:val="both"/>
      </w:pPr>
      <w:r>
        <w:t>Es la aplicación web con la que interactúan los usuarios. Comprende la página pública de presentación, el panel del negocio y el panel de superadministración. Ofrece modo claro y oscuro y permite a cada negocio personalizar el color de su panel.</w:t>
      </w:r>
    </w:p>
    <w:p>
      <w:pPr>
        <w:pStyle w:val="Heading2"/>
      </w:pPr>
      <w:r>
        <w:rPr>
          <w:b/>
          <w:color w:val="111111"/>
          <w:sz w:val="25"/>
        </w:rPr>
        <w:t>7.3. Base de datos</w:t>
      </w:r>
    </w:p>
    <w:p>
      <w:pPr>
        <w:jc w:val="both"/>
      </w:pPr>
      <w:r>
        <w:t>Almacena de forma estructurada toda la información del sistema (negocios, usuarios, suscripciones, contactos, conversaciones, mensajes, llamadas, configuraciones y registros), con un esquema versionado mediante migraciones.</w:t>
      </w:r>
    </w:p>
    <w:p>
      <w:pPr>
        <w:pStyle w:val="Heading2"/>
      </w:pPr>
      <w:r>
        <w:rPr>
          <w:b/>
          <w:color w:val="111111"/>
          <w:sz w:val="25"/>
        </w:rPr>
        <w:t>7.4. Infraestructura de ejecución</w:t>
      </w:r>
    </w:p>
    <w:p>
      <w:pPr>
        <w:jc w:val="both"/>
      </w:pPr>
      <w:r>
        <w:t>La obra se distribuye en contenedores que incluyen el servidor de aplicaciones, los procesos de tareas en segundo plano, el servidor web con cifrado HTTPS, la base de datos, la memoria caché y un servicio de copias de seguridad automáticas.</w:t>
      </w:r>
    </w:p>
    <w:p>
      <w:pPr>
        <w:pStyle w:val="Heading1"/>
      </w:pPr>
      <w:r>
        <w:rPr>
          <w:b/>
          <w:color w:val="1D4ED8"/>
          <w:sz w:val="30"/>
        </w:rPr>
        <w:t>8. Lenguajes de programación y tecnologías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Capa</w:t>
            </w:r>
          </w:p>
        </w:tc>
        <w:tc>
          <w:tcPr>
            <w:tcW w:type="dxa" w:w="4320"/>
          </w:tcPr>
          <w:p>
            <w:r>
              <w:rPr>
                <w:b/>
              </w:rPr>
              <w:t>Lenguajes y tecnologías</w:t>
            </w:r>
          </w:p>
        </w:tc>
      </w:tr>
      <w:tr>
        <w:tc>
          <w:tcPr>
            <w:tcW w:type="dxa" w:w="4320"/>
          </w:tcPr>
          <w:p>
            <w:r>
              <w:rPr>
                <w:b/>
              </w:rPr>
              <w:t>Backend</w:t>
            </w:r>
          </w:p>
        </w:tc>
        <w:tc>
          <w:tcPr>
            <w:tcW w:type="dxa" w:w="4320"/>
          </w:tcPr>
          <w:p>
            <w:r>
              <w:t>Python con el framework FastAPI; comunicación en tiempo real con Socket.IO; acceso a datos con SQLAlchemy; tareas en segundo plano con Celery.</w:t>
            </w:r>
          </w:p>
        </w:tc>
      </w:tr>
      <w:tr>
        <w:tc>
          <w:tcPr>
            <w:tcW w:type="dxa" w:w="4320"/>
          </w:tcPr>
          <w:p>
            <w:r>
              <w:rPr>
                <w:b/>
              </w:rPr>
              <w:t>Frontend</w:t>
            </w:r>
          </w:p>
        </w:tc>
        <w:tc>
          <w:tcPr>
            <w:tcW w:type="dxa" w:w="4320"/>
          </w:tcPr>
          <w:p>
            <w:r>
              <w:t>TypeScript y JavaScript con la biblioteca React y el empaquetador Vite; estilos con Tailwind CSS.</w:t>
            </w:r>
          </w:p>
        </w:tc>
      </w:tr>
      <w:tr>
        <w:tc>
          <w:tcPr>
            <w:tcW w:type="dxa" w:w="4320"/>
          </w:tcPr>
          <w:p>
            <w:r>
              <w:rPr>
                <w:b/>
              </w:rPr>
              <w:t>Base de datos</w:t>
            </w:r>
          </w:p>
        </w:tc>
        <w:tc>
          <w:tcPr>
            <w:tcW w:type="dxa" w:w="4320"/>
          </w:tcPr>
          <w:p>
            <w:r>
              <w:t>PostgreSQL; lenguaje SQL; migraciones con Alembic.</w:t>
            </w:r>
          </w:p>
        </w:tc>
      </w:tr>
      <w:tr>
        <w:tc>
          <w:tcPr>
            <w:tcW w:type="dxa" w:w="4320"/>
          </w:tcPr>
          <w:p>
            <w:r>
              <w:rPr>
                <w:b/>
              </w:rPr>
              <w:t>Infraestructura</w:t>
            </w:r>
          </w:p>
        </w:tc>
        <w:tc>
          <w:tcPr>
            <w:tcW w:type="dxa" w:w="4320"/>
          </w:tcPr>
          <w:p>
            <w:r>
              <w:t>Docker y Docker Compose; servidor web Caddy con HTTPS automático; memoria caché con Redis.</w:t>
            </w:r>
          </w:p>
        </w:tc>
      </w:tr>
      <w:tr>
        <w:tc>
          <w:tcPr>
            <w:tcW w:type="dxa" w:w="4320"/>
          </w:tcPr>
          <w:p>
            <w:r>
              <w:rPr>
                <w:b/>
              </w:rPr>
              <w:t>Inteligencia artificial</w:t>
            </w:r>
          </w:p>
        </w:tc>
        <w:tc>
          <w:tcPr>
            <w:tcW w:type="dxa" w:w="4320"/>
          </w:tcPr>
          <w:p>
            <w:r>
              <w:t>Modelos de lenguaje de gran tamaño (Claude, de Anthropic) orquestados por el sistema.</w:t>
            </w:r>
          </w:p>
        </w:tc>
      </w:tr>
    </w:tbl>
    <w:p/>
    <w:p>
      <w:pPr>
        <w:pStyle w:val="Heading1"/>
      </w:pPr>
      <w:r>
        <w:rPr>
          <w:b/>
          <w:color w:val="1D4ED8"/>
          <w:sz w:val="30"/>
        </w:rPr>
        <w:t>9. Módulos y modelos de datos principales</w:t>
      </w:r>
    </w:p>
    <w:p>
      <w:pPr>
        <w:jc w:val="both"/>
      </w:pPr>
      <w:r>
        <w:t>La obra organiza la información en los siguientes modelos de datos principales:</w:t>
      </w:r>
    </w:p>
    <w:p>
      <w:pPr>
        <w:pStyle w:val="ListBullet"/>
      </w:pPr>
      <w:r>
        <w:t>Negocio (tenant) y usuario.</w:t>
      </w:r>
    </w:p>
    <w:p>
      <w:pPr>
        <w:pStyle w:val="ListBullet"/>
      </w:pPr>
      <w:r>
        <w:t>Suscripción y configuración de cobros.</w:t>
      </w:r>
    </w:p>
    <w:p>
      <w:pPr>
        <w:pStyle w:val="ListBullet"/>
      </w:pPr>
      <w:r>
        <w:t>Contacto, conversación y mensaje.</w:t>
      </w:r>
    </w:p>
    <w:p>
      <w:pPr>
        <w:pStyle w:val="ListBullet"/>
      </w:pPr>
      <w:r>
        <w:t>Llamada y resumen de llamada.</w:t>
      </w:r>
    </w:p>
    <w:p>
      <w:pPr>
        <w:pStyle w:val="ListBullet"/>
      </w:pPr>
      <w:r>
        <w:t>Configuración del agente de texto y del agente de voz.</w:t>
      </w:r>
    </w:p>
    <w:p>
      <w:pPr>
        <w:pStyle w:val="ListBullet"/>
      </w:pPr>
      <w:r>
        <w:t>Publicación de Instagram.</w:t>
      </w:r>
    </w:p>
    <w:p>
      <w:pPr>
        <w:pStyle w:val="ListBullet"/>
      </w:pPr>
      <w:r>
        <w:t>Automatización y ejecución de automatización.</w:t>
      </w:r>
    </w:p>
    <w:p>
      <w:pPr>
        <w:pStyle w:val="ListBullet"/>
      </w:pPr>
      <w:r>
        <w:t>Registro de sincronización con CRM y registro de webhooks.</w:t>
      </w:r>
    </w:p>
    <w:p>
      <w:pPr>
        <w:pStyle w:val="ListBullet"/>
      </w:pPr>
      <w:r>
        <w:t>Solicitud de recuperación de contraseña.</w:t>
      </w:r>
    </w:p>
    <w:p>
      <w:pPr>
        <w:pStyle w:val="Heading1"/>
      </w:pPr>
      <w:r>
        <w:rPr>
          <w:b/>
          <w:color w:val="1D4ED8"/>
          <w:sz w:val="30"/>
        </w:rPr>
        <w:t>10. Originalidad de la obra</w:t>
      </w:r>
    </w:p>
    <w:p>
      <w:pPr>
        <w:jc w:val="both"/>
      </w:pPr>
      <w:r>
        <w:t>El elemento original y distintivo de la obra reside en su arquitectura multiempresa con aislamiento de datos forzado a nivel de aplicación, en el aprovisionamiento automático de los canales de comunicación de cada negocio (mensajería, voz y redes sociales) y en la orquestación de un motor de inteligencia artificial para responder, calificar y dar seguimiento a los clientes de cada negocio de forma autónoma. La selección, disposición y organización de estos componentes, así como el código fuente que los implementa, constituyen una creación intelectual propia del autor.</w:t>
      </w:r>
    </w:p>
    <w:p>
      <w:pPr>
        <w:pStyle w:val="Heading1"/>
      </w:pPr>
      <w:r>
        <w:rPr>
          <w:b/>
          <w:color w:val="1D4ED8"/>
          <w:sz w:val="30"/>
        </w:rPr>
        <w:t>11. Magnitud de la obra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Componente</w:t>
            </w:r>
          </w:p>
        </w:tc>
        <w:tc>
          <w:tcPr>
            <w:tcW w:type="dxa" w:w="4320"/>
          </w:tcPr>
          <w:p>
            <w:r>
              <w:rPr>
                <w:b/>
              </w:rPr>
              <w:t>Detalle</w:t>
            </w:r>
          </w:p>
        </w:tc>
      </w:tr>
      <w:tr>
        <w:tc>
          <w:tcPr>
            <w:tcW w:type="dxa" w:w="4320"/>
          </w:tcPr>
          <w:p>
            <w:r>
              <w:rPr>
                <w:b/>
              </w:rPr>
              <w:t>Backend</w:t>
            </w:r>
          </w:p>
        </w:tc>
        <w:tc>
          <w:tcPr>
            <w:tcW w:type="dxa" w:w="4320"/>
          </w:tcPr>
          <w:p>
            <w:r>
              <w:t>Python / FastAPI / SQLAlchemy / Socket.IO — aproximadamente 130 archivos.</w:t>
            </w:r>
          </w:p>
        </w:tc>
      </w:tr>
      <w:tr>
        <w:tc>
          <w:tcPr>
            <w:tcW w:type="dxa" w:w="4320"/>
          </w:tcPr>
          <w:p>
            <w:r>
              <w:rPr>
                <w:b/>
              </w:rPr>
              <w:t>Frontend</w:t>
            </w:r>
          </w:p>
        </w:tc>
        <w:tc>
          <w:tcPr>
            <w:tcW w:type="dxa" w:w="4320"/>
          </w:tcPr>
          <w:p>
            <w:r>
              <w:t>React / TypeScript / Vite — aproximadamente 60 archivos.</w:t>
            </w:r>
          </w:p>
        </w:tc>
      </w:tr>
      <w:tr>
        <w:tc>
          <w:tcPr>
            <w:tcW w:type="dxa" w:w="4320"/>
          </w:tcPr>
          <w:p>
            <w:r>
              <w:rPr>
                <w:b/>
              </w:rPr>
              <w:t>Base de datos</w:t>
            </w:r>
          </w:p>
        </w:tc>
        <w:tc>
          <w:tcPr>
            <w:tcW w:type="dxa" w:w="4320"/>
          </w:tcPr>
          <w:p>
            <w:r>
              <w:t>PostgreSQL, con alrededor de diecisiete modelos de datos y sus migraciones.</w:t>
            </w:r>
          </w:p>
        </w:tc>
      </w:tr>
      <w:tr>
        <w:tc>
          <w:tcPr>
            <w:tcW w:type="dxa" w:w="4320"/>
          </w:tcPr>
          <w:p>
            <w:r>
              <w:rPr>
                <w:b/>
              </w:rPr>
              <w:t>Volumen total estimado</w:t>
            </w:r>
          </w:p>
        </w:tc>
        <w:tc>
          <w:tcPr>
            <w:tcW w:type="dxa" w:w="4320"/>
          </w:tcPr>
          <w:p>
            <w:r>
              <w:t>Aproximadamente 15 000 líneas de código fuente.</w:t>
            </w:r>
          </w:p>
        </w:tc>
      </w:tr>
    </w:tbl>
    <w:p/>
    <w:p>
      <w:pPr>
        <w:pStyle w:val="Heading1"/>
      </w:pPr>
      <w:r>
        <w:rPr>
          <w:b/>
          <w:color w:val="1D4ED8"/>
          <w:sz w:val="30"/>
        </w:rPr>
        <w:t>12. Declaración</w:t>
      </w:r>
    </w:p>
    <w:p>
      <w:pPr>
        <w:jc w:val="both"/>
      </w:pPr>
      <w:r>
        <w:t>El autor, Italo Eduardo Reyes Cordero, declara que la obra descrita en el presente documento es de su autoría, original e individual, y que no infringe derechos de terceros. El derecho de autor sobre la obra nace con su creación; el registro ante INDECOPI tiene por objeto constituir un medio de prueba de la titularidad y de la fecha cierta de la creación.</w:t>
      </w:r>
    </w:p>
    <w:p/>
    <w:p/>
    <w:p>
      <w:pPr>
        <w:jc w:val="center"/>
      </w:pPr>
      <w:r>
        <w:rPr>
          <w:b/>
        </w:rPr>
        <w:t>_______________________________</w:t>
        <w:br/>
      </w:r>
    </w:p>
    <w:p>
      <w:pPr>
        <w:jc w:val="center"/>
      </w:pPr>
      <w:r>
        <w:rPr>
          <w:b/>
        </w:rPr>
        <w:t>Italo Eduardo Reyes Cordero</w:t>
        <w:br/>
      </w:r>
      <w:r>
        <w:t>Autor y titular de los derechos</w:t>
        <w:br/>
      </w:r>
      <w:r>
        <w:t>DNI N.º 75220834</w:t>
        <w:br/>
      </w:r>
      <w:r>
        <w:t>Huancayo, Perú,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