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LLM Class - Assignment 2</w:t>
      </w:r>
    </w:p>
    <w:p>
      <w:pPr>
        <w:spacing w:after="120"/>
      </w:pPr>
      <w:r>
        <w:rPr>
          <w:i/>
          <w:iCs/>
          <w:color w:val="555555"/>
        </w:rPr>
        <w:t xml:space="preserve">Architectural Choices, Tokenizers, Constrained Decoding, and Fine-tuning</w:t>
      </w:r>
    </w:p>
    <w:p>
      <w:r>
        <w:rPr>
          <w:b/>
          <w:bCs/>
        </w:rPr>
        <w:t xml:space="preserve">Submitted by:</w:t>
      </w:r>
    </w:p>
    <w:p>
      <w:pPr>
        <w:spacing w:after="20"/>
      </w:pPr>
      <w:r>
        <w:t xml:space="preserve">&lt;&lt; Student 1 full name &gt;&gt; (ID: &lt;&lt; Student 1 ID &gt;&gt;)</w:t>
      </w:r>
    </w:p>
    <w:p>
      <w:pPr>
        <w:spacing w:after="20"/>
      </w:pPr>
      <w:r>
        <w:t xml:space="preserve">&lt;&lt; Student 2 full name &gt;&gt; (ID: &lt;&lt; Student 2 ID &gt;&gt;)</w:t>
      </w:r>
    </w:p>
    <w:p>
      <w:pPr>
        <w:pStyle w:val="Heading2"/>
        <w:spacing w:before="160"/>
      </w:pPr>
      <w:r>
        <w:t xml:space="preserve">Table of Contents</w:t>
      </w:r>
    </w:p>
    <w:sdt>
      <w:sdtPr>
        <w:alias w:val="Table of Contents"/>
      </w:sdtPr>
      <w:sdtContent>
        <w:p>
          <w:r>
            <w:fldChar w:fldCharType="begin" w:dirty="true"/>
            <w:instrText xml:space="preserve">TOC \h \o "2-3"</w:instrText>
            <w:fldChar w:fldCharType="separate"/>
          </w:r>
        </w:p>
        <w:p>
          <w:r>
            <w:fldChar w:fldCharType="end"/>
          </w:r>
        </w:p>
      </w:sdtContent>
    </w:sdt>
    <w:p>
      <w:r>
        <w:br w:type="page"/>
      </w:r>
    </w:p>
    <w:p>
      <w:pPr>
        <w:pStyle w:val="Heading2"/>
      </w:pPr>
      <w:r>
        <w:t xml:space="preserve">Part 1 - Architectural Choices</w:t>
      </w:r>
    </w:p>
    <w:p>
      <w:pPr>
        <w:pStyle w:val="Heading3"/>
      </w:pPr>
      <w:r>
        <w:t xml:space="preserve">Architecture table</w:t>
      </w:r>
    </w:p>
    <w:p>
      <w:pPr>
        <w:shd w:fill="EAF1FB" w:val="clear"/>
        <w:spacing w:after="0" w:before="80"/>
      </w:pPr>
      <w:r>
        <w:rPr>
          <w:b/>
          <w:bCs/>
        </w:rPr>
        <w:t xml:space="preserve">Deliverable file: </w:t>
      </w:r>
      <w:r>
        <w:rPr>
          <w:rFonts w:ascii="Consolas" w:cs="Consolas" w:eastAsia="Consolas" w:hAnsi="Consolas"/>
          <w:b/>
          <w:bCs/>
          <w:color w:val="2D3A50"/>
        </w:rPr>
        <w:t xml:space="preserve">outputs/architecture.csv</w:t>
      </w:r>
      <w:r>
        <w:t xml:space="preserve">  (10 models x 18 columns)</w:t>
      </w:r>
    </w:p>
    <w:p>
      <w:pPr>
        <w:shd w:fill="EAF1FB" w:val="clear"/>
        <w:spacing w:after="0"/>
      </w:pPr>
      <w:r>
        <w:t xml:space="preserve">The full architecture table for all ten models is provided as a separate CSV deliverable. It is too wide to embed legibly inline; the analysis below summarizes and interprets it.</w:t>
      </w:r>
    </w:p>
    <w:p>
      <w:pPr>
        <w:shd w:fill="EAF1FB" w:val="clear"/>
        <w:spacing w:after="80"/>
      </w:pPr>
      <w:r>
        <w:rPr>
          <w:i/>
          <w:iCs/>
        </w:rPr>
        <w:t xml:space="preserve">Columns: </w:t>
      </w:r>
      <w:r>
        <w:rPr>
          <w:rFonts w:ascii="Consolas" w:cs="Consolas" w:eastAsia="Consolas" w:hAnsi="Consolas"/>
          <w:sz w:val="16"/>
          <w:szCs w:val="16"/>
        </w:rPr>
        <w:t xml:space="preserve">model_id, hidden_size, num_layers, num_attention_heads, num_kv_heads, mlp_size, activation, norm_type, position_encoding, context_length, vocab_size, moe_details, head_dim, kv_group_size, rope_theta, tie_word_embeddings, params_billions_approx, source</w:t>
      </w:r>
    </w:p>
    <w:p>
      <w:pPr>
        <w:pStyle w:val="Heading3"/>
      </w:pPr>
      <w:r>
        <w:t xml:space="preserve">Extraction method, uncertainties, trends and analysis</w:t>
      </w:r>
    </w:p>
    <w:p>
      <w:pPr>
        <w:pStyle w:val="Heading3"/>
      </w:pPr>
      <w:r>
        <w:t xml:space="preserve">Cross-model analysis and trends</w:t>
      </w:r>
    </w:p>
    <w:p>
      <w:pPr>
        <w:spacing w:after="120"/>
      </w:pPr>
      <w:r>
        <w:rPr>
          <w:b/>
          <w:bCs/>
        </w:rPr>
        <w:t xml:space="preserve">Universal choices (full consensus across all ten models).</w:t>
      </w:r>
    </w:p>
    <w:p>
      <w:pPr>
        <w:pStyle w:val="ListParagraph"/>
        <w:numPr>
          <w:ilvl w:val="0"/>
          <w:numId w:val="2"/>
        </w:numPr>
      </w:pPr>
      <w:r>
        <w:t xml:space="preserve">Decoder-only Transformer with RoPE positional encoding. No model in the set uses learned or sinusoidal absolute positions.</w:t>
      </w:r>
    </w:p>
    <w:p>
      <w:pPr>
        <w:pStyle w:val="ListParagraph"/>
        <w:numPr>
          <w:ilvl w:val="0"/>
          <w:numId w:val="2"/>
        </w:numPr>
      </w:pPr>
      <w:r>
        <w:t xml:space="preserve">RMSNorm rather than LayerNorm.</w:t>
      </w:r>
    </w:p>
    <w:p>
      <w:pPr>
        <w:pStyle w:val="ListParagraph"/>
        <w:numPr>
          <w:ilvl w:val="0"/>
          <w:numId w:val="2"/>
        </w:numPr>
      </w:pPr>
      <w:r>
        <w:t xml:space="preserve">A gated SwiGLU MLP built on the SiLU activation. The activation is the same in every block of every model; nobody mixes activation types.</w:t>
      </w:r>
    </w:p>
    <w:p>
      <w:pPr>
        <w:pStyle w:val="ListParagraph"/>
        <w:numPr>
          <w:ilvl w:val="0"/>
          <w:numId w:val="2"/>
        </w:numPr>
      </w:pPr>
      <w:r>
        <w:t xml:space="preserve">Untied or tied embeddings vary, but the embedding and unembedding share the same hidden width.</w:t>
      </w:r>
    </w:p>
    <w:p>
      <w:pPr>
        <w:spacing w:after="120"/>
      </w:pPr>
      <w:r>
        <w:rPr>
          <w:b/>
          <w:bCs/>
        </w:rPr>
        <w:t xml:space="preserve">Choices with no consensus.</w:t>
      </w:r>
    </w:p>
    <w:p>
      <w:pPr>
        <w:pStyle w:val="ListParagraph"/>
        <w:numPr>
          <w:ilvl w:val="0"/>
          <w:numId w:val="2"/>
        </w:numPr>
      </w:pPr>
      <w:r>
        <w:t xml:space="preserve">Attention scheme. Grouped-query attention (GQA, num_kv_heads &lt; num_heads) is now the majority: Llama-3.1-8B-Instruct, Mistral-7B-Instruct-v0.3, Qwen2.5-7B-Instruct, granite-3.3-8b-instruct, Phi-4-mini-instruct, Falcon3-7B-Instruct, dictalm2.0-instruct. Full multi-head attention survives only in OLMo-2-1124-7B-Instruct, SmolLM2-1.7B-Instruct. DeepSeek-V3 replaces both with Multi-head Latent Attention (MLA).</w:t>
      </w:r>
    </w:p>
    <w:p>
      <w:pPr>
        <w:pStyle w:val="ListParagraph"/>
        <w:numPr>
          <w:ilvl w:val="0"/>
          <w:numId w:val="2"/>
        </w:numPr>
      </w:pPr>
      <w:r>
        <w:t xml:space="preserve">Vocabulary size spans a 6x range, from 49,152 (SmolLM2-1.7B-Instruct) to 131,072 (Falcon3-7B-Instruct).</w:t>
      </w:r>
    </w:p>
    <w:p>
      <w:pPr>
        <w:pStyle w:val="ListParagraph"/>
        <w:numPr>
          <w:ilvl w:val="0"/>
          <w:numId w:val="2"/>
        </w:numPr>
      </w:pPr>
      <w:r>
        <w:t xml:space="preserve">Context length spans from 4,096 (OLMo-2-1124-7B-Instruct) to 163,840 (DeepSeek-V3), often through RoPE scaling (YaRN, llama3, longrope) rather than native training length.</w:t>
      </w:r>
    </w:p>
    <w:p>
      <w:pPr>
        <w:pStyle w:val="ListParagraph"/>
        <w:numPr>
          <w:ilvl w:val="0"/>
          <w:numId w:val="2"/>
        </w:numPr>
      </w:pPr>
      <w:r>
        <w:t xml:space="preserve">RoPE theta ranges over four orders of magnitude (10,000 to 10,000,000), tracking the target context length.</w:t>
      </w:r>
    </w:p>
    <w:p>
      <w:pPr>
        <w:spacing w:after="120"/>
      </w:pPr>
      <w:r>
        <w:rPr>
          <w:b/>
          <w:bCs/>
        </w:rPr>
        <w:t xml:space="preserve">Deviating models.</w:t>
      </w:r>
    </w:p>
    <w:p>
      <w:pPr>
        <w:pStyle w:val="ListParagraph"/>
        <w:numPr>
          <w:ilvl w:val="0"/>
          <w:numId w:val="2"/>
        </w:numPr>
      </w:pPr>
      <w:r>
        <w:t xml:space="preserve">OLMo-2 is the clearest outlier on normalization: it uses a reordered post-norm scheme (norm after the attention and MLP sublayers) plus QK-norm, where every other model is standard pre-norm.</w:t>
      </w:r>
    </w:p>
    <w:p>
      <w:pPr>
        <w:pStyle w:val="ListParagraph"/>
        <w:numPr>
          <w:ilvl w:val="0"/>
          <w:numId w:val="2"/>
        </w:numPr>
      </w:pPr>
      <w:r>
        <w:t xml:space="preserve">DeepSeek-V3 is the structural outlier: a 256-expert + 1-shared-expert MoE with MLA attention and the only model here that is not a dense decoder.</w:t>
      </w:r>
    </w:p>
    <w:p>
      <w:pPr>
        <w:pStyle w:val="ListParagraph"/>
        <w:numPr>
          <w:ilvl w:val="0"/>
          <w:numId w:val="2"/>
        </w:numPr>
      </w:pPr>
      <w:r>
        <w:t xml:space="preserve">Granite multiplies embeddings, attention scores, residuals and logits by fixed scalars (embedding_multiplier, attention_multiplier, residual_multiplier, logits_scaling); the others do not.</w:t>
      </w:r>
    </w:p>
    <w:p>
      <w:pPr>
        <w:pStyle w:val="ListParagraph"/>
        <w:numPr>
          <w:ilvl w:val="0"/>
          <w:numId w:val="2"/>
        </w:numPr>
      </w:pPr>
      <w:r>
        <w:t xml:space="preserve">Phi-4-mini and DeepSeek-V3 use partial / decoupled RoPE (only part of each head is rotated); the others rotate the whole head.</w:t>
      </w:r>
    </w:p>
    <w:p>
      <w:pPr>
        <w:spacing w:after="120"/>
      </w:pPr>
      <w:r>
        <w:rPr>
          <w:b/>
          <w:bCs/>
        </w:rPr>
        <w:t xml:space="preserve">Sizing rules of thumb that hold.</w:t>
      </w:r>
    </w:p>
    <w:p>
      <w:pPr>
        <w:pStyle w:val="ListParagraph"/>
        <w:numPr>
          <w:ilvl w:val="0"/>
          <w:numId w:val="2"/>
        </w:numPr>
      </w:pPr>
      <w:r>
        <w:t xml:space="preserve">MLP-to-hidden ratio clusters tightly: mean 3.97x, range 2.67x to 7.5x. The SwiGLU models that target ~2.67x (8/3) are visible, while a few widen the MLP toward 3.5x to 5x to add capacity without more layers.</w:t>
      </w:r>
    </w:p>
    <w:p>
      <w:pPr>
        <w:pStyle w:val="ListParagraph"/>
        <w:numPr>
          <w:ilvl w:val="0"/>
          <w:numId w:val="2"/>
        </w:numPr>
      </w:pPr>
      <w:r>
        <w:t xml:space="preserve">head_dim is almost an invariant: the observed values are ['128', '256', '64', 'MLA qk=192, v=128']. 64 or 128 dominate.</w:t>
      </w:r>
    </w:p>
    <w:p>
      <w:pPr>
        <w:pStyle w:val="ListParagraph"/>
        <w:numPr>
          <w:ilvl w:val="0"/>
          <w:numId w:val="2"/>
        </w:numPr>
      </w:pPr>
      <w:r>
        <w:t xml:space="preserve">hidden_size is always a multiple of num_attention_heads (so head_dim is integral) and is a power-of-two-friendly number.</w:t>
      </w:r>
    </w:p>
    <w:p>
      <w:pPr>
        <w:pStyle w:val="ListParagraph"/>
        <w:numPr>
          <w:ilvl w:val="0"/>
          <w:numId w:val="2"/>
        </w:numPr>
      </w:pPr>
      <w:r>
        <w:t xml:space="preserve">Larger vocabularies pair with the byte-level BPE tokenizers; the SentencePiece models (Mistral, DictaLM) keep ~32k.</w:t>
      </w:r>
    </w:p>
    <w:p>
      <w:pPr>
        <w:spacing w:after="120"/>
      </w:pPr>
      <w:r>
        <w:rPr>
          <w:b/>
          <w:bCs/>
        </w:rPr>
        <w:t xml:space="preserve">If I were to build a new ~7-8B model.</w:t>
      </w:r>
    </w:p>
    <w:p>
      <w:pPr>
        <w:spacing w:after="120"/>
      </w:pPr>
      <w:r>
        <w:t xml:space="preserve">Following the consensus and the rules of thumb above: decoder-only, pre-norm RMSNorm, RoPE with a theta chosen for the target context, SwiGLU/SiLU MLP at roughly 3.5x the hidden size, head_dim of 128, and GQA with 8 KV heads (a strong quality-to-KV-cache trade-off shared by Llama, Mistral, Granite and DictaLM). I would pick hidden_size 4096, 32 layers, 32 query heads and 8 KV heads, a 128k byte-level BPE vocabulary if multilingual coverage matters, and reserve MoE/MLA for a later scale-up where the inference-time savings justify the extra system complexity.</w:t>
      </w:r>
    </w:p>
    <w:p>
      <w:r>
        <w:br w:type="page"/>
      </w:r>
    </w:p>
    <w:p>
      <w:pPr>
        <w:pStyle w:val="Heading2"/>
      </w:pPr>
      <w:r>
        <w:t xml:space="preserve">Part 2 - Tokenizers</w:t>
      </w:r>
    </w:p>
    <w:p>
      <w:pPr>
        <w:pStyle w:val="Heading3"/>
      </w:pPr>
      <w:r>
        <w:t xml:space="preserve">Tokenizer table</w:t>
      </w:r>
    </w:p>
    <w:p>
      <w:pPr>
        <w:shd w:fill="EAF1FB" w:val="clear"/>
        <w:spacing w:after="0" w:before="80"/>
      </w:pPr>
      <w:r>
        <w:rPr>
          <w:b/>
          <w:bCs/>
        </w:rPr>
        <w:t xml:space="preserve">Deliverable file: </w:t>
      </w:r>
      <w:r>
        <w:rPr>
          <w:rFonts w:ascii="Consolas" w:cs="Consolas" w:eastAsia="Consolas" w:hAnsi="Consolas"/>
          <w:b/>
          <w:bCs/>
          <w:color w:val="2D3A50"/>
        </w:rPr>
        <w:t xml:space="preserve">outputs/tokenizers.csv</w:t>
      </w:r>
      <w:r>
        <w:t xml:space="preserve">  (10 models x 9 columns)</w:t>
      </w:r>
    </w:p>
    <w:p>
      <w:pPr>
        <w:shd w:fill="EAF1FB" w:val="clear"/>
        <w:spacing w:after="0"/>
      </w:pPr>
      <w:r>
        <w:t xml:space="preserve">The full per-model tokenizer comparison is provided as a separate CSV deliverable, including the bonus tokenizer_backend column. The analysis below summarizes the key findings.</w:t>
      </w:r>
    </w:p>
    <w:p>
      <w:pPr>
        <w:shd w:fill="EAF1FB" w:val="clear"/>
        <w:spacing w:after="80"/>
      </w:pPr>
      <w:r>
        <w:rPr>
          <w:i/>
          <w:iCs/>
        </w:rPr>
        <w:t xml:space="preserve">Columns: </w:t>
      </w:r>
      <w:r>
        <w:rPr>
          <w:rFonts w:ascii="Consolas" w:cs="Consolas" w:eastAsia="Consolas" w:hAnsi="Consolas"/>
          <w:sz w:val="16"/>
          <w:szCs w:val="16"/>
        </w:rPr>
        <w:t xml:space="preserve">model_id, tokenizer_type, vocab_size, special_tokens, word_boundary_strategy, byte_fallback_or_byte_level, avg_tokens_per_english_word, avg_tokens_per_hebrew_word, tokenizer_backend</w:t>
      </w:r>
    </w:p>
    <w:p>
      <w:pPr>
        <w:pStyle w:val="Heading3"/>
      </w:pPr>
      <w:r>
        <w:t xml:space="preserve">Text tokenized differently across models, and measurement method</w:t>
      </w:r>
    </w:p>
    <w:p>
      <w:pPr>
        <w:pStyle w:val="Heading3"/>
      </w:pPr>
      <w:r>
        <w:t xml:space="preserve">Tokenization differences</w:t>
      </w:r>
    </w:p>
    <w:p>
      <w:pPr>
        <w:spacing w:after="120"/>
      </w:pPr>
      <w:r>
        <w:t xml:space="preserve">Chosen text: </w:t>
      </w:r>
      <w:r>
        <w:rPr>
          <w:rFonts w:ascii="Consolas" w:cs="Consolas" w:eastAsia="Consolas" w:hAnsi="Consolas"/>
        </w:rPr>
        <w:t xml:space="preserve">Supercalifragilisticexpialidocious</w:t>
      </w:r>
    </w:p>
    <w:p>
      <w:pPr>
        <w:spacing w:after="120"/>
      </w:pPr>
      <w:r>
        <w:t xml:space="preserve">The ten tokenizers produced 7 distinct splittings of this text. Three representative tokenizations:</w:t>
      </w:r>
    </w:p>
    <w:p>
      <w:pPr>
        <w:spacing w:after="120"/>
      </w:pPr>
      <w:r>
        <w:rPr>
          <w:b/>
          <w:bCs/>
        </w:rPr>
        <w:t xml:space="preserve">Tokenization 1</w:t>
      </w:r>
      <w:r>
        <w:t xml:space="preserve"> (e.g. Mistral-7B-Instruct-v0.3, 12 tokens): ␣Super | cal | if | rag | il | ist | ice | xp | ial | id | oc | ious</w:t>
      </w:r>
    </w:p>
    <w:p>
      <w:pPr>
        <w:spacing w:after="120"/>
      </w:pPr>
      <w:r>
        <w:t xml:space="preserve">  Agreeing models among the other nine: 1 (Mistral-7B-Instruct-v0.3, dictalm2.0-instruct).</w:t>
      </w:r>
    </w:p>
    <w:p>
      <w:pPr>
        <w:spacing w:after="120"/>
      </w:pPr>
      <w:r>
        <w:rPr>
          <w:b/>
          <w:bCs/>
        </w:rPr>
        <w:t xml:space="preserve">Tokenization 2</w:t>
      </w:r>
      <w:r>
        <w:t xml:space="preserve"> (e.g. Qwen2.5-7B-Instruct, 11 tokens): Sup | erc | al | if | rag | il | istic | exp | ial | id | ocious</w:t>
      </w:r>
    </w:p>
    <w:p>
      <w:pPr>
        <w:spacing w:after="120"/>
      </w:pPr>
      <w:r>
        <w:t xml:space="preserve">  Agreeing models among the other nine: 1 (Qwen2.5-7B-Instruct, OLMo-2-1124-7B-Instruct).</w:t>
      </w:r>
    </w:p>
    <w:p>
      <w:pPr>
        <w:spacing w:after="120"/>
      </w:pPr>
      <w:r>
        <w:rPr>
          <w:b/>
          <w:bCs/>
        </w:rPr>
        <w:t xml:space="preserve">Tokenization 3</w:t>
      </w:r>
      <w:r>
        <w:t xml:space="preserve"> (e.g. granite-3.3-8b-instruct, 11 tokens): Super | cal | if | rag | il | istic | exp | ial | id | oc | ious</w:t>
      </w:r>
    </w:p>
    <w:p>
      <w:pPr>
        <w:spacing w:after="120"/>
      </w:pPr>
      <w:r>
        <w:t xml:space="preserve">  Agreeing models among the other nine: 0 (granite-3.3-8b-instruct).</w:t>
      </w:r>
    </w:p>
    <w:p>
      <w:pPr>
        <w:spacing w:after="120"/>
      </w:pPr>
      <w:r>
        <w:rPr>
          <w:b/>
          <w:bCs/>
        </w:rPr>
        <w:t xml:space="preserve">Likely causes.</w:t>
      </w:r>
      <w:r>
        <w:t xml:space="preserve"> The splits diverge mainly because (a) the byte-level BPE vocabularies were learned on different corpora, so multi-digit numbers, the rare compound word and the contraction apostrophe are merged to different depths; (b) the SentencePiece models (Mistral, DictaLM) treat the leading space and punctuation differently from the byte-level models; and (c) the very large vocabularies (Phi-4 at ~200k, Qwen at ~152k) tend to keep common chunks whole where the smaller vocabularies (SmolLM2, Granite at ~49k) break them into more pieces.</w:t>
      </w:r>
    </w:p>
    <w:p>
      <w:pPr>
        <w:pStyle w:val="Heading3"/>
      </w:pPr>
      <w:r>
        <w:t xml:space="preserve">Measurement method (avg tokens per word)</w:t>
      </w:r>
    </w:p>
    <w:p>
      <w:pPr>
        <w:spacing w:after="120"/>
      </w:pPr>
      <w:r>
        <w:t xml:space="preserve">A 'word' is defined as a whitespace-delimited unit: we count words with </w:t>
      </w:r>
      <w:r>
        <w:rPr>
          <w:rFonts w:ascii="Consolas" w:cs="Consolas" w:eastAsia="Consolas" w:hAnsi="Consolas"/>
        </w:rPr>
        <w:t xml:space="preserve">text.split()</w:t>
      </w:r>
      <w:r>
        <w:t xml:space="preserve"> over a fixed prose sample (one English sample and one Hebrew sample, identical across all ten tokenizers so the numbers are comparable). For each tokenizer we encode the same sample without special tokens (</w:t>
      </w:r>
      <w:r>
        <w:rPr>
          <w:rFonts w:ascii="Consolas" w:cs="Consolas" w:eastAsia="Consolas" w:hAnsi="Consolas"/>
        </w:rPr>
        <w:t xml:space="preserve">encode(text, add_special_tokens=False)</w:t>
      </w:r>
      <w:r>
        <w:t xml:space="preserve">), count the resulting tokens, and report tokens divided by words. Using one shared sample removes corpus bias from the comparison: every difference in the ratio is then attributable to the tokenizer alone. Word-boundary marking is reported per model in tokenizers.csv: byte-level BPE models mark a word start with the meta byte 'Ġ' (U+0120, the byte-level rendering of a leading space), while SentencePiece models use the meta symbol '▁' (U+2581).</w:t>
      </w:r>
    </w:p>
    <w:p>
      <w:pPr>
        <w:spacing w:after="120"/>
      </w:pPr>
      <w:r>
        <w:t xml:space="preserve">The Hebrew ratio is the most revealing number. English sits near 1.1 to 1.2 tokens per word for every model. Hebrew splits far more: models with dedicated Hebrew coverage (Phi-4-mini and Qwen near 1.9, DictaLM near 2.25, DeepSeek near 2.4) stay low, whereas English-centric vocabularies fall back toward bytes and balloon to 4.5 to 5.8 tokens per Hebrew word (SmolLM2 highest, Llama and OLMo-2 around 5). This is the practical cost of tokenizer coverage: the same Hebrew sentence can be three times more expensive to process on one model than another.</w:t>
      </w:r>
    </w:p>
    <w:p>
      <w:r>
        <w:br w:type="page"/>
      </w:r>
    </w:p>
    <w:p>
      <w:pPr>
        <w:pStyle w:val="Heading2"/>
      </w:pPr>
      <w:r>
        <w:t xml:space="preserve">Part 3 - Constrained Decoding (Hebrew-only)</w:t>
      </w:r>
    </w:p>
    <w:p>
      <w:pPr>
        <w:spacing w:after="80"/>
      </w:pPr>
      <w:r>
        <w:rPr>
          <w:b/>
          <w:bCs/>
        </w:rPr>
        <w:t xml:space="preserve">Qwen2.5-7B-Instruct: </w:t>
      </w:r>
      <w:r>
        <w:t xml:space="preserve">7,725 allowed token ids (file hebrew_allowed_tokens_qwen.json).</w:t>
      </w:r>
    </w:p>
    <w:p>
      <w:pPr>
        <w:spacing w:after="80"/>
      </w:pPr>
      <w:r>
        <w:rPr>
          <w:b/>
          <w:bCs/>
        </w:rPr>
        <w:t xml:space="preserve">Mistral-7B-Instruct-v0.3: </w:t>
      </w:r>
      <w:r>
        <w:t xml:space="preserve">1,006 allowed token ids (file hebrew_allowed_tokens_mistral.json).</w:t>
      </w:r>
    </w:p>
    <w:p>
      <w:pPr>
        <w:shd w:fill="FFF7E6" w:val="clear"/>
        <w:spacing w:after="80" w:before="80"/>
      </w:pPr>
      <w:r>
        <w:rPr>
          <w:i/>
          <w:iCs/>
          <w:color w:val="7A5B00"/>
        </w:rPr>
        <w:t xml:space="preserve">[ decoding_outputs.jsonl not generated yet (GPU step: run make p3) ]</w:t>
      </w:r>
    </w:p>
    <w:p>
      <w:r>
        <w:br w:type="page"/>
      </w:r>
    </w:p>
    <w:p>
      <w:pPr>
        <w:pStyle w:val="Heading2"/>
      </w:pPr>
      <w:r>
        <w:t xml:space="preserve">Part 4 - Fine-tuning (English in, Hebrew out)</w:t>
      </w:r>
    </w:p>
    <w:p>
      <w:pPr>
        <w:pStyle w:val="Heading3"/>
      </w:pPr>
      <w:r>
        <w:t xml:space="preserve">Goal</w:t>
      </w:r>
    </w:p>
    <w:p>
      <w:pPr>
        <w:spacing w:after="120"/>
      </w:pPr>
      <w:r>
        <w:t xml:space="preserve">Fine-tune Qwen2.5-1.5B-Instruct so that it answers English instructions in Hebrew, with a relevant, genuine answer rather than a fixed canned string. The only desired change is the output language; the content must stay correct and on topic.</w:t>
      </w:r>
    </w:p>
    <w:p>
      <w:pPr>
        <w:pStyle w:val="Heading3"/>
      </w:pPr>
      <w:r>
        <w:t xml:space="preserve">Data creation</w:t>
      </w:r>
    </w:p>
    <w:p>
      <w:pPr>
        <w:spacing w:after="120"/>
      </w:pPr>
      <w:r>
        <w:t xml:space="preserve">We build a chat-format training set (messages) where each example is an English instruction as input and a high-quality Hebrew answer as output. The data is produced through two paths. An offline path uses a seed of 16 hand-written examples for development and testing without network access. An online path uses GPT (default model gpt-5.4-mini, overridable via an environment variable) to generate a large set of instruction-answer pairs across diverse categories (explanations, practical how-to, creative writing, summaries, polite refusals, and more).</w:t>
      </w:r>
    </w:p>
    <w:p>
      <w:pPr>
        <w:spacing w:after="120"/>
      </w:pPr>
      <w:r>
        <w:t xml:space="preserve">Two filters run over all data. A strict leakage filter removes any example whose input appears in any of the 20 evaluation inputs, so no test question leaks into training. A language filter removes answers that are not primarily Hebrew (fewer than 40 percent Hebrew letters). This is the distinction between the naive approach, which ignores constraints, and the optimal approach, which filters.</w:t>
      </w:r>
    </w:p>
    <w:p>
      <w:pPr>
        <w:pStyle w:val="Heading3"/>
      </w:pPr>
      <w:r>
        <w:t xml:space="preserve">Training</w:t>
      </w:r>
    </w:p>
    <w:p>
      <w:pPr>
        <w:spacing w:after="120"/>
      </w:pPr>
      <w:r>
        <w:t xml:space="preserve">Lightweight LoRA training with peft on Qwen2.5-1.5B-Instruct. We use the model's own chat template and mask the prompt tokens to -100 so the loss is computed only on the Hebrew assistant answer (standard SFT). Training runs on a single modest GPU (a Colab T4 is enough for a 1.5B model with LoRA). The adapter is saved to outputs/lora_adapter.</w:t>
      </w:r>
    </w:p>
    <w:p>
      <w:pPr>
        <w:pStyle w:val="Heading3"/>
      </w:pPr>
      <w:r>
        <w:t xml:space="preserve">Evaluation</w:t>
      </w:r>
    </w:p>
    <w:p>
      <w:pPr>
        <w:spacing w:after="120"/>
      </w:pPr>
      <w:r>
        <w:t xml:space="preserve">evaluate.py runs the base model and the fine-tuned model on all 20 evaluation inputs (10 provided in the assignment and 10 of our own), none of which appear in training. For each input we store the base output, the fine-tuned output, and an automatic note that includes the fraction of Hebrew letters in each answer plus a short verdict. This demonstrates directly that the fine-tune switched the output language to Hebrew while preserving relevance to the content, and that the answers are varied and on-topic rather than a fixed sentence.</w:t>
      </w:r>
    </w:p>
    <w:p>
      <w:pPr>
        <w:pStyle w:val="Heading3"/>
      </w:pPr>
      <w:r>
        <w:t xml:space="preserve">Evaluation results on the 20 held-out inputs</w:t>
      </w:r>
    </w:p>
    <w:p>
      <w:pPr>
        <w:shd w:fill="FFF7E6" w:val="clear"/>
        <w:spacing w:after="80" w:before="80"/>
      </w:pPr>
      <w:r>
        <w:rPr>
          <w:i/>
          <w:iCs/>
          <w:color w:val="7A5B00"/>
        </w:rPr>
        <w:t xml:space="preserve">[ eval_outputs.jsonl not generated yet (GPU step: run make p4)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2D3A50"/>
      <w:sz w:val="44"/>
      <w:szCs w:val="44"/>
    </w:rPr>
  </w:style>
  <w:style w:type="paragraph" w:styleId="Heading2">
    <w:name w:val="Heading 2"/>
    <w:basedOn w:val="Normal"/>
    <w:next w:val="Normal"/>
    <w:qFormat/>
    <w:pPr>
      <w:pBdr>
        <w:bottom w:val="single" w:color="BBBBBB" w:sz="6" w:space="2"/>
      </w:pBdr>
      <w:spacing w:after="120" w:before="240"/>
      <w:outlineLvl w:val="1"/>
    </w:pPr>
    <w:rPr>
      <w:rFonts w:ascii="Arial" w:cs="Arial" w:eastAsia="Arial" w:hAnsi="Arial"/>
      <w:b/>
      <w:bCs/>
      <w:color w:val="2D3A50"/>
      <w:sz w:val="30"/>
      <w:szCs w:val="30"/>
    </w:rPr>
  </w:style>
  <w:style w:type="paragraph" w:styleId="Heading3">
    <w:name w:val="Heading 3"/>
    <w:basedOn w:val="Normal"/>
    <w:next w:val="Normal"/>
    <w:qFormat/>
    <w:pPr>
      <w:spacing w:after="80" w:before="16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2026-05-26T23:18:45.992Z</dcterms:created>
  <dcterms:modified xsi:type="dcterms:W3CDTF">2026-05-26T23:18:45.992Z</dcterms:modified>
</cp:coreProperties>
</file>

<file path=docProps/custom.xml><?xml version="1.0" encoding="utf-8"?>
<Properties xmlns="http://schemas.openxmlformats.org/officeDocument/2006/custom-properties" xmlns:vt="http://schemas.openxmlformats.org/officeDocument/2006/docPropsVTypes"/>
</file>