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07BB" w14:textId="3B42A89F" w:rsidR="00FE5984" w:rsidRDefault="004B787A" w:rsidP="00471539">
      <w:pPr>
        <w:pStyle w:val="a"/>
        <w:bidi w:val="0"/>
        <w:rPr>
          <w:lang w:val="en-GB"/>
        </w:rPr>
      </w:pPr>
      <w:r>
        <w:rPr>
          <w:rFonts w:hint="cs"/>
          <w:rtl/>
          <w:lang w:val="en-GB"/>
        </w:rPr>
        <w:t>הלל כהן</w:t>
      </w:r>
    </w:p>
    <w:p w14:paraId="7CFE9813" w14:textId="31100DC2" w:rsidR="004B787A" w:rsidRDefault="004B787A" w:rsidP="00785412">
      <w:pPr>
        <w:pStyle w:val="Title"/>
        <w:bidi w:val="0"/>
        <w:rPr>
          <w:b/>
          <w:rtl/>
          <w:lang w:val="en-GB"/>
        </w:rPr>
      </w:pPr>
      <w:r w:rsidRPr="004B787A">
        <w:rPr>
          <w:b/>
          <w:rtl/>
          <w:lang w:val="en-GB"/>
        </w:rPr>
        <w:t>פישי אישפאדה</w:t>
      </w:r>
    </w:p>
    <w:p w14:paraId="03AFB82C" w14:textId="77777777" w:rsidR="00785412" w:rsidRPr="00785412" w:rsidRDefault="00785412" w:rsidP="00785412">
      <w:pPr>
        <w:pStyle w:val="Subtitle"/>
        <w:bidi w:val="0"/>
        <w:rPr>
          <w:lang w:val="en-IL"/>
        </w:rPr>
      </w:pPr>
      <w:r w:rsidRPr="00785412">
        <w:rPr>
          <w:b/>
          <w:bCs/>
          <w:rtl/>
          <w:lang w:val="en-GB"/>
        </w:rPr>
        <w:t>הדג בעל החרב וכשרותו</w:t>
      </w:r>
    </w:p>
    <w:p w14:paraId="74354ECC" w14:textId="77777777" w:rsidR="00454051" w:rsidRDefault="00B142C1" w:rsidP="00454051">
      <w:pPr>
        <w:spacing w:before="240"/>
        <w:ind w:firstLine="0"/>
        <w:rPr>
          <w:rtl/>
          <w:lang w:val="en-GB"/>
        </w:rPr>
      </w:pPr>
      <w:r w:rsidRPr="00B142C1">
        <w:rPr>
          <w:rtl/>
          <w:lang w:val="en-GB"/>
        </w:rPr>
        <w:t>דג החרב – האם כשר או טמא? פולמוס גדול שלא הוכרע מלפני 60 שנה? שאלה טובה!</w:t>
      </w:r>
    </w:p>
    <w:p w14:paraId="109F4B2F" w14:textId="42272EA5" w:rsidR="00B142C1" w:rsidRPr="00B142C1" w:rsidRDefault="00B142C1" w:rsidP="00454051">
      <w:pPr>
        <w:rPr>
          <w:rtl/>
          <w:lang w:val="en-GB"/>
        </w:rPr>
      </w:pPr>
      <w:r w:rsidRPr="00B142C1">
        <w:rPr>
          <w:rtl/>
          <w:lang w:val="en-GB"/>
        </w:rPr>
        <w:t xml:space="preserve">לפני כארבע שנים, כשגרתי באמריקה עלתה לי שאלה זו לראשונה. ראיתי </w:t>
      </w:r>
      <w:r w:rsidR="00685FA2" w:rsidRPr="00B142C1">
        <w:rPr>
          <w:rtl/>
          <w:lang w:val="en-GB"/>
        </w:rPr>
        <w:t xml:space="preserve">במכולת </w:t>
      </w:r>
      <w:r w:rsidRPr="00B142C1">
        <w:rPr>
          <w:rtl/>
          <w:lang w:val="en-GB"/>
        </w:rPr>
        <w:t>פילה דג חרב וכחובב בישול שאלתי את אבי אם דג זה כשר. תשובתו הייתה שלמיטב ידיעתו הדג אינו כשר. כמו עקשן טוב חיפשתי תשובה לשאלתי (ב</w:t>
      </w:r>
      <w:r w:rsidR="00882518">
        <w:rPr>
          <w:rFonts w:hint="cs"/>
          <w:rtl/>
          <w:lang w:val="en-GB"/>
        </w:rPr>
        <w:t>אינטרנט</w:t>
      </w:r>
      <w:r w:rsidRPr="00B142C1">
        <w:rPr>
          <w:rtl/>
          <w:lang w:val="en-GB"/>
        </w:rPr>
        <w:t>)</w:t>
      </w:r>
      <w:r w:rsidR="00A4199F">
        <w:rPr>
          <w:rFonts w:hint="cs"/>
          <w:rtl/>
          <w:lang w:val="en-GB"/>
        </w:rPr>
        <w:t xml:space="preserve"> </w:t>
      </w:r>
      <w:r w:rsidRPr="00B142C1">
        <w:rPr>
          <w:rtl/>
          <w:lang w:val="en-GB"/>
        </w:rPr>
        <w:t>ומצאתי שהדג נחשב בעבר לכשר אך הוטמא לפני כ60 שנה. בזמנו תהיתי לעצמי – מדוע? אך החלטתי להניח לזה. עד לשנה האחרונה, כשעלה בראשי שאולי עכשיו בתור בחור ישיבה אוכל לברר את התשובה. וכך, באותה רוח עקשנית מלפני ארבע שנים, אתאר את המקרה, אציג את הטיעונים הכללים ואת הטיעון הרעיוני שלי בשאלת כשרותו של דג החרב.</w:t>
      </w:r>
    </w:p>
    <w:p w14:paraId="44D10320" w14:textId="7476D2B8" w:rsidR="00785412" w:rsidRDefault="0004043A" w:rsidP="0004043A">
      <w:pPr>
        <w:pStyle w:val="Heading2"/>
        <w:rPr>
          <w:rtl/>
          <w:lang w:val="en-GB"/>
        </w:rPr>
      </w:pPr>
      <w:r w:rsidRPr="0004043A">
        <w:rPr>
          <w:rtl/>
          <w:lang w:val="en-GB"/>
        </w:rPr>
        <w:t>סקירה כללית</w:t>
      </w:r>
      <w:r w:rsidR="00676881" w:rsidRPr="00E92C74">
        <w:rPr>
          <w:rStyle w:val="FootnoteReference"/>
          <w:b w:val="0"/>
          <w:bCs w:val="0"/>
          <w:lang w:val="en-GB"/>
        </w:rPr>
        <w:footnoteReference w:id="1"/>
      </w:r>
    </w:p>
    <w:p w14:paraId="2A7D54E1" w14:textId="35E0B658" w:rsidR="001A6028" w:rsidRPr="001A6028" w:rsidRDefault="001A6028" w:rsidP="008A195F">
      <w:pPr>
        <w:ind w:firstLine="0"/>
        <w:rPr>
          <w:rtl/>
          <w:lang w:val="en-GB"/>
        </w:rPr>
      </w:pPr>
      <w:r w:rsidRPr="001A6028">
        <w:rPr>
          <w:rtl/>
          <w:lang w:val="en-GB"/>
        </w:rPr>
        <w:t>שאלת כשרותו של דג החרב מתחילה בשאלת כשרותם של דגים עם מאפיין ייחודי של קשקשים. הגמרא דנה בעניין כשרותם של דגים שמצב הקשקשת שעל גופם אינו קבוע כמו אצל רוב הדגים אלא כאלו שמגדלים קשקשים במהלך חייהם או משילים אותם כשהם עולים אל היבשה: </w:t>
      </w:r>
    </w:p>
    <w:p w14:paraId="71891CC2" w14:textId="58183E33" w:rsidR="001A6028" w:rsidRPr="001A6028" w:rsidRDefault="001A6028" w:rsidP="00803980">
      <w:pPr>
        <w:pStyle w:val="Quote"/>
        <w:rPr>
          <w:rtl/>
          <w:lang w:val="en-GB"/>
        </w:rPr>
      </w:pPr>
      <w:r w:rsidRPr="001A6028">
        <w:rPr>
          <w:rtl/>
          <w:lang w:val="en-GB"/>
        </w:rPr>
        <w:lastRenderedPageBreak/>
        <w:t>תנו רבנן: אין לו עכשיו ועתיד לגדל לאחר זמן, כגון הסולתנית והעפיץ הרי זה מותר; יש לו עכשיו ועתיד להשיר בשעה שעולה מן הים, כגון אקונס ואפונס, כטספטייס ואכספטייס ואוטנס, מותר</w:t>
      </w:r>
      <w:r w:rsidR="00113FCB">
        <w:rPr>
          <w:rFonts w:hint="cs"/>
          <w:rtl/>
          <w:lang w:val="en-GB"/>
        </w:rPr>
        <w:t>.</w:t>
      </w:r>
      <w:r w:rsidR="00113FCB">
        <w:rPr>
          <w:rStyle w:val="FootnoteReference"/>
          <w:rtl/>
          <w:lang w:val="en-GB"/>
        </w:rPr>
        <w:footnoteReference w:id="2"/>
      </w:r>
    </w:p>
    <w:p w14:paraId="77A2AB3B" w14:textId="00C2B69D" w:rsidR="001A6028" w:rsidRPr="001A6028" w:rsidRDefault="001A6028" w:rsidP="001A6028">
      <w:pPr>
        <w:ind w:firstLine="0"/>
        <w:rPr>
          <w:rtl/>
          <w:lang w:val="en-GB"/>
        </w:rPr>
      </w:pPr>
      <w:r w:rsidRPr="001A6028">
        <w:rPr>
          <w:rtl/>
          <w:lang w:val="en-GB"/>
        </w:rPr>
        <w:t>אז מה בנוגע לשאלת כשרותו של דג החרב</w:t>
      </w:r>
      <w:r w:rsidR="00803980">
        <w:rPr>
          <w:rFonts w:hint="cs"/>
          <w:rtl/>
          <w:lang w:val="en-GB"/>
        </w:rPr>
        <w:t>?</w:t>
      </w:r>
    </w:p>
    <w:p w14:paraId="4C883671" w14:textId="7476D33B" w:rsidR="001A6028" w:rsidRPr="001A6028" w:rsidRDefault="001A6028" w:rsidP="009F5B3A">
      <w:pPr>
        <w:rPr>
          <w:rtl/>
          <w:lang w:val="en-GB"/>
        </w:rPr>
      </w:pPr>
      <w:r w:rsidRPr="001A6028">
        <w:rPr>
          <w:rtl/>
          <w:lang w:val="en-GB"/>
        </w:rPr>
        <w:t>הפסיקה המפורסמת ביותר בשאלת כשרותו של דג החרב מצויה בחיבור "הכנסת הגדולה" לרב חיים בנבנישתי</w:t>
      </w:r>
      <w:r w:rsidR="00070992">
        <w:rPr>
          <w:rStyle w:val="FootnoteReference"/>
          <w:rtl/>
          <w:lang w:val="en-GB"/>
        </w:rPr>
        <w:footnoteReference w:id="3"/>
      </w:r>
      <w:r w:rsidRPr="001A6028">
        <w:rPr>
          <w:rtl/>
          <w:lang w:val="en-GB"/>
        </w:rPr>
        <w:t xml:space="preserve"> שבו הוא התיר את אכילתו של דג החרב על בסיס מסורת מקובלת. כך הוא כתב שם: </w:t>
      </w:r>
    </w:p>
    <w:p w14:paraId="50C632E8" w14:textId="4EC043F7" w:rsidR="001A6028" w:rsidRPr="001A6028" w:rsidRDefault="001A6028" w:rsidP="00D834D3">
      <w:pPr>
        <w:pStyle w:val="Quote"/>
        <w:rPr>
          <w:rtl/>
          <w:lang w:val="en-GB"/>
        </w:rPr>
      </w:pPr>
      <w:r w:rsidRPr="001A6028">
        <w:rPr>
          <w:rtl/>
          <w:lang w:val="en-GB"/>
        </w:rPr>
        <w:t>מנהג פשוט בכל ישראל לאכול דג בעל החרב הנקרא בלעז פישי אישפאדה אף על פי שאין לו קשקשת, מפני שאומרים שבשעה שעולָה מן הים מחמת כעסה מתנועעת ומשלכת קשקשותיה.</w:t>
      </w:r>
      <w:r w:rsidR="00D420C1">
        <w:rPr>
          <w:rStyle w:val="FootnoteReference"/>
          <w:rtl/>
          <w:lang w:val="en-GB"/>
        </w:rPr>
        <w:footnoteReference w:id="4"/>
      </w:r>
    </w:p>
    <w:p w14:paraId="192E00E0" w14:textId="4910754D" w:rsidR="001A6028" w:rsidRPr="001A6028" w:rsidRDefault="001A6028" w:rsidP="006273A7">
      <w:pPr>
        <w:rPr>
          <w:rtl/>
          <w:lang w:val="en-GB"/>
        </w:rPr>
      </w:pPr>
      <w:r w:rsidRPr="001A6028">
        <w:rPr>
          <w:rtl/>
          <w:lang w:val="en-GB"/>
        </w:rPr>
        <w:t>והוא מביא גם ראיה כי ניתן להכשיר את הדג על פי מאפיין זה: </w:t>
      </w:r>
    </w:p>
    <w:p w14:paraId="17A4A92B" w14:textId="20B37ED6" w:rsidR="001A6028" w:rsidRPr="006273A7" w:rsidRDefault="001A6028" w:rsidP="006273A7">
      <w:pPr>
        <w:pStyle w:val="Quote"/>
        <w:rPr>
          <w:rtl/>
          <w:lang w:val="en-IL"/>
        </w:rPr>
      </w:pPr>
      <w:r w:rsidRPr="001A6028">
        <w:rPr>
          <w:rtl/>
          <w:lang w:val="en-GB"/>
        </w:rPr>
        <w:t>שמעתי ששר אחד משנה למלך שאל את מ"ז על זה היאך אוכלין אותו. השיב לו שמסירן בשעה שעולה מן הים ויהי כמצחק. מה עשה מ"ז? הוליכו לבית המצודה במקום שצדים הדג הזה, ולקח כמו אמה בגד שחור והניחו במכמורת שהיו צדין דג זה, וצד אחד מהם, ואחר שצדוהו הסיר הבגד השחור ומצאו מלא קשקשים, והראהו למשנה – אז אמר אתם אמת וקבלתכם אמת.</w:t>
      </w:r>
      <w:r w:rsidR="00D420C1">
        <w:rPr>
          <w:rStyle w:val="FootnoteReference"/>
          <w:rtl/>
          <w:lang w:val="en-IL"/>
        </w:rPr>
        <w:footnoteReference w:id="5"/>
      </w:r>
    </w:p>
    <w:p w14:paraId="009F121D" w14:textId="2AB2A2D4" w:rsidR="001A6028" w:rsidRPr="001A6028" w:rsidRDefault="001A6028" w:rsidP="00852DEB">
      <w:pPr>
        <w:ind w:firstLine="0"/>
        <w:rPr>
          <w:rtl/>
          <w:lang w:val="en-GB"/>
        </w:rPr>
      </w:pPr>
      <w:r w:rsidRPr="001A6028">
        <w:rPr>
          <w:rtl/>
          <w:lang w:val="en-GB"/>
        </w:rPr>
        <w:t>על יסוד פסיקה זו התקבל בקהילות ישראל לאכול את דג החרב עד לפני כשישים שנה כשיצאה פסיקתו השונה של הרב משה דוד טנדלר</w:t>
      </w:r>
      <w:r w:rsidR="00857BA4">
        <w:rPr>
          <w:rStyle w:val="FootnoteReference"/>
          <w:rtl/>
          <w:lang w:val="en-GB"/>
        </w:rPr>
        <w:footnoteReference w:id="6"/>
      </w:r>
      <w:r w:rsidRPr="001A6028">
        <w:rPr>
          <w:rtl/>
          <w:lang w:val="en-GB"/>
        </w:rPr>
        <w:t xml:space="preserve"> שטען כי דג החרב אינו כשר וכן כי הדג שעליו נכתב ב"הכנסת הגדולה" הוא בכלל דג אחר. בעקבות פסיקה זו החל קמפיין הלכתי של רבנים שונים בהובלתו המרכזית של הרב טנדלר נגד </w:t>
      </w:r>
      <w:r w:rsidRPr="001A6028">
        <w:rPr>
          <w:rtl/>
          <w:lang w:val="en-GB"/>
        </w:rPr>
        <w:lastRenderedPageBreak/>
        <w:t>אכילת דג החרב</w:t>
      </w:r>
      <w:r w:rsidR="00D270CC">
        <w:rPr>
          <w:rFonts w:hint="cs"/>
          <w:rtl/>
          <w:lang w:val="en-GB"/>
        </w:rPr>
        <w:t>.</w:t>
      </w:r>
    </w:p>
    <w:p w14:paraId="74A5334E" w14:textId="77777777" w:rsidR="00584707" w:rsidRDefault="001A6028" w:rsidP="00584707">
      <w:pPr>
        <w:rPr>
          <w:lang w:val="en-GB"/>
        </w:rPr>
      </w:pPr>
      <w:r w:rsidRPr="001A6028">
        <w:rPr>
          <w:rtl/>
          <w:lang w:val="en-GB"/>
        </w:rPr>
        <w:t xml:space="preserve">אז אם לכתחילה הדג הוכשר על ידי </w:t>
      </w:r>
      <w:r w:rsidR="00E173CF">
        <w:rPr>
          <w:rFonts w:hint="cs"/>
          <w:rtl/>
          <w:lang w:val="en-GB"/>
        </w:rPr>
        <w:t>"</w:t>
      </w:r>
      <w:r w:rsidRPr="001A6028">
        <w:rPr>
          <w:rtl/>
          <w:lang w:val="en-GB"/>
        </w:rPr>
        <w:t>הכנסת הגדולה" למה היה מקום להטיל ספק בפסיקתו? בעיקר לאור העובדה ש</w:t>
      </w:r>
      <w:r w:rsidR="00E173CF">
        <w:rPr>
          <w:rFonts w:hint="cs"/>
          <w:rtl/>
          <w:lang w:val="en-GB"/>
        </w:rPr>
        <w:t>"</w:t>
      </w:r>
      <w:r w:rsidRPr="001A6028">
        <w:rPr>
          <w:rtl/>
          <w:lang w:val="en-GB"/>
        </w:rPr>
        <w:t>הכנסת הגדולה" אמר זאת באופן גורף ואפילו השתמש בשם הספרדי (שפת דיבורו) פישי אישפאדה לדג החרב. </w:t>
      </w:r>
    </w:p>
    <w:p w14:paraId="45335C91" w14:textId="1AFB5708" w:rsidR="001A6028" w:rsidRPr="001A6028" w:rsidRDefault="001A6028" w:rsidP="00584707">
      <w:pPr>
        <w:rPr>
          <w:rtl/>
          <w:lang w:val="en-GB"/>
        </w:rPr>
      </w:pPr>
      <w:r w:rsidRPr="001A6028">
        <w:rPr>
          <w:rtl/>
          <w:lang w:val="en-GB"/>
        </w:rPr>
        <w:t>האיסור הראשון שהוטל על אכילת דג החרב עולה מרשימת הדגים הכשרים שהציג הרב טנדלר מטעם ארגון הכשרות היהוד</w:t>
      </w:r>
      <w:r w:rsidR="00554EF6">
        <w:rPr>
          <w:rFonts w:hint="cs"/>
          <w:rtl/>
          <w:lang w:val="en-GB"/>
        </w:rPr>
        <w:t xml:space="preserve">י </w:t>
      </w:r>
      <w:r w:rsidR="00554EF6">
        <w:rPr>
          <w:lang w:val="en-GB"/>
        </w:rPr>
        <w:t>OU</w:t>
      </w:r>
      <w:r w:rsidR="00554EF6">
        <w:rPr>
          <w:rFonts w:hint="cs"/>
          <w:rtl/>
          <w:lang w:val="en-GB"/>
        </w:rPr>
        <w:t xml:space="preserve"> (</w:t>
      </w:r>
      <w:r w:rsidR="00554EF6">
        <w:rPr>
          <w:lang w:val="en-GB"/>
        </w:rPr>
        <w:t>Orthodox Union</w:t>
      </w:r>
      <w:r w:rsidR="00554EF6">
        <w:rPr>
          <w:rFonts w:hint="cs"/>
          <w:rtl/>
          <w:lang w:val="en-GB"/>
        </w:rPr>
        <w:t>)</w:t>
      </w:r>
      <w:r w:rsidRPr="001A6028">
        <w:rPr>
          <w:rtl/>
          <w:lang w:val="en-GB"/>
        </w:rPr>
        <w:t>, שם הוא כולל את דג החרב ברשימת הדגים האסורים. מספר שנים לאחר מכן, בשנת תשכ"ב, נכתבה תשובת הרב איסר יהודה אונטרמן</w:t>
      </w:r>
      <w:r w:rsidR="00BD2BF2">
        <w:rPr>
          <w:rStyle w:val="FootnoteReference"/>
          <w:rtl/>
          <w:lang w:val="en-GB"/>
        </w:rPr>
        <w:footnoteReference w:id="7"/>
      </w:r>
      <w:r w:rsidRPr="001A6028">
        <w:rPr>
          <w:rtl/>
          <w:lang w:val="en-GB"/>
        </w:rPr>
        <w:t xml:space="preserve"> שבה התיר את אכילת הדג. על תשובה זו נשלחה תגובתו של הרב טנדלר במכתב ששלח לרב אונטרמן, שבו חזר על עמדתו האוסרת את אכילת דג החרב – מכתב שהיה הטריגר לפולמוס גדול מאוד בין רבני ארה"ב לרבני ארץ ישראל בשאלת כשרותו של הדג.</w:t>
      </w:r>
    </w:p>
    <w:p w14:paraId="36A24CC7" w14:textId="7B244FDD" w:rsidR="00E668F6" w:rsidRPr="00E668F6" w:rsidRDefault="00E668F6" w:rsidP="00E668F6">
      <w:pPr>
        <w:pStyle w:val="Heading2"/>
        <w:rPr>
          <w:lang w:val="en-IL"/>
        </w:rPr>
      </w:pPr>
      <w:r w:rsidRPr="00E668F6">
        <w:rPr>
          <w:rtl/>
          <w:lang w:val="en-GB"/>
        </w:rPr>
        <w:t>טיעוני הצדדים לפולמוס – בעד ונגד</w:t>
      </w:r>
    </w:p>
    <w:p w14:paraId="5BDE903F" w14:textId="0036293F" w:rsidR="00E42CF9" w:rsidRPr="00E42CF9" w:rsidRDefault="00E42CF9" w:rsidP="00484CB7">
      <w:pPr>
        <w:ind w:firstLine="0"/>
        <w:rPr>
          <w:rtl/>
          <w:lang w:val="en-IL"/>
        </w:rPr>
      </w:pPr>
      <w:r w:rsidRPr="00E42CF9">
        <w:rPr>
          <w:rtl/>
          <w:lang w:val="en-IL"/>
        </w:rPr>
        <w:t>בפסיקתו הראשונה של הרב טנדלר לאסור את דג החרב (בעת שהכניסו לרשימת הדגים האסורים) הוא לא הניח טעם לדבריו. אולם בשנת תשכ"ו, בעקבות מאמר של הרב שמעון אפרתי</w:t>
      </w:r>
      <w:r w:rsidR="0062232C">
        <w:rPr>
          <w:rStyle w:val="FootnoteReference"/>
          <w:rtl/>
          <w:lang w:val="en-IL"/>
        </w:rPr>
        <w:footnoteReference w:id="8"/>
      </w:r>
      <w:r w:rsidRPr="00E42CF9">
        <w:rPr>
          <w:rtl/>
          <w:lang w:val="en-IL"/>
        </w:rPr>
        <w:t xml:space="preserve"> בירחון "הפרדס"</w:t>
      </w:r>
      <w:r w:rsidR="00831B4D">
        <w:rPr>
          <w:rStyle w:val="FootnoteReference"/>
          <w:rtl/>
          <w:lang w:val="en-IL"/>
        </w:rPr>
        <w:footnoteReference w:id="9"/>
      </w:r>
      <w:r w:rsidRPr="00E42CF9">
        <w:rPr>
          <w:rtl/>
          <w:lang w:val="en-IL"/>
        </w:rPr>
        <w:t xml:space="preserve"> שהניח טעמים לכשרותו של דג החרב, הציג הרב טנדלר בגיליון הבא של הירחון את טיעוני הנגד לשיטתו המתירה של הרב איסר יהודה אונטרמן התומכים באיסור אכילת דג החרב. במאמרו זה הוא מציג תחילה את טעמי ההיתר של הרב אונטרמן כדלהלן: </w:t>
      </w:r>
    </w:p>
    <w:p w14:paraId="273D95DA" w14:textId="4572DC54" w:rsidR="00E42CF9" w:rsidRPr="00E42CF9" w:rsidRDefault="00E42CF9" w:rsidP="0040024F">
      <w:pPr>
        <w:pStyle w:val="ListParagraph"/>
        <w:rPr>
          <w:rtl/>
          <w:lang w:val="en-IL"/>
        </w:rPr>
      </w:pPr>
      <w:r w:rsidRPr="00E42CF9">
        <w:rPr>
          <w:rtl/>
          <w:lang w:val="en-IL"/>
        </w:rPr>
        <w:t>פסיקתו של ה"כנסת הגדולה" שלפיה הדג מותר לאכילה ופסיקותיהם של רבנים שעשו שימוש בפסיקתו להתיר את אכילת הדג.</w:t>
      </w:r>
    </w:p>
    <w:p w14:paraId="29918868" w14:textId="2556C524" w:rsidR="00E42CF9" w:rsidRPr="00E42CF9" w:rsidRDefault="00E42CF9" w:rsidP="0040024F">
      <w:pPr>
        <w:pStyle w:val="ListParagraph"/>
        <w:rPr>
          <w:rtl/>
          <w:lang w:val="en-IL"/>
        </w:rPr>
      </w:pPr>
      <w:r w:rsidRPr="00E42CF9">
        <w:rPr>
          <w:rtl/>
          <w:lang w:val="en-IL"/>
        </w:rPr>
        <w:t xml:space="preserve">הטענה כי באנציקלופדיה התלמודית דג החרב נזכר כדג שקשקשיו נעלמים </w:t>
      </w:r>
      <w:r w:rsidRPr="00E42CF9">
        <w:rPr>
          <w:rtl/>
          <w:lang w:val="en-IL"/>
        </w:rPr>
        <w:lastRenderedPageBreak/>
        <w:t>בבגרותו וניתן לזהותו כדג ה"אכספטיאס" (בתרגום ליוונית או לטינית) וכי זהו דג שהתירה הגמרא במפורש לאכול במסכת עבודה זרה ("יש לו עכשיו ועתיד להשיר בשעה שעולה מן הים, כגון אקונס ואפונס, כטספטייס ו</w:t>
      </w:r>
      <w:r w:rsidRPr="00E42CF9">
        <w:rPr>
          <w:b/>
          <w:bCs/>
          <w:rtl/>
          <w:lang w:val="en-IL"/>
        </w:rPr>
        <w:t>אכספטייס</w:t>
      </w:r>
      <w:r w:rsidRPr="00E42CF9">
        <w:rPr>
          <w:rtl/>
          <w:lang w:val="en-IL"/>
        </w:rPr>
        <w:t xml:space="preserve"> ואוטנס מותר", כמצוטט מעלה). </w:t>
      </w:r>
    </w:p>
    <w:p w14:paraId="363D92DD" w14:textId="24B85269" w:rsidR="00E42CF9" w:rsidRPr="00E42CF9" w:rsidRDefault="00E42CF9" w:rsidP="0040024F">
      <w:pPr>
        <w:pStyle w:val="ListParagraph"/>
        <w:rPr>
          <w:rtl/>
          <w:lang w:val="en-IL"/>
        </w:rPr>
      </w:pPr>
      <w:r w:rsidRPr="00E42CF9">
        <w:rPr>
          <w:rtl/>
          <w:lang w:val="en-IL"/>
        </w:rPr>
        <w:t>הטענה שלפיה אנציקלופדיית בריטניקה סיווגה את דג החרב כדג ממשפחת דגי המקרל, שהיא משפחת דגים הידועה ככשרה. </w:t>
      </w:r>
    </w:p>
    <w:p w14:paraId="45044AD3" w14:textId="3C4C5A54" w:rsidR="00E42CF9" w:rsidRPr="00E42CF9" w:rsidRDefault="00E42CF9" w:rsidP="0040024F">
      <w:pPr>
        <w:pStyle w:val="ListParagraph"/>
        <w:rPr>
          <w:rtl/>
          <w:lang w:val="en-IL"/>
        </w:rPr>
      </w:pPr>
      <w:r w:rsidRPr="00E42CF9">
        <w:rPr>
          <w:rtl/>
          <w:lang w:val="en-IL"/>
        </w:rPr>
        <w:t>על יסוד מסורת ישראל שהתקבלה, כפי שנהוג בעניין כשרותם של עופות (עוף מוחזק ככשר על פי מסורת הדורות</w:t>
      </w:r>
      <w:r w:rsidR="007810E6">
        <w:rPr>
          <w:rtl/>
          <w:lang w:val="en-IL"/>
        </w:rPr>
        <w:t xml:space="preserve"> </w:t>
      </w:r>
      <w:r w:rsidRPr="00E42CF9">
        <w:rPr>
          <w:rtl/>
          <w:lang w:val="en-IL"/>
        </w:rPr>
        <w:t>וכך גם יש לנהוג גם במסורת כשרותם של דגים).</w:t>
      </w:r>
    </w:p>
    <w:p w14:paraId="16027D1D" w14:textId="7971F9D9" w:rsidR="006024AC" w:rsidRDefault="00E42CF9" w:rsidP="006024AC">
      <w:pPr>
        <w:ind w:firstLine="0"/>
        <w:rPr>
          <w:rtl/>
          <w:lang w:val="en-IL"/>
        </w:rPr>
      </w:pPr>
      <w:r w:rsidRPr="00E42CF9">
        <w:rPr>
          <w:rtl/>
          <w:lang w:val="en-IL"/>
        </w:rPr>
        <w:t>כנגד טיעונים וטעמים אלו הציג הרב טנדלר שני טיעונים מרכזיים אלו:</w:t>
      </w:r>
    </w:p>
    <w:p w14:paraId="3C395C40" w14:textId="1EDB55C9" w:rsidR="006024AC" w:rsidRPr="006024AC" w:rsidRDefault="00E42CF9" w:rsidP="006024AC">
      <w:pPr>
        <w:pStyle w:val="ListParagraph"/>
        <w:numPr>
          <w:ilvl w:val="0"/>
          <w:numId w:val="5"/>
        </w:numPr>
        <w:rPr>
          <w:rtl/>
          <w:lang w:val="en-IL"/>
        </w:rPr>
      </w:pPr>
      <w:r w:rsidRPr="006024AC">
        <w:rPr>
          <w:rtl/>
          <w:lang w:val="en-IL"/>
        </w:rPr>
        <w:t>האחד שלפיו הדג שעליו דיבר הרב בנבנישתי ב"הכנסת הגדולה" אינו דג החרב אלא דג המפרשן</w:t>
      </w:r>
      <w:r w:rsidR="001A5BC2">
        <w:rPr>
          <w:rStyle w:val="FootnoteReference"/>
          <w:rtl/>
          <w:lang w:val="en-IL"/>
        </w:rPr>
        <w:footnoteReference w:id="10"/>
      </w:r>
      <w:r w:rsidRPr="006024AC">
        <w:rPr>
          <w:rtl/>
          <w:lang w:val="en-IL"/>
        </w:rPr>
        <w:t xml:space="preserve"> הדומה לו במראה ונחשב לכשר על אף שאינו נולד עם קשקשים מפני שמגדל את קשקשיו במהלך חייו.</w:t>
      </w:r>
    </w:p>
    <w:p w14:paraId="48577D8C" w14:textId="3D7979E7" w:rsidR="00E42CF9" w:rsidRPr="00E42CF9" w:rsidRDefault="00E42CF9" w:rsidP="00E42CF9">
      <w:pPr>
        <w:pStyle w:val="ListParagraph"/>
        <w:rPr>
          <w:rtl/>
          <w:lang w:val="en-IL"/>
        </w:rPr>
      </w:pPr>
      <w:r w:rsidRPr="00CE75DE">
        <w:rPr>
          <w:rtl/>
          <w:lang w:val="en-IL"/>
        </w:rPr>
        <w:t>האחר שלפיו הרב טנדלר טען כי בחן בעצמו את דג החרב (באמצעות מיקרוסקופ) ולא מצא בו קשקשים. מכאן הסיק כי דג החרב אינו כשר וככל הנראה אינו הדג שהוזכר ב"הכנסת גדולה". </w:t>
      </w:r>
    </w:p>
    <w:p w14:paraId="258A2F2E" w14:textId="276D9F3A" w:rsidR="00E42CF9" w:rsidRPr="00E42CF9" w:rsidRDefault="00E42CF9" w:rsidP="00FF0274">
      <w:pPr>
        <w:ind w:firstLine="0"/>
        <w:rPr>
          <w:rtl/>
          <w:lang w:val="en-IL"/>
        </w:rPr>
      </w:pPr>
      <w:r w:rsidRPr="00E42CF9">
        <w:rPr>
          <w:rtl/>
          <w:lang w:val="en-IL"/>
        </w:rPr>
        <w:t>על טענות אלו בחר הרב אונטרמן להשיב בטיעוני נגד:</w:t>
      </w:r>
    </w:p>
    <w:p w14:paraId="6C9D37F2" w14:textId="17B5BF37" w:rsidR="00E42CF9" w:rsidRPr="00FF0274" w:rsidRDefault="00E42CF9" w:rsidP="00FF0274">
      <w:pPr>
        <w:pStyle w:val="ListParagraph"/>
        <w:numPr>
          <w:ilvl w:val="0"/>
          <w:numId w:val="6"/>
        </w:numPr>
        <w:rPr>
          <w:rtl/>
          <w:lang w:val="en-IL"/>
        </w:rPr>
      </w:pPr>
      <w:r w:rsidRPr="00FF0274">
        <w:rPr>
          <w:rtl/>
          <w:lang w:val="en-IL"/>
        </w:rPr>
        <w:t>נטען כי לא יתכן שהדג שאליו התייחס</w:t>
      </w:r>
      <w:r w:rsidR="007810E6">
        <w:rPr>
          <w:rtl/>
          <w:lang w:val="en-IL"/>
        </w:rPr>
        <w:t xml:space="preserve"> </w:t>
      </w:r>
      <w:r w:rsidRPr="00FF0274">
        <w:rPr>
          <w:rtl/>
          <w:lang w:val="en-IL"/>
        </w:rPr>
        <w:t>בעל "הכנסת הגדולה" הוא המפרשן, שכן הרב בנבנישתי מתייחס שם לדג המשיל את קשקשיו במהלך חייו ולא על דג המגדלם במהלך חייו (בדומה לדג המפרשן).</w:t>
      </w:r>
      <w:r w:rsidRPr="00FF0274">
        <w:rPr>
          <w:lang w:val="en-IL"/>
        </w:rPr>
        <w:t> </w:t>
      </w:r>
    </w:p>
    <w:p w14:paraId="66783DEA" w14:textId="169F58CE" w:rsidR="00E42CF9" w:rsidRPr="00E42CF9" w:rsidRDefault="00E42CF9" w:rsidP="00FF0274">
      <w:pPr>
        <w:pStyle w:val="ListParagraph"/>
        <w:rPr>
          <w:lang w:val="en-IL"/>
        </w:rPr>
      </w:pPr>
      <w:r w:rsidRPr="00E42CF9">
        <w:rPr>
          <w:rtl/>
          <w:lang w:val="en-IL"/>
        </w:rPr>
        <w:t>כמו כן נטען כי אין זה מפתיע שבבדיקתו של הרב טנדלר לא נמצאו קשקשים לדג החרב, שכן כבר ב"הכנסת הגדולה" מתייחס הרב בנבנישתי לדג המשיל את קשקשיו כבר במים. </w:t>
      </w:r>
    </w:p>
    <w:p w14:paraId="38F3DA2D" w14:textId="77777777" w:rsidR="00660D5C" w:rsidRDefault="00E42CF9" w:rsidP="009E1844">
      <w:pPr>
        <w:pStyle w:val="ListParagraph"/>
        <w:rPr>
          <w:lang w:val="en-IL"/>
        </w:rPr>
      </w:pPr>
      <w:r w:rsidRPr="00660D5C">
        <w:rPr>
          <w:rtl/>
          <w:lang w:val="en-IL"/>
        </w:rPr>
        <w:t xml:space="preserve">ולבסוף, הרב אונרטמן מוסיף וטוען כי הדג שעליו מדבר בעל "הכנסת הגדולה" הוא דג שנפוץ שרבים נהגו לאכול אותו, כך שהגיוני יותר שהיה זה דג החרב שהוא דג נפוץ, בניגוד לדג המפרשן שאינו שכיח בשווקים – במיוחד במזרח </w:t>
      </w:r>
      <w:r w:rsidRPr="00660D5C">
        <w:rPr>
          <w:rtl/>
          <w:lang w:val="en-IL"/>
        </w:rPr>
        <w:lastRenderedPageBreak/>
        <w:t>התיכון.</w:t>
      </w:r>
    </w:p>
    <w:p w14:paraId="0DA914A6" w14:textId="060CAD73" w:rsidR="00E42CF9" w:rsidRPr="00E42CF9" w:rsidRDefault="00E42CF9" w:rsidP="005201F4">
      <w:pPr>
        <w:ind w:firstLine="0"/>
        <w:rPr>
          <w:rtl/>
          <w:lang w:val="en-IL"/>
        </w:rPr>
      </w:pPr>
      <w:r w:rsidRPr="00E42CF9">
        <w:rPr>
          <w:rtl/>
          <w:lang w:val="en-IL"/>
        </w:rPr>
        <w:t>על יסוד טעמים אלו סיכם הרב אונרטמן וקבע כי דג החרב הוא אכן זה שעליו דיבר בעל "הכנסת הגדולה", וכי הוא דג שיש לו קשקשים (כשהוא במים) המכשירים אותו.</w:t>
      </w:r>
    </w:p>
    <w:p w14:paraId="04618E41" w14:textId="7CDA65A6" w:rsidR="00E42CF9" w:rsidRPr="00E42CF9" w:rsidRDefault="00E42CF9" w:rsidP="00670C39">
      <w:pPr>
        <w:rPr>
          <w:rtl/>
          <w:lang w:val="en-IL"/>
        </w:rPr>
      </w:pPr>
      <w:r w:rsidRPr="00E42CF9">
        <w:rPr>
          <w:rtl/>
          <w:lang w:val="en-IL"/>
        </w:rPr>
        <w:t>בעקבות הפולמוס שהתגלה בין שני פוסקים אלו התפשטה המחלוקת בעולם ההלכתי בכלל, שאליה החלו להתייחס רבנים נוספים. כך למשל נטען על ידי הרב טכורש</w:t>
      </w:r>
      <w:r w:rsidR="00AA361C">
        <w:rPr>
          <w:rStyle w:val="FootnoteReference"/>
          <w:rtl/>
          <w:lang w:val="en-IL"/>
        </w:rPr>
        <w:footnoteReference w:id="11"/>
      </w:r>
      <w:r w:rsidRPr="00E42CF9">
        <w:rPr>
          <w:rtl/>
          <w:lang w:val="en-IL"/>
        </w:rPr>
        <w:t xml:space="preserve"> כי לאור הספק שעורר הרב טנדלר יש לבטל את ההיתר על אכילת הדג עד לאחר בדיקתו מחדש. הרב מאיר אמסל</w:t>
      </w:r>
      <w:r w:rsidR="00C9026A">
        <w:rPr>
          <w:rStyle w:val="FootnoteReference"/>
          <w:rtl/>
          <w:lang w:val="en-IL"/>
        </w:rPr>
        <w:footnoteReference w:id="12"/>
      </w:r>
      <w:r w:rsidRPr="00E42CF9">
        <w:rPr>
          <w:rtl/>
          <w:lang w:val="en-IL"/>
        </w:rPr>
        <w:t xml:space="preserve"> הצטרף אף הוא לטיעוניו של הרב טנדלר לאסור את אכילת הדג וכך גם הרב אליעזר יהודה וולדנברג</w:t>
      </w:r>
      <w:r w:rsidR="00FD4660">
        <w:rPr>
          <w:rStyle w:val="FootnoteReference"/>
          <w:rtl/>
          <w:lang w:val="en-IL"/>
        </w:rPr>
        <w:footnoteReference w:id="13"/>
      </w:r>
      <w:r w:rsidRPr="00E42CF9">
        <w:rPr>
          <w:rtl/>
          <w:lang w:val="en-IL"/>
        </w:rPr>
        <w:t xml:space="preserve"> שתמך בדעת הרב טנדלר ואף הוסיף טעמים משלו לאי-כשרותו של דג החרב:</w:t>
      </w:r>
    </w:p>
    <w:p w14:paraId="31B91484" w14:textId="6A6EAF45" w:rsidR="00E42CF9" w:rsidRPr="00C547CB" w:rsidRDefault="00E42CF9" w:rsidP="00C547CB">
      <w:pPr>
        <w:pStyle w:val="ListParagraph"/>
        <w:numPr>
          <w:ilvl w:val="0"/>
          <w:numId w:val="7"/>
        </w:numPr>
        <w:rPr>
          <w:rtl/>
          <w:lang w:val="en-IL"/>
        </w:rPr>
      </w:pPr>
      <w:r w:rsidRPr="00C547CB">
        <w:rPr>
          <w:rtl/>
          <w:lang w:val="en-IL"/>
        </w:rPr>
        <w:t>נטען כי משתמע מדבריו של בעל "הכנסת הגדולה" כי לא מדובר בדג גדול והרי דגי החרב הם גדולים מאוד(עשויים להגיע עד למשקל של 500 ק"ג). </w:t>
      </w:r>
    </w:p>
    <w:p w14:paraId="67CF909D" w14:textId="0E6C8DD4" w:rsidR="00E42CF9" w:rsidRPr="00670C39" w:rsidRDefault="00E42CF9" w:rsidP="00670C39">
      <w:pPr>
        <w:pStyle w:val="ListParagraph"/>
        <w:rPr>
          <w:rtl/>
          <w:lang w:val="en-IL"/>
        </w:rPr>
      </w:pPr>
      <w:r w:rsidRPr="00670C39">
        <w:rPr>
          <w:rtl/>
          <w:lang w:val="en-IL"/>
        </w:rPr>
        <w:t>נטען על ידו כי בעל "הכנסת הגדולה" התייחס לסימנים המופיעים על הדג ומלמדים על נפילת קשקשיו, דבר שאינו נמצא בדג החרב. </w:t>
      </w:r>
    </w:p>
    <w:p w14:paraId="119BFD1F" w14:textId="58F3872B" w:rsidR="00E42CF9" w:rsidRPr="00670C39" w:rsidRDefault="00E42CF9" w:rsidP="00670C39">
      <w:pPr>
        <w:pStyle w:val="ListParagraph"/>
        <w:rPr>
          <w:rtl/>
          <w:lang w:val="en-IL"/>
        </w:rPr>
      </w:pPr>
      <w:r w:rsidRPr="00670C39">
        <w:rPr>
          <w:rtl/>
          <w:lang w:val="en-IL"/>
        </w:rPr>
        <w:t xml:space="preserve">הרב וולדנברג מתייחס גם לניסוי שאליו </w:t>
      </w:r>
      <w:r w:rsidR="00B37AB5" w:rsidRPr="00670C39">
        <w:rPr>
          <w:rFonts w:hint="cs"/>
          <w:rtl/>
          <w:lang w:val="en-IL"/>
        </w:rPr>
        <w:t>התייח</w:t>
      </w:r>
      <w:r w:rsidR="00B37AB5" w:rsidRPr="00670C39">
        <w:rPr>
          <w:rFonts w:hint="eastAsia"/>
          <w:rtl/>
          <w:lang w:val="en-IL"/>
        </w:rPr>
        <w:t>ס</w:t>
      </w:r>
      <w:r w:rsidRPr="00670C39">
        <w:rPr>
          <w:rtl/>
          <w:lang w:val="en-IL"/>
        </w:rPr>
        <w:t xml:space="preserve"> בעל "הכנסת הגדולה" וטוען כי לא יתכן שנמצאו קשקשים שנפלו מגוף הדג בבגרותו שעה שלכולי עלמא לדג החרב אין קשקשים בבגרותו.</w:t>
      </w:r>
      <w:r w:rsidRPr="00670C39">
        <w:rPr>
          <w:lang w:val="en-IL"/>
        </w:rPr>
        <w:t> </w:t>
      </w:r>
    </w:p>
    <w:p w14:paraId="284A4928" w14:textId="22D25428" w:rsidR="00E42CF9" w:rsidRPr="00E42CF9" w:rsidRDefault="00E42CF9" w:rsidP="00670C39">
      <w:pPr>
        <w:pStyle w:val="ListParagraph"/>
        <w:rPr>
          <w:lang w:val="en-IL"/>
        </w:rPr>
      </w:pPr>
      <w:r w:rsidRPr="00E42CF9">
        <w:rPr>
          <w:rtl/>
          <w:lang w:val="en-IL"/>
        </w:rPr>
        <w:t>ולבסוף הוסיף הרב וולדנברג כי לא ניתן לעשות שימוש בטיעון שלפיו דג החרב שייך למשפחת דגי המקרל הנחשבים ככשרים, שכן פוסק לא יכול להתיר לאכילה דג על פי הגדרה מדעית של מדענים.</w:t>
      </w:r>
    </w:p>
    <w:p w14:paraId="2CE8A672" w14:textId="58E645B9" w:rsidR="00E42CF9" w:rsidRPr="00E42CF9" w:rsidRDefault="00E42CF9" w:rsidP="008F49C5">
      <w:pPr>
        <w:ind w:firstLine="0"/>
        <w:rPr>
          <w:rFonts w:hint="cs"/>
          <w:rtl/>
          <w:lang w:val="en-IL"/>
        </w:rPr>
      </w:pPr>
      <w:r w:rsidRPr="00E42CF9">
        <w:rPr>
          <w:rtl/>
          <w:lang w:val="en-IL"/>
        </w:rPr>
        <w:t>אוסיף גם כי בגיליון מאוחר יותר של ירחון "הפרדס" טען הרב טנדלר כי יש הטוענים כי יתכן שלדג החרב יש קשקשים בצעירותו אף כי הוא משיל אותם במים ולא בשעה שצדים אותו. לפי מאפיין זה אין מדובר בדג שעליו דיבר בעל "הכנסת הגדולה".</w:t>
      </w:r>
    </w:p>
    <w:p w14:paraId="43BA4E87" w14:textId="1A146D7A" w:rsidR="00E42CF9" w:rsidRPr="00E42CF9" w:rsidRDefault="00E42CF9" w:rsidP="00AF23AE">
      <w:pPr>
        <w:rPr>
          <w:lang w:val="en-IL"/>
        </w:rPr>
      </w:pPr>
      <w:r w:rsidRPr="00E42CF9">
        <w:rPr>
          <w:rtl/>
          <w:lang w:val="en-IL"/>
        </w:rPr>
        <w:t xml:space="preserve">הוויכוח בעניין כשרותו של דג החרב החריף מאוד, ובשנת 1968 נכתב מאמר </w:t>
      </w:r>
      <w:r w:rsidRPr="00E42CF9">
        <w:rPr>
          <w:rtl/>
          <w:lang w:val="en-IL"/>
        </w:rPr>
        <w:lastRenderedPageBreak/>
        <w:t>(בעילום שם) בכתב העת התורני "המאור"</w:t>
      </w:r>
      <w:r w:rsidR="00F30759">
        <w:rPr>
          <w:rStyle w:val="FootnoteReference"/>
          <w:rtl/>
          <w:lang w:val="en-IL"/>
        </w:rPr>
        <w:footnoteReference w:id="14"/>
      </w:r>
      <w:r w:rsidRPr="00E42CF9">
        <w:rPr>
          <w:rtl/>
          <w:lang w:val="en-IL"/>
        </w:rPr>
        <w:t xml:space="preserve"> (שיצא בחריפות אלו המכשירים את אכילת הדג, שם נכתב: "כמה מדהים הדבר שאם איזה רב מ"הרבנות הראשית" מחדש היתרים נוראים כאלו בארה"ק, מטעם שרוצה להיות לעזר לדייגי המדינה המרבים לצוד כל מיני דגים או משום שעומד תחת לחץ השלטון החופשי להתיר איסורים, אבל מה לה למערכת "הפרדס" להכניס תבן זה לארה"ב להכשיל בו ר"ל אנשים תמימים בשרצים ובכל מיני טומאה". המחלוקת, כפי שנראה, התגלגלה לה אל מעבר לשאלות של כשרות גרידא.</w:t>
      </w:r>
    </w:p>
    <w:p w14:paraId="4CBA12BC" w14:textId="5AC597B5" w:rsidR="00E42CF9" w:rsidRPr="00E42CF9" w:rsidRDefault="00E42CF9" w:rsidP="00A6659D">
      <w:pPr>
        <w:rPr>
          <w:rtl/>
          <w:lang w:val="en-IL"/>
        </w:rPr>
      </w:pPr>
      <w:r w:rsidRPr="00E42CF9">
        <w:rPr>
          <w:rtl/>
          <w:lang w:val="en-IL"/>
        </w:rPr>
        <w:t> באותה השנה גם הוציא הרב טנדלר מאמר נוסף</w:t>
      </w:r>
      <w:r w:rsidR="007358C5">
        <w:rPr>
          <w:rStyle w:val="FootnoteReference"/>
          <w:rtl/>
          <w:lang w:val="en-IL"/>
        </w:rPr>
        <w:footnoteReference w:id="15"/>
      </w:r>
      <w:r w:rsidRPr="00E42CF9">
        <w:rPr>
          <w:rtl/>
          <w:lang w:val="en-IL"/>
        </w:rPr>
        <w:t xml:space="preserve"> שקיבל מעמד חשוב בשאלת כשרותו של דג החרב, שבו שב והציג את שלושת הסיבות המרכזיות לאי-כשרותו של הדג: נטען כי 1.לדג החרב אין קשקשים בבגרותו; 2. שלמרות שלדג החרב יש קשקשים בצעירותו הם אינם ניתנים לקילוף; ו</w:t>
      </w:r>
      <w:r w:rsidR="00830EE4">
        <w:rPr>
          <w:rFonts w:hint="cs"/>
          <w:rtl/>
          <w:lang w:val="en-IL"/>
        </w:rPr>
        <w:t xml:space="preserve"> </w:t>
      </w:r>
      <w:r w:rsidR="00F84A7D">
        <w:rPr>
          <w:rFonts w:hint="cs"/>
          <w:rtl/>
          <w:lang w:val="en-IL"/>
        </w:rPr>
        <w:t>-</w:t>
      </w:r>
      <w:r w:rsidR="00830EE4">
        <w:rPr>
          <w:rFonts w:hint="cs"/>
          <w:rtl/>
          <w:lang w:val="en-IL"/>
        </w:rPr>
        <w:t xml:space="preserve"> </w:t>
      </w:r>
      <w:r w:rsidRPr="00E42CF9">
        <w:rPr>
          <w:rtl/>
          <w:lang w:val="en-IL"/>
        </w:rPr>
        <w:t>3. נטען כי דג שעליו דיבר בעל ה"כנסת גדולה" אינו זה המזוהה עם דג החרב של ימינו.</w:t>
      </w:r>
      <w:r w:rsidR="007810E6">
        <w:rPr>
          <w:rtl/>
          <w:lang w:val="en-IL"/>
        </w:rPr>
        <w:t xml:space="preserve"> </w:t>
      </w:r>
      <w:r w:rsidRPr="00E42CF9">
        <w:rPr>
          <w:rtl/>
          <w:lang w:val="en-IL"/>
        </w:rPr>
        <w:t> </w:t>
      </w:r>
    </w:p>
    <w:p w14:paraId="1D33B72D" w14:textId="39C9F406" w:rsidR="00606E5E" w:rsidRPr="00606E5E" w:rsidRDefault="00606E5E" w:rsidP="00606E5E">
      <w:pPr>
        <w:pStyle w:val="Heading2"/>
        <w:rPr>
          <w:lang w:val="en-IL"/>
        </w:rPr>
      </w:pPr>
      <w:r w:rsidRPr="00606E5E">
        <w:rPr>
          <w:rtl/>
          <w:lang w:val="en-GB"/>
        </w:rPr>
        <w:t>מבט חדש על הסוגיה – גילויים עובדתיים חדשים:</w:t>
      </w:r>
      <w:r w:rsidR="007810E6">
        <w:rPr>
          <w:rtl/>
          <w:lang w:val="en-GB"/>
        </w:rPr>
        <w:t xml:space="preserve"> </w:t>
      </w:r>
    </w:p>
    <w:p w14:paraId="2C383276" w14:textId="7E8022A4" w:rsidR="00063B34" w:rsidRPr="00063B34" w:rsidRDefault="00063B34" w:rsidP="00063B34">
      <w:pPr>
        <w:ind w:firstLine="0"/>
        <w:rPr>
          <w:lang w:val="en-IL"/>
        </w:rPr>
      </w:pPr>
      <w:r w:rsidRPr="00063B34">
        <w:rPr>
          <w:rtl/>
          <w:lang w:val="en-IL"/>
        </w:rPr>
        <w:t>לדעתי יש מקום לשוב ולדון בשאלת כשרותו של דג החרב על יסוד הידע שיש בידינו כיום.</w:t>
      </w:r>
      <w:r w:rsidR="007810E6">
        <w:rPr>
          <w:rtl/>
          <w:lang w:val="en-IL"/>
        </w:rPr>
        <w:t xml:space="preserve"> </w:t>
      </w:r>
      <w:r w:rsidRPr="00063B34">
        <w:rPr>
          <w:rtl/>
          <w:lang w:val="en-IL"/>
        </w:rPr>
        <w:t>שכן הרב טנדלר ביסס את פסיקתו על גילוים חדשים שמצא ביחס לדג החרב בשעתו, אך כיום יש בידינו מידע נוסף שלא היה בידיו. לכן ברצוני להציג מספר רעיונות לבחינה מחדש של שאלת כשרות הדג על יסוד הידע המצוי בידינו היום.</w:t>
      </w:r>
    </w:p>
    <w:p w14:paraId="7D395C1D" w14:textId="11509E98" w:rsidR="001A6028" w:rsidRDefault="00063B34" w:rsidP="00A76B85">
      <w:pPr>
        <w:rPr>
          <w:rtl/>
          <w:lang w:val="en-IL"/>
        </w:rPr>
      </w:pPr>
      <w:r w:rsidRPr="00063B34">
        <w:rPr>
          <w:rtl/>
          <w:lang w:val="en-IL"/>
        </w:rPr>
        <w:t>מהו הגילוי החשוב ביותר הידוע לנו כיום ורלוונטי לשאלת כשרותו של דג החרב? ובכן, בניגוד לתפיסה המדעית הקודמת אנו יודעים כיום כי דג החרב נולד אכן עם קשקשים אף כי אינו משיל אותם במים בחייו או בשעה שדגים אותו אלא שבמהלך בגרותו צומחות על גופו עוד שכבות עור והוא מחדיר את קשקשיו לתוך עורו ועד הגיעו לגיל שנתיים לא נראים עוד קשקשיו לעין.</w:t>
      </w:r>
      <w:r w:rsidR="005D48C2">
        <w:rPr>
          <w:rStyle w:val="FootnoteReference"/>
          <w:rtl/>
          <w:lang w:val="en-IL"/>
        </w:rPr>
        <w:footnoteReference w:id="16"/>
      </w:r>
      <w:r w:rsidRPr="00063B34">
        <w:rPr>
          <w:rtl/>
          <w:lang w:val="en-IL"/>
        </w:rPr>
        <w:t xml:space="preserve"> עובדה זו מציגה אותו כשייך לקטגוריה שונה מזו של הדגים שהגמרא במסכת עבודה זרה דנה בהם ומצדיקה לבחון שאלת כשרותו במבט חדש. גילוי זה מאפשר להבין את הפולמוס ביחס למאפייניו הפיזיים של הדג (בעניין שאלת השרת קשקשיו) ואף לתמוך </w:t>
      </w:r>
      <w:r w:rsidRPr="00063B34">
        <w:rPr>
          <w:rtl/>
          <w:lang w:val="en-IL"/>
        </w:rPr>
        <w:lastRenderedPageBreak/>
        <w:t>באפשרות להכשירו בלא כל קשר לטעמים שהוצגו בפולמוס הארוך שהתנהל בשאלת כשרותו.</w:t>
      </w:r>
    </w:p>
    <w:p w14:paraId="48DF38AE" w14:textId="532FFC3C" w:rsidR="00E770F8" w:rsidRPr="00E770F8" w:rsidRDefault="00E770F8" w:rsidP="0002340E">
      <w:pPr>
        <w:pStyle w:val="Heading2"/>
        <w:rPr>
          <w:lang w:val="en-IL"/>
        </w:rPr>
      </w:pPr>
      <w:r w:rsidRPr="00E770F8">
        <w:rPr>
          <w:rtl/>
          <w:lang w:val="en-IL"/>
        </w:rPr>
        <w:t>הניתן להתיר את אכילת דג החרב – הצעה לסדר:</w:t>
      </w:r>
      <w:r w:rsidR="007810E6">
        <w:rPr>
          <w:rtl/>
          <w:lang w:val="en-IL"/>
        </w:rPr>
        <w:t xml:space="preserve"> </w:t>
      </w:r>
    </w:p>
    <w:p w14:paraId="66732CC3" w14:textId="37C82280" w:rsidR="008A460B" w:rsidRPr="008A460B" w:rsidRDefault="008A460B" w:rsidP="00271B04">
      <w:pPr>
        <w:ind w:firstLine="0"/>
        <w:rPr>
          <w:rtl/>
          <w:lang w:val="en-IL"/>
        </w:rPr>
      </w:pPr>
      <w:r w:rsidRPr="008A460B">
        <w:rPr>
          <w:rtl/>
          <w:lang w:val="en-IL"/>
        </w:rPr>
        <w:t>אני מבקש להציג טיעון התומך בעמדתו של הרב איסר יהודה אונטרמן שמצא להתיר את אכילת דג החרב. חשוב לי להבהיר כי איני פוסק הלכה אלא רק מבקש להציג גישה עיונית שממנה אפשר שפוסקי הלכה י</w:t>
      </w:r>
      <w:r w:rsidR="00D4503B">
        <w:rPr>
          <w:rFonts w:hint="cs"/>
          <w:rtl/>
          <w:lang w:val="en-IL"/>
        </w:rPr>
        <w:t>ו</w:t>
      </w:r>
      <w:r w:rsidRPr="008A460B">
        <w:rPr>
          <w:rtl/>
          <w:lang w:val="en-IL"/>
        </w:rPr>
        <w:t>כלו לבחון במבט מחודש.</w:t>
      </w:r>
    </w:p>
    <w:p w14:paraId="04DC9130" w14:textId="70896377" w:rsidR="008A460B" w:rsidRPr="008A460B" w:rsidRDefault="008A460B" w:rsidP="00271B04">
      <w:pPr>
        <w:rPr>
          <w:rtl/>
          <w:lang w:val="en-IL"/>
        </w:rPr>
      </w:pPr>
      <w:r w:rsidRPr="008A460B">
        <w:rPr>
          <w:rtl/>
          <w:lang w:val="en-IL"/>
        </w:rPr>
        <w:t>כאמור, הטענה חוזרת שהושמעה נגד עמדתו של הרב איסר אונטרמן הייתה שדג החרב אינו הדג שעליו דיבר בעל "הכנסת גדולה". טענה זו נתמכה בשלושה טענות אחרות, שלפיהן: א. נראה כי דג החרב גדול מזה ההולם את תיאורו של בעל "הכנסת גדולה".</w:t>
      </w:r>
      <w:r w:rsidR="007810E6">
        <w:rPr>
          <w:rtl/>
          <w:lang w:val="en-IL"/>
        </w:rPr>
        <w:t xml:space="preserve"> </w:t>
      </w:r>
      <w:r w:rsidRPr="008A460B">
        <w:rPr>
          <w:rtl/>
          <w:lang w:val="en-IL"/>
        </w:rPr>
        <w:t>ב. כי הוא אינו דג המשיל את קשקשיו כשהוא ניצוד. וג. כי לא יתכן שבעל "הכנסת גדולה" מצא סימנים של נפילת קשקשיו, שלדעת הכל אין לדג קשקשים בבגרותו.</w:t>
      </w:r>
    </w:p>
    <w:p w14:paraId="3C1AD414" w14:textId="45E3F0F2" w:rsidR="008A460B" w:rsidRPr="008A460B" w:rsidRDefault="008A460B" w:rsidP="00CA23F1">
      <w:pPr>
        <w:rPr>
          <w:rtl/>
          <w:lang w:val="en-IL"/>
        </w:rPr>
      </w:pPr>
      <w:r w:rsidRPr="008A460B">
        <w:rPr>
          <w:rtl/>
          <w:lang w:val="en-IL"/>
        </w:rPr>
        <w:t xml:space="preserve">אולם כנגד שלושת טיעונים אלו ניתן לדעתי להציג טענה מעניינת שלפיה יתכן ובעל "הכנסת הגדולה" דג את דגי החרב בצעירותם (כלומר בטרם שמלאו להם שנתיים, ובעת שעל גופם נראים קשקשיהם). טענה זו נתמכת בעבודה שנראה כי לא ניתן לדוג דג חרב (ואף דג מפרשן) בוגר באמצעות רשת פשוטה שבה נעשה שימוש בימיו של הרב בנבנישתי, שכן מדובר בדגים מהירים וחזקים מידי </w:t>
      </w:r>
      <w:r w:rsidR="00422A87">
        <w:rPr>
          <w:rFonts w:hint="cs"/>
          <w:rtl/>
          <w:lang w:val="en-IL"/>
        </w:rPr>
        <w:t>ל</w:t>
      </w:r>
      <w:r w:rsidRPr="008A460B">
        <w:rPr>
          <w:rtl/>
          <w:lang w:val="en-IL"/>
        </w:rPr>
        <w:t>רשת כזו. אולם, אם אכן נכונה הנחה-הערכה זו, הרי שיש בה כדי לפתור את שלושת הקשיים שהוצגו בעניין זה.</w:t>
      </w:r>
    </w:p>
    <w:p w14:paraId="663DFA57" w14:textId="15C06914" w:rsidR="008A460B" w:rsidRPr="008A460B" w:rsidRDefault="008A460B" w:rsidP="00161C15">
      <w:pPr>
        <w:rPr>
          <w:lang w:val="en-IL"/>
        </w:rPr>
      </w:pPr>
      <w:r w:rsidRPr="008A460B">
        <w:rPr>
          <w:rtl/>
          <w:lang w:val="en-IL"/>
        </w:rPr>
        <w:t>וכך, תיאורו של ה"כנסת גדולה" הגיוני מבחינת גודלו של דג החרב אם אכן הוא מתאר דג צעיר. כמו כן, אם דגי החרב הצעירים שנבחנו על ידי הרב בנבנישתי טרם כיסו לחלוטין את קשקשיהם באופן שחלקם (לפחות) עדיין בולט מן העור, הרי בשעה שדגו אותם יתכן וחלק מן הקשקשים הגלויים נשרו או נשברו מן העור במאבק צידתם באופן שעשוי להסביר את תיאור בעל "הכנסת גדולה" של קשקשים שנמצאו בניסוי שאותו תיאר (וכן את הסימנים שהצביעו על נפילת הקשקשים בדג, שהם סימני השבירה שלהם). אם אכן כך, אז ייתכן בהחלט כי דג החרב הוא זה שהותר לאכילה על ידי בעל ה"הכנסת גדולה".</w:t>
      </w:r>
      <w:r w:rsidR="007810E6">
        <w:rPr>
          <w:rtl/>
          <w:lang w:val="en-IL"/>
        </w:rPr>
        <w:t xml:space="preserve"> </w:t>
      </w:r>
      <w:r w:rsidRPr="008A460B">
        <w:rPr>
          <w:rtl/>
          <w:lang w:val="en-IL"/>
        </w:rPr>
        <w:t> </w:t>
      </w:r>
    </w:p>
    <w:p w14:paraId="4F153225" w14:textId="3F81076F" w:rsidR="008A460B" w:rsidRPr="008A460B" w:rsidRDefault="008A460B" w:rsidP="00B80364">
      <w:pPr>
        <w:rPr>
          <w:rtl/>
          <w:lang w:val="en-IL"/>
        </w:rPr>
      </w:pPr>
      <w:r w:rsidRPr="008A460B">
        <w:rPr>
          <w:rtl/>
          <w:lang w:val="en-IL"/>
        </w:rPr>
        <w:t>כאן ניתן גם להציע אפשרות חדשה לבחינת הנושא באמצעות הגילוי החדש בנוגע</w:t>
      </w:r>
      <w:r w:rsidR="007810E6">
        <w:rPr>
          <w:rtl/>
          <w:lang w:val="en-IL"/>
        </w:rPr>
        <w:t xml:space="preserve"> </w:t>
      </w:r>
      <w:r w:rsidRPr="008A460B">
        <w:rPr>
          <w:rtl/>
          <w:lang w:val="en-IL"/>
        </w:rPr>
        <w:t>למאפייני קשקשיו של דג החרב:</w:t>
      </w:r>
      <w:r w:rsidR="00B80364">
        <w:rPr>
          <w:rFonts w:hint="cs"/>
          <w:rtl/>
          <w:lang w:val="en-IL"/>
        </w:rPr>
        <w:t xml:space="preserve"> </w:t>
      </w:r>
      <w:r w:rsidRPr="008A460B">
        <w:rPr>
          <w:rtl/>
          <w:lang w:val="en-IL"/>
        </w:rPr>
        <w:t xml:space="preserve">הרמב"ן פוסק כי כל דג שקשקשיו ניתנים </w:t>
      </w:r>
      <w:r w:rsidRPr="008A460B">
        <w:rPr>
          <w:rtl/>
          <w:lang w:val="en-IL"/>
        </w:rPr>
        <w:lastRenderedPageBreak/>
        <w:t>לקילוף נחשב לדג כשר.</w:t>
      </w:r>
      <w:r w:rsidR="008801F2">
        <w:rPr>
          <w:rStyle w:val="FootnoteReference"/>
          <w:rtl/>
          <w:lang w:val="en-IL"/>
        </w:rPr>
        <w:footnoteReference w:id="17"/>
      </w:r>
      <w:r w:rsidRPr="008A460B">
        <w:rPr>
          <w:rtl/>
          <w:lang w:val="en-IL"/>
        </w:rPr>
        <w:t xml:space="preserve"> והשאלה החשובה אצלנו היא האם קשקשיו של דג החרב ניתנים לקילוף? טענת הרב טנדלר הייתה כי </w:t>
      </w:r>
      <w:r w:rsidR="00ED6843" w:rsidRPr="008A460B">
        <w:rPr>
          <w:rFonts w:hint="cs"/>
          <w:rtl/>
          <w:lang w:val="en-IL"/>
        </w:rPr>
        <w:t>בצעירותו</w:t>
      </w:r>
      <w:r w:rsidRPr="008A460B">
        <w:rPr>
          <w:rtl/>
          <w:lang w:val="en-IL"/>
        </w:rPr>
        <w:t xml:space="preserve"> של הדג לא ניתן לקלף את קשקשיו. אולם אחרים טענו כי ניתן לקלף את קשקשיו כפי שהראה הרב ראובן נקאר בסרטון שצולם על ידו</w:t>
      </w:r>
      <w:r w:rsidR="00C60464">
        <w:rPr>
          <w:rStyle w:val="FootnoteReference"/>
          <w:rtl/>
          <w:lang w:val="en-IL"/>
        </w:rPr>
        <w:footnoteReference w:id="18"/>
      </w:r>
      <w:r w:rsidR="00C60464">
        <w:rPr>
          <w:rFonts w:hint="cs"/>
          <w:rtl/>
          <w:lang w:val="en-IL"/>
        </w:rPr>
        <w:t xml:space="preserve"> </w:t>
      </w:r>
      <w:r w:rsidRPr="008A460B">
        <w:rPr>
          <w:rtl/>
          <w:lang w:val="en-IL"/>
        </w:rPr>
        <w:t>ובו הוא מציג קילוף קשקשים מגופו של דג חרב צעיר ומביע דעתו להכשיר את אכילתו. עובדה זו עשויה לתמוך בטענה שלפיה מאפייני קשקשיו של דג זה עונים על תנאי הכשרות שהציג הרמב"ן.</w:t>
      </w:r>
    </w:p>
    <w:p w14:paraId="7B318CBB" w14:textId="2BD031C3" w:rsidR="008A460B" w:rsidRPr="008A460B" w:rsidRDefault="008A460B" w:rsidP="008A460B">
      <w:pPr>
        <w:rPr>
          <w:rtl/>
          <w:lang w:val="en-IL"/>
        </w:rPr>
      </w:pPr>
      <w:r w:rsidRPr="008A460B">
        <w:rPr>
          <w:rtl/>
          <w:lang w:val="en-IL"/>
        </w:rPr>
        <w:t>ביחס לשלב בגרותו של הדג נראה לי להציע רעיון נוסף: יש הטוענים</w:t>
      </w:r>
      <w:r w:rsidR="00955196">
        <w:rPr>
          <w:rStyle w:val="FootnoteReference"/>
          <w:rtl/>
          <w:lang w:val="en-IL"/>
        </w:rPr>
        <w:footnoteReference w:id="19"/>
      </w:r>
      <w:r w:rsidRPr="008A460B">
        <w:rPr>
          <w:rtl/>
          <w:lang w:val="en-IL"/>
        </w:rPr>
        <w:t xml:space="preserve"> כי קיימת אופציה לקלף את השכבה החיצונית של עור הדג, לחשוף את קשקשיו, ואז לקלפם. אם הדבר אכן אפשרי יתכן ויש בכך כדי להצדיק טענה שלפיה הדג עונה על תנאי הכשרות שהוצג על ידי הרמב"ן גם בשלבי בגרותו. לכן יתכן להתיר את אכילתו גם בשלב זה. כמובן, לא היה באפשרותי לבחון אפשרות זו בעצמי עדיין ולכן אותיר זאת בבחינת תאוריה רעיונית בלבד.</w:t>
      </w:r>
      <w:r w:rsidR="007810E6">
        <w:rPr>
          <w:rtl/>
          <w:lang w:val="en-IL"/>
        </w:rPr>
        <w:t xml:space="preserve"> </w:t>
      </w:r>
    </w:p>
    <w:p w14:paraId="6925F146" w14:textId="1B236C79" w:rsidR="00E770F8" w:rsidRDefault="00441851" w:rsidP="00441851">
      <w:pPr>
        <w:pStyle w:val="Heading2"/>
        <w:rPr>
          <w:rtl/>
          <w:lang w:val="en-IL"/>
        </w:rPr>
      </w:pPr>
      <w:r>
        <w:rPr>
          <w:rFonts w:hint="cs"/>
          <w:rtl/>
          <w:lang w:val="en-IL"/>
        </w:rPr>
        <w:t>סיכום</w:t>
      </w:r>
    </w:p>
    <w:p w14:paraId="4D03CD3E" w14:textId="5CDF6002" w:rsidR="00441851" w:rsidRPr="00441851" w:rsidRDefault="00441851" w:rsidP="00441851">
      <w:pPr>
        <w:ind w:firstLine="0"/>
        <w:rPr>
          <w:lang w:val="en-IL"/>
        </w:rPr>
      </w:pPr>
      <w:r w:rsidRPr="00441851">
        <w:rPr>
          <w:rtl/>
          <w:lang w:val="en-IL"/>
        </w:rPr>
        <w:t>שאלת כשרותו של דג החרב מורכבת ופוסקים רבים – כגון ה"ציץ אליעזר" והרב טנדלר – אסרו את אכילתו. יחד עם זאת</w:t>
      </w:r>
      <w:r w:rsidR="007810E6">
        <w:rPr>
          <w:rtl/>
          <w:lang w:val="en-IL"/>
        </w:rPr>
        <w:t xml:space="preserve"> </w:t>
      </w:r>
      <w:r w:rsidRPr="00441851">
        <w:rPr>
          <w:rtl/>
          <w:lang w:val="en-IL"/>
        </w:rPr>
        <w:t>אחרים התירו את אכילתו, כמו הרב ש. מחפוד</w:t>
      </w:r>
      <w:r w:rsidR="00702591">
        <w:rPr>
          <w:rStyle w:val="FootnoteReference"/>
          <w:rtl/>
          <w:lang w:val="en-IL"/>
        </w:rPr>
        <w:footnoteReference w:id="20"/>
      </w:r>
      <w:r w:rsidRPr="00441851">
        <w:rPr>
          <w:rtl/>
          <w:lang w:val="en-IL"/>
        </w:rPr>
        <w:t xml:space="preserve"> הרב לוי</w:t>
      </w:r>
      <w:r w:rsidR="001D1C51">
        <w:rPr>
          <w:rStyle w:val="FootnoteReference"/>
          <w:rtl/>
          <w:lang w:val="en-IL"/>
        </w:rPr>
        <w:footnoteReference w:id="21"/>
      </w:r>
      <w:r w:rsidRPr="00441851">
        <w:rPr>
          <w:rtl/>
          <w:lang w:val="en-IL"/>
        </w:rPr>
        <w:t xml:space="preserve"> וכן הרב שכטר</w:t>
      </w:r>
      <w:r w:rsidR="00FF75EE">
        <w:rPr>
          <w:rStyle w:val="FootnoteReference"/>
          <w:rtl/>
          <w:lang w:val="en-IL"/>
        </w:rPr>
        <w:footnoteReference w:id="22"/>
      </w:r>
      <w:r w:rsidRPr="00441851">
        <w:rPr>
          <w:rtl/>
          <w:lang w:val="en-IL"/>
        </w:rPr>
        <w:t xml:space="preserve"> וכמובן הרב אונטרמן.</w:t>
      </w:r>
      <w:r w:rsidR="00FF75EE">
        <w:rPr>
          <w:rFonts w:hint="cs"/>
          <w:rtl/>
          <w:lang w:val="en-IL"/>
        </w:rPr>
        <w:t xml:space="preserve"> </w:t>
      </w:r>
      <w:r w:rsidRPr="00441851">
        <w:rPr>
          <w:rtl/>
          <w:lang w:val="en-IL"/>
        </w:rPr>
        <w:t>ישנה המסורת העתיקה של ה"כנסת הגדולה" להכשירו ישנה המסורת היותר חדשה לומר שהדג אינו כשר ויש את גילויי תקופתנו שפותחים חזית חדשה לחלוטין.</w:t>
      </w:r>
    </w:p>
    <w:p w14:paraId="7542E569" w14:textId="77777777" w:rsidR="00441851" w:rsidRPr="00441851" w:rsidRDefault="00441851" w:rsidP="00441851">
      <w:pPr>
        <w:rPr>
          <w:lang w:val="en-IL"/>
        </w:rPr>
      </w:pPr>
      <w:r w:rsidRPr="00441851">
        <w:rPr>
          <w:rtl/>
          <w:lang w:val="en-IL"/>
        </w:rPr>
        <w:t xml:space="preserve">במאמר זה הבאתי כמה רעיונות שיכולים להיות לעזר לפוסקים המתירים את הדג, כגון הבנתי על פסיקת ה"כנסת הגדולה" וטיעונים חדשים באמעות גילויים מדעיים חדשים ופסיקתו של הרמב"ן בעניין מאפייני קשקשי דג המתירים </w:t>
      </w:r>
      <w:r w:rsidRPr="00441851">
        <w:rPr>
          <w:rtl/>
          <w:lang w:val="en-IL"/>
        </w:rPr>
        <w:lastRenderedPageBreak/>
        <w:t>את אכילתו. </w:t>
      </w:r>
    </w:p>
    <w:p w14:paraId="06E12E54" w14:textId="58EDB548" w:rsidR="00441851" w:rsidRPr="00441851" w:rsidRDefault="00441851" w:rsidP="00441851">
      <w:pPr>
        <w:rPr>
          <w:rtl/>
          <w:lang w:val="en-IL"/>
        </w:rPr>
      </w:pPr>
      <w:r w:rsidRPr="00441851">
        <w:rPr>
          <w:rtl/>
          <w:lang w:val="en-IL"/>
        </w:rPr>
        <w:t> מדובר בנושא מעניין וחשוב הדן במשמעותה ומעמדה של כשרות מסורתית, תוך בחינת אפשרות התחדשותה של הלכה בהתאם לגילויים (מדעיים ואחרים) חדשים ברובד המציאות. אני מקווה שעוד יעלה בידי להמשיך, לחקור ולהעמיק בנושא זה ולהגיע בו לתובנות נוספות.</w:t>
      </w:r>
      <w:r w:rsidR="007810E6">
        <w:rPr>
          <w:rtl/>
          <w:lang w:val="en-IL"/>
        </w:rPr>
        <w:t xml:space="preserve"> </w:t>
      </w:r>
      <w:r w:rsidRPr="00441851">
        <w:rPr>
          <w:rtl/>
          <w:lang w:val="en-IL"/>
        </w:rPr>
        <w:t>כי זו היא דרכה של עמנו, עם ישראל, שכמו בפתיחה שהצגתי ("נער עקשן") הינו "עם קשה עורף" שאינו מקבל עובדות וטענות כפי שהן אלא מבקש להמשיך, לשאול ולחקור במטרה לברר את ההלכה, את אמונתו ואת רצון אבינו</w:t>
      </w:r>
      <w:r w:rsidR="007810E6">
        <w:rPr>
          <w:rtl/>
          <w:lang w:val="en-IL"/>
        </w:rPr>
        <w:t xml:space="preserve"> </w:t>
      </w:r>
      <w:r w:rsidRPr="00441851">
        <w:rPr>
          <w:rtl/>
          <w:lang w:val="en-IL"/>
        </w:rPr>
        <w:t>– כדי שנוכל לעובדו באמת בכל ליבנו ובכל מאודנו.</w:t>
      </w:r>
    </w:p>
    <w:p w14:paraId="44C66BA0" w14:textId="2CD4E2C5" w:rsidR="00CF3DFD" w:rsidRDefault="00CF3DFD" w:rsidP="00CF3DFD">
      <w:pPr>
        <w:pStyle w:val="Heading3"/>
        <w:rPr>
          <w:rtl/>
          <w:lang w:val="en-IL"/>
        </w:rPr>
      </w:pPr>
      <w:r>
        <w:rPr>
          <w:rFonts w:hint="cs"/>
          <w:rtl/>
          <w:lang w:val="en-IL"/>
        </w:rPr>
        <w:t>תודות</w:t>
      </w:r>
    </w:p>
    <w:p w14:paraId="77399333" w14:textId="01FA82B9" w:rsidR="00CF3DFD" w:rsidRPr="00CF3DFD" w:rsidRDefault="00CF3DFD" w:rsidP="0070526C">
      <w:pPr>
        <w:ind w:firstLine="0"/>
        <w:rPr>
          <w:rtl/>
          <w:lang w:val="en-IL"/>
        </w:rPr>
      </w:pPr>
      <w:r w:rsidRPr="00CF3DFD">
        <w:rPr>
          <w:rtl/>
          <w:lang w:val="en-IL"/>
        </w:rPr>
        <w:t>אני מבקש להודות לכל מי שסייע בידי להוציא מאמר זה לאור.</w:t>
      </w:r>
      <w:r w:rsidR="004C3797">
        <w:rPr>
          <w:lang w:val="en-IL"/>
        </w:rPr>
        <w:t xml:space="preserve"> </w:t>
      </w:r>
      <w:r w:rsidRPr="00CF3DFD">
        <w:rPr>
          <w:rtl/>
          <w:lang w:val="en-IL"/>
        </w:rPr>
        <w:t>ראשית לסבי, ד"ר אביב מלצר, שדחף אותי תמיד לחקור, ללמוד ולשאול, ולימד אותי את החשיבות שבלהיות אדם מתמיד המחפש את טעמי גילוייו יותר מאשר את תוכן הגילוי עצמו.</w:t>
      </w:r>
      <w:r w:rsidR="0070526C">
        <w:rPr>
          <w:rFonts w:hint="cs"/>
          <w:rtl/>
          <w:lang w:val="en-IL"/>
        </w:rPr>
        <w:t xml:space="preserve"> </w:t>
      </w:r>
      <w:r w:rsidRPr="00CF3DFD">
        <w:rPr>
          <w:rtl/>
          <w:lang w:val="en-IL"/>
        </w:rPr>
        <w:t>כמו כן אני מבקש להודות לרב דוד ביגמן על ההכוונה למקורות שמהם למדתי וביררתי את סוגיית המאמר, כמו גם על סבלנותו ואורך רוחו במענה לשאלותיי הרבות במהלך לימוד וכתיבת המאמר.</w:t>
      </w:r>
    </w:p>
    <w:p w14:paraId="4D7832C6" w14:textId="77777777" w:rsidR="00CF3DFD" w:rsidRPr="00CF3DFD" w:rsidRDefault="00CF3DFD" w:rsidP="00CF3DFD">
      <w:pPr>
        <w:rPr>
          <w:rFonts w:hint="cs"/>
          <w:lang w:val="en-IL"/>
        </w:rPr>
      </w:pPr>
    </w:p>
    <w:sectPr w:rsidR="00CF3DFD" w:rsidRPr="00CF3DFD"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0718" w14:textId="77777777" w:rsidR="00BD7F2C" w:rsidRDefault="00BD7F2C" w:rsidP="00612B20">
      <w:pPr>
        <w:spacing w:line="240" w:lineRule="auto"/>
      </w:pPr>
      <w:r>
        <w:separator/>
      </w:r>
    </w:p>
  </w:endnote>
  <w:endnote w:type="continuationSeparator" w:id="0">
    <w:p w14:paraId="4C0F64A1" w14:textId="77777777" w:rsidR="00BD7F2C" w:rsidRDefault="00BD7F2C"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A70"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F197" w14:textId="77777777" w:rsidR="00BD7F2C" w:rsidRDefault="00BD7F2C" w:rsidP="008D6718">
      <w:pPr>
        <w:spacing w:line="240" w:lineRule="auto"/>
        <w:ind w:firstLine="0"/>
        <w:rPr>
          <w:rtl/>
        </w:rPr>
      </w:pPr>
    </w:p>
  </w:footnote>
  <w:footnote w:type="continuationSeparator" w:id="0">
    <w:p w14:paraId="363BA4C1" w14:textId="77777777" w:rsidR="00BD7F2C" w:rsidRPr="00187664" w:rsidRDefault="00BD7F2C" w:rsidP="00187664">
      <w:pPr>
        <w:pStyle w:val="Footer"/>
        <w:rPr>
          <w:szCs w:val="22"/>
          <w:rtl/>
        </w:rPr>
      </w:pPr>
    </w:p>
  </w:footnote>
  <w:footnote w:id="1">
    <w:p w14:paraId="587510B8" w14:textId="467823FD" w:rsidR="00C32E31" w:rsidRDefault="00C32E31" w:rsidP="00C32E31">
      <w:pPr>
        <w:pStyle w:val="FootnoteText"/>
        <w:rPr>
          <w:lang w:val="en-GB"/>
        </w:rPr>
      </w:pPr>
      <w:r>
        <w:rPr>
          <w:rFonts w:hint="cs"/>
          <w:rtl/>
          <w:lang w:val="en-GB"/>
        </w:rPr>
        <w:t xml:space="preserve">* </w:t>
      </w:r>
      <w:r w:rsidR="005D521A">
        <w:rPr>
          <w:rtl/>
          <w:lang w:val="en-GB"/>
        </w:rPr>
        <w:tab/>
      </w:r>
      <w:r w:rsidRPr="00C32E31">
        <w:rPr>
          <w:rFonts w:hint="eastAsia"/>
          <w:rtl/>
          <w:lang w:val="en-GB"/>
        </w:rPr>
        <w:t>מאמר</w:t>
      </w:r>
      <w:r w:rsidRPr="00C32E31">
        <w:rPr>
          <w:rtl/>
          <w:lang w:val="en-GB"/>
        </w:rPr>
        <w:t xml:space="preserve"> </w:t>
      </w:r>
      <w:r w:rsidRPr="00C32E31">
        <w:rPr>
          <w:rFonts w:hint="eastAsia"/>
          <w:rtl/>
          <w:lang w:val="en-GB"/>
        </w:rPr>
        <w:t>זה</w:t>
      </w:r>
      <w:r w:rsidRPr="00C32E31">
        <w:rPr>
          <w:rtl/>
          <w:lang w:val="en-GB"/>
        </w:rPr>
        <w:t xml:space="preserve"> </w:t>
      </w:r>
      <w:r w:rsidRPr="00C32E31">
        <w:rPr>
          <w:rFonts w:hint="eastAsia"/>
          <w:rtl/>
          <w:lang w:val="en-GB"/>
        </w:rPr>
        <w:t>מוקדש</w:t>
      </w:r>
      <w:r w:rsidRPr="00C32E31">
        <w:rPr>
          <w:rtl/>
          <w:lang w:val="en-GB"/>
        </w:rPr>
        <w:t xml:space="preserve"> </w:t>
      </w:r>
      <w:r w:rsidRPr="00C32E31">
        <w:rPr>
          <w:rFonts w:hint="eastAsia"/>
          <w:rtl/>
          <w:lang w:val="en-GB"/>
        </w:rPr>
        <w:t>לעילוי</w:t>
      </w:r>
      <w:r w:rsidRPr="00C32E31">
        <w:rPr>
          <w:rtl/>
          <w:lang w:val="en-GB"/>
        </w:rPr>
        <w:t xml:space="preserve"> </w:t>
      </w:r>
      <w:r w:rsidRPr="00C32E31">
        <w:rPr>
          <w:rFonts w:hint="eastAsia"/>
          <w:rtl/>
          <w:lang w:val="en-GB"/>
        </w:rPr>
        <w:t>נשמת</w:t>
      </w:r>
      <w:r>
        <w:rPr>
          <w:rFonts w:hint="cs"/>
          <w:rtl/>
          <w:lang w:val="en-GB"/>
        </w:rPr>
        <w:t xml:space="preserve"> </w:t>
      </w:r>
      <w:r w:rsidRPr="00C32E31">
        <w:rPr>
          <w:rFonts w:hint="eastAsia"/>
          <w:rtl/>
          <w:lang w:val="en-GB"/>
        </w:rPr>
        <w:t>סבי</w:t>
      </w:r>
      <w:r w:rsidRPr="00C32E31">
        <w:rPr>
          <w:rtl/>
          <w:lang w:val="en-GB"/>
        </w:rPr>
        <w:t xml:space="preserve"> </w:t>
      </w:r>
      <w:r w:rsidRPr="00C32E31">
        <w:rPr>
          <w:rFonts w:hint="eastAsia"/>
          <w:rtl/>
          <w:lang w:val="en-GB"/>
        </w:rPr>
        <w:t>ומורי</w:t>
      </w:r>
      <w:r w:rsidRPr="00C32E31">
        <w:rPr>
          <w:rtl/>
          <w:lang w:val="en-GB"/>
        </w:rPr>
        <w:t xml:space="preserve"> </w:t>
      </w:r>
      <w:r w:rsidRPr="00C32E31">
        <w:rPr>
          <w:rFonts w:hint="eastAsia"/>
          <w:rtl/>
          <w:lang w:val="en-GB"/>
        </w:rPr>
        <w:t>ד</w:t>
      </w:r>
      <w:r w:rsidRPr="00C32E31">
        <w:rPr>
          <w:rtl/>
          <w:lang w:val="en-GB"/>
        </w:rPr>
        <w:t>"</w:t>
      </w:r>
      <w:r w:rsidRPr="00C32E31">
        <w:rPr>
          <w:rFonts w:hint="eastAsia"/>
          <w:rtl/>
          <w:lang w:val="en-GB"/>
        </w:rPr>
        <w:t>ר</w:t>
      </w:r>
      <w:r w:rsidRPr="00C32E31">
        <w:rPr>
          <w:rtl/>
          <w:lang w:val="en-GB"/>
        </w:rPr>
        <w:t xml:space="preserve"> </w:t>
      </w:r>
      <w:r w:rsidRPr="00C32E31">
        <w:rPr>
          <w:rFonts w:hint="eastAsia"/>
          <w:rtl/>
          <w:lang w:val="en-GB"/>
        </w:rPr>
        <w:t>אביב</w:t>
      </w:r>
      <w:r w:rsidRPr="00C32E31">
        <w:rPr>
          <w:rtl/>
          <w:lang w:val="en-GB"/>
        </w:rPr>
        <w:t xml:space="preserve"> </w:t>
      </w:r>
      <w:r w:rsidRPr="00C32E31">
        <w:rPr>
          <w:rFonts w:hint="eastAsia"/>
          <w:rtl/>
          <w:lang w:val="en-GB"/>
        </w:rPr>
        <w:t>מלצר</w:t>
      </w:r>
      <w:r w:rsidRPr="00C32E31">
        <w:rPr>
          <w:rtl/>
          <w:lang w:val="en-GB"/>
        </w:rPr>
        <w:t>-</w:t>
      </w:r>
      <w:r w:rsidRPr="00C32E31">
        <w:rPr>
          <w:rFonts w:hint="eastAsia"/>
          <w:rtl/>
          <w:lang w:val="en-GB"/>
        </w:rPr>
        <w:t>פיין</w:t>
      </w:r>
    </w:p>
    <w:p w14:paraId="0D7EE3CB" w14:textId="381A0105" w:rsidR="00676881" w:rsidRDefault="00676881">
      <w:pPr>
        <w:pStyle w:val="FootnoteText"/>
        <w:rPr>
          <w:rtl/>
        </w:rPr>
      </w:pPr>
      <w:r>
        <w:rPr>
          <w:rStyle w:val="FootnoteReference"/>
        </w:rPr>
        <w:footnoteRef/>
      </w:r>
      <w:r>
        <w:rPr>
          <w:rtl/>
        </w:rPr>
        <w:t xml:space="preserve"> </w:t>
      </w:r>
      <w:r w:rsidR="005D521A">
        <w:rPr>
          <w:rtl/>
        </w:rPr>
        <w:tab/>
      </w:r>
      <w:r w:rsidRPr="00676881">
        <w:rPr>
          <w:rFonts w:hint="eastAsia"/>
          <w:rtl/>
        </w:rPr>
        <w:t>מבוססת</w:t>
      </w:r>
      <w:r w:rsidRPr="00676881">
        <w:rPr>
          <w:rtl/>
        </w:rPr>
        <w:t xml:space="preserve"> </w:t>
      </w:r>
      <w:r w:rsidRPr="00676881">
        <w:rPr>
          <w:rFonts w:hint="eastAsia"/>
          <w:rtl/>
        </w:rPr>
        <w:t>על</w:t>
      </w:r>
      <w:r w:rsidRPr="00676881">
        <w:rPr>
          <w:rtl/>
        </w:rPr>
        <w:t xml:space="preserve"> </w:t>
      </w:r>
      <w:r w:rsidRPr="00676881">
        <w:rPr>
          <w:rFonts w:hint="eastAsia"/>
          <w:rtl/>
        </w:rPr>
        <w:t>מאמרו</w:t>
      </w:r>
      <w:r w:rsidRPr="00676881">
        <w:rPr>
          <w:rtl/>
        </w:rPr>
        <w:t xml:space="preserve"> </w:t>
      </w:r>
      <w:r w:rsidRPr="00676881">
        <w:rPr>
          <w:rFonts w:hint="eastAsia"/>
          <w:rtl/>
        </w:rPr>
        <w:t>של</w:t>
      </w:r>
      <w:r w:rsidRPr="00676881">
        <w:rPr>
          <w:rtl/>
        </w:rPr>
        <w:t xml:space="preserve"> </w:t>
      </w:r>
      <w:r w:rsidRPr="00676881">
        <w:rPr>
          <w:rFonts w:hint="eastAsia"/>
          <w:rtl/>
        </w:rPr>
        <w:t>הרב</w:t>
      </w:r>
      <w:r w:rsidRPr="00676881">
        <w:rPr>
          <w:rtl/>
        </w:rPr>
        <w:t xml:space="preserve"> </w:t>
      </w:r>
      <w:r w:rsidRPr="00676881">
        <w:rPr>
          <w:rFonts w:hint="eastAsia"/>
          <w:rtl/>
        </w:rPr>
        <w:t>ד</w:t>
      </w:r>
      <w:r w:rsidRPr="00676881">
        <w:rPr>
          <w:rtl/>
        </w:rPr>
        <w:t>"</w:t>
      </w:r>
      <w:r w:rsidRPr="00676881">
        <w:rPr>
          <w:rFonts w:hint="eastAsia"/>
          <w:rtl/>
        </w:rPr>
        <w:t>ר</w:t>
      </w:r>
      <w:r w:rsidRPr="00676881">
        <w:rPr>
          <w:rtl/>
        </w:rPr>
        <w:t xml:space="preserve"> </w:t>
      </w:r>
      <w:r w:rsidRPr="00676881">
        <w:rPr>
          <w:rFonts w:hint="eastAsia"/>
          <w:rtl/>
        </w:rPr>
        <w:t>ארי</w:t>
      </w:r>
      <w:r w:rsidRPr="00676881">
        <w:rPr>
          <w:rtl/>
        </w:rPr>
        <w:t xml:space="preserve"> </w:t>
      </w:r>
      <w:r w:rsidRPr="00676881">
        <w:rPr>
          <w:rFonts w:hint="eastAsia"/>
          <w:rtl/>
        </w:rPr>
        <w:t>צבי</w:t>
      </w:r>
      <w:r w:rsidRPr="00676881">
        <w:rPr>
          <w:rtl/>
        </w:rPr>
        <w:t xml:space="preserve"> </w:t>
      </w:r>
      <w:r w:rsidRPr="00676881">
        <w:rPr>
          <w:rFonts w:hint="eastAsia"/>
          <w:rtl/>
        </w:rPr>
        <w:t>ז</w:t>
      </w:r>
      <w:r w:rsidRPr="00676881">
        <w:rPr>
          <w:rtl/>
        </w:rPr>
        <w:t>'</w:t>
      </w:r>
      <w:r w:rsidRPr="00676881">
        <w:rPr>
          <w:rFonts w:hint="eastAsia"/>
          <w:rtl/>
        </w:rPr>
        <w:t>בוטפסקי</w:t>
      </w:r>
      <w:r w:rsidRPr="00676881">
        <w:rPr>
          <w:rtl/>
        </w:rPr>
        <w:t>, "</w:t>
      </w:r>
      <w:r w:rsidRPr="00676881">
        <w:rPr>
          <w:rFonts w:hint="eastAsia"/>
          <w:rtl/>
        </w:rPr>
        <w:t>הפולמוס</w:t>
      </w:r>
      <w:r w:rsidRPr="00676881">
        <w:rPr>
          <w:rtl/>
        </w:rPr>
        <w:t xml:space="preserve"> </w:t>
      </w:r>
      <w:r w:rsidRPr="00676881">
        <w:rPr>
          <w:rFonts w:hint="eastAsia"/>
          <w:rtl/>
        </w:rPr>
        <w:t>אודות</w:t>
      </w:r>
      <w:r w:rsidRPr="00676881">
        <w:rPr>
          <w:rtl/>
        </w:rPr>
        <w:t xml:space="preserve"> </w:t>
      </w:r>
      <w:r w:rsidRPr="00676881">
        <w:rPr>
          <w:rFonts w:hint="eastAsia"/>
          <w:rtl/>
        </w:rPr>
        <w:t>כשרותו</w:t>
      </w:r>
      <w:r w:rsidRPr="00676881">
        <w:rPr>
          <w:rtl/>
        </w:rPr>
        <w:t xml:space="preserve"> </w:t>
      </w:r>
      <w:r w:rsidRPr="00676881">
        <w:rPr>
          <w:rFonts w:hint="eastAsia"/>
          <w:rtl/>
        </w:rPr>
        <w:t>של</w:t>
      </w:r>
      <w:r w:rsidRPr="00676881">
        <w:rPr>
          <w:rtl/>
        </w:rPr>
        <w:t xml:space="preserve"> </w:t>
      </w:r>
      <w:r w:rsidRPr="00676881">
        <w:rPr>
          <w:rFonts w:hint="eastAsia"/>
          <w:rtl/>
        </w:rPr>
        <w:t>דג</w:t>
      </w:r>
      <w:r w:rsidRPr="00676881">
        <w:rPr>
          <w:rtl/>
        </w:rPr>
        <w:t xml:space="preserve"> </w:t>
      </w:r>
      <w:r w:rsidRPr="00676881">
        <w:rPr>
          <w:rFonts w:hint="eastAsia"/>
          <w:rtl/>
        </w:rPr>
        <w:t>החרב</w:t>
      </w:r>
      <w:r w:rsidRPr="00676881">
        <w:rPr>
          <w:rtl/>
        </w:rPr>
        <w:t xml:space="preserve">" </w:t>
      </w:r>
      <w:r w:rsidRPr="00676881">
        <w:rPr>
          <w:rFonts w:hint="eastAsia"/>
          <w:rtl/>
        </w:rPr>
        <w:t>שפורסם</w:t>
      </w:r>
      <w:r w:rsidRPr="00676881">
        <w:rPr>
          <w:rtl/>
        </w:rPr>
        <w:t xml:space="preserve"> </w:t>
      </w:r>
      <w:r w:rsidRPr="00676881">
        <w:rPr>
          <w:rFonts w:hint="eastAsia"/>
          <w:rtl/>
        </w:rPr>
        <w:t>לראשונה</w:t>
      </w:r>
      <w:r w:rsidRPr="00676881">
        <w:rPr>
          <w:rtl/>
        </w:rPr>
        <w:t xml:space="preserve"> </w:t>
      </w:r>
      <w:r w:rsidRPr="00676881">
        <w:rPr>
          <w:rFonts w:hint="eastAsia"/>
          <w:rtl/>
        </w:rPr>
        <w:t>באנגלית</w:t>
      </w:r>
      <w:r w:rsidRPr="00676881">
        <w:rPr>
          <w:rtl/>
        </w:rPr>
        <w:t xml:space="preserve"> </w:t>
      </w:r>
      <w:r w:rsidRPr="00676881">
        <w:rPr>
          <w:rFonts w:hint="eastAsia"/>
          <w:rtl/>
        </w:rPr>
        <w:t>תחת</w:t>
      </w:r>
      <w:r w:rsidRPr="00676881">
        <w:rPr>
          <w:rtl/>
        </w:rPr>
        <w:t xml:space="preserve"> </w:t>
      </w:r>
      <w:r w:rsidRPr="00676881">
        <w:rPr>
          <w:rFonts w:hint="eastAsia"/>
          <w:rtl/>
        </w:rPr>
        <w:t>הכותרת</w:t>
      </w:r>
      <w:r w:rsidRPr="00676881">
        <w:rPr>
          <w:rtl/>
        </w:rPr>
        <w:t xml:space="preserve">: </w:t>
      </w:r>
      <w:r w:rsidRPr="00676881">
        <w:t>The Turning of the Tide: The Kashrut Tale of the Swordfish</w:t>
      </w:r>
      <w:r w:rsidRPr="00676881">
        <w:rPr>
          <w:rtl/>
        </w:rPr>
        <w:t xml:space="preserve"> </w:t>
      </w:r>
      <w:r w:rsidRPr="00676881">
        <w:rPr>
          <w:rFonts w:hint="eastAsia"/>
          <w:rtl/>
        </w:rPr>
        <w:t>בכתב</w:t>
      </w:r>
      <w:r w:rsidRPr="00676881">
        <w:rPr>
          <w:rtl/>
        </w:rPr>
        <w:t xml:space="preserve"> </w:t>
      </w:r>
      <w:r w:rsidRPr="00676881">
        <w:rPr>
          <w:rFonts w:hint="eastAsia"/>
          <w:rtl/>
        </w:rPr>
        <w:t>העת</w:t>
      </w:r>
      <w:r w:rsidRPr="00676881">
        <w:rPr>
          <w:rtl/>
        </w:rPr>
        <w:t xml:space="preserve"> </w:t>
      </w:r>
      <w:r w:rsidRPr="00676881">
        <w:rPr>
          <w:rFonts w:hint="eastAsia"/>
          <w:rtl/>
        </w:rPr>
        <w:t>בד</w:t>
      </w:r>
      <w:r w:rsidRPr="00676881">
        <w:rPr>
          <w:rtl/>
        </w:rPr>
        <w:t>"</w:t>
      </w:r>
      <w:r w:rsidRPr="00676881">
        <w:rPr>
          <w:rFonts w:hint="eastAsia"/>
          <w:rtl/>
        </w:rPr>
        <w:t>ד</w:t>
      </w:r>
      <w:r w:rsidRPr="00676881">
        <w:rPr>
          <w:rtl/>
        </w:rPr>
        <w:t xml:space="preserve">' </w:t>
      </w:r>
      <w:r w:rsidRPr="00676881">
        <w:rPr>
          <w:rFonts w:hint="eastAsia"/>
          <w:rtl/>
        </w:rPr>
        <w:t>הוצאת</w:t>
      </w:r>
      <w:r w:rsidRPr="00676881">
        <w:rPr>
          <w:rtl/>
        </w:rPr>
        <w:t xml:space="preserve"> </w:t>
      </w:r>
      <w:r w:rsidRPr="00676881">
        <w:rPr>
          <w:rFonts w:hint="eastAsia"/>
          <w:rtl/>
        </w:rPr>
        <w:t>אוני</w:t>
      </w:r>
      <w:r w:rsidRPr="00676881">
        <w:rPr>
          <w:rtl/>
        </w:rPr>
        <w:t xml:space="preserve">' </w:t>
      </w:r>
      <w:r w:rsidRPr="00676881">
        <w:rPr>
          <w:rFonts w:hint="eastAsia"/>
          <w:rtl/>
        </w:rPr>
        <w:t>ב</w:t>
      </w:r>
      <w:r w:rsidR="007F17DD">
        <w:rPr>
          <w:rFonts w:hint="cs"/>
          <w:rtl/>
        </w:rPr>
        <w:t>ר</w:t>
      </w:r>
      <w:r w:rsidRPr="00676881">
        <w:rPr>
          <w:rtl/>
        </w:rPr>
        <w:t xml:space="preserve"> </w:t>
      </w:r>
      <w:r w:rsidRPr="00676881">
        <w:rPr>
          <w:rFonts w:hint="eastAsia"/>
          <w:rtl/>
        </w:rPr>
        <w:t>אילן</w:t>
      </w:r>
      <w:r w:rsidRPr="00676881">
        <w:rPr>
          <w:rtl/>
        </w:rPr>
        <w:t xml:space="preserve">, </w:t>
      </w:r>
      <w:r w:rsidRPr="00676881">
        <w:rPr>
          <w:rFonts w:hint="eastAsia"/>
          <w:rtl/>
        </w:rPr>
        <w:t>גיליון</w:t>
      </w:r>
      <w:r w:rsidRPr="00676881">
        <w:rPr>
          <w:rtl/>
        </w:rPr>
        <w:t xml:space="preserve"> 19 (</w:t>
      </w:r>
      <w:r w:rsidRPr="00676881">
        <w:rPr>
          <w:rFonts w:hint="eastAsia"/>
          <w:rtl/>
        </w:rPr>
        <w:t>טבת</w:t>
      </w:r>
      <w:r w:rsidRPr="00676881">
        <w:rPr>
          <w:rtl/>
        </w:rPr>
        <w:t xml:space="preserve"> </w:t>
      </w:r>
      <w:r w:rsidRPr="00676881">
        <w:rPr>
          <w:rFonts w:hint="eastAsia"/>
          <w:rtl/>
        </w:rPr>
        <w:t>תשס</w:t>
      </w:r>
      <w:r w:rsidRPr="00676881">
        <w:rPr>
          <w:rtl/>
        </w:rPr>
        <w:t>"</w:t>
      </w:r>
      <w:r w:rsidRPr="00676881">
        <w:rPr>
          <w:rFonts w:hint="eastAsia"/>
          <w:rtl/>
        </w:rPr>
        <w:t>ח</w:t>
      </w:r>
      <w:r w:rsidRPr="00676881">
        <w:rPr>
          <w:rtl/>
        </w:rPr>
        <w:t xml:space="preserve">) </w:t>
      </w:r>
      <w:r w:rsidRPr="00676881">
        <w:rPr>
          <w:rFonts w:hint="eastAsia"/>
          <w:rtl/>
        </w:rPr>
        <w:t>עמ</w:t>
      </w:r>
      <w:r w:rsidRPr="00676881">
        <w:rPr>
          <w:rtl/>
        </w:rPr>
        <w:t xml:space="preserve">' 5 </w:t>
      </w:r>
      <w:r w:rsidRPr="00676881">
        <w:rPr>
          <w:rFonts w:hint="eastAsia"/>
          <w:rtl/>
        </w:rPr>
        <w:t>עד</w:t>
      </w:r>
      <w:r w:rsidRPr="00676881">
        <w:rPr>
          <w:rtl/>
        </w:rPr>
        <w:t xml:space="preserve"> </w:t>
      </w:r>
      <w:r w:rsidRPr="00676881">
        <w:rPr>
          <w:rFonts w:hint="eastAsia"/>
          <w:rtl/>
        </w:rPr>
        <w:t>עמ</w:t>
      </w:r>
      <w:r w:rsidRPr="00676881">
        <w:rPr>
          <w:rtl/>
        </w:rPr>
        <w:t>' 53.</w:t>
      </w:r>
    </w:p>
  </w:footnote>
  <w:footnote w:id="2">
    <w:p w14:paraId="35170A10" w14:textId="762D4ACE" w:rsidR="00113FCB" w:rsidRDefault="00113FCB">
      <w:pPr>
        <w:pStyle w:val="FootnoteText"/>
      </w:pPr>
      <w:r>
        <w:rPr>
          <w:rStyle w:val="FootnoteReference"/>
        </w:rPr>
        <w:footnoteRef/>
      </w:r>
      <w:r>
        <w:rPr>
          <w:rtl/>
        </w:rPr>
        <w:t xml:space="preserve"> </w:t>
      </w:r>
      <w:r w:rsidR="005D521A">
        <w:rPr>
          <w:rtl/>
        </w:rPr>
        <w:tab/>
      </w:r>
      <w:r>
        <w:rPr>
          <w:rFonts w:hint="cs"/>
          <w:rtl/>
        </w:rPr>
        <w:t xml:space="preserve">עבודה זרה </w:t>
      </w:r>
      <w:r w:rsidRPr="00113FCB">
        <w:rPr>
          <w:rFonts w:hint="eastAsia"/>
          <w:rtl/>
        </w:rPr>
        <w:t>לט</w:t>
      </w:r>
      <w:r w:rsidRPr="00113FCB">
        <w:rPr>
          <w:rtl/>
        </w:rPr>
        <w:t xml:space="preserve"> </w:t>
      </w:r>
      <w:r w:rsidRPr="00113FCB">
        <w:rPr>
          <w:rFonts w:hint="eastAsia"/>
          <w:rtl/>
        </w:rPr>
        <w:t>ע</w:t>
      </w:r>
      <w:r w:rsidRPr="00113FCB">
        <w:rPr>
          <w:rtl/>
        </w:rPr>
        <w:t>"</w:t>
      </w:r>
      <w:r w:rsidRPr="00113FCB">
        <w:rPr>
          <w:rFonts w:hint="eastAsia"/>
          <w:rtl/>
        </w:rPr>
        <w:t>א</w:t>
      </w:r>
    </w:p>
  </w:footnote>
  <w:footnote w:id="3">
    <w:p w14:paraId="06874131" w14:textId="0F10E8E2" w:rsidR="00070992" w:rsidRDefault="00070992">
      <w:pPr>
        <w:pStyle w:val="FootnoteText"/>
      </w:pPr>
      <w:r>
        <w:rPr>
          <w:rStyle w:val="FootnoteReference"/>
        </w:rPr>
        <w:footnoteRef/>
      </w:r>
      <w:r>
        <w:rPr>
          <w:rtl/>
        </w:rPr>
        <w:t xml:space="preserve"> </w:t>
      </w:r>
      <w:r w:rsidR="005D521A">
        <w:rPr>
          <w:rtl/>
        </w:rPr>
        <w:tab/>
      </w:r>
      <w:r w:rsidRPr="00070992">
        <w:rPr>
          <w:rFonts w:hint="eastAsia"/>
          <w:rtl/>
        </w:rPr>
        <w:t>חיבורו</w:t>
      </w:r>
      <w:r w:rsidRPr="00070992">
        <w:rPr>
          <w:rtl/>
        </w:rPr>
        <w:t xml:space="preserve"> </w:t>
      </w:r>
      <w:r w:rsidRPr="00070992">
        <w:rPr>
          <w:rFonts w:hint="eastAsia"/>
          <w:rtl/>
        </w:rPr>
        <w:t>המפורסם</w:t>
      </w:r>
      <w:r w:rsidRPr="00070992">
        <w:rPr>
          <w:rtl/>
        </w:rPr>
        <w:t xml:space="preserve"> </w:t>
      </w:r>
      <w:r w:rsidRPr="00070992">
        <w:rPr>
          <w:rFonts w:hint="eastAsia"/>
          <w:rtl/>
        </w:rPr>
        <w:t>של</w:t>
      </w:r>
      <w:r w:rsidRPr="00070992">
        <w:rPr>
          <w:rtl/>
        </w:rPr>
        <w:t xml:space="preserve"> </w:t>
      </w:r>
      <w:r w:rsidRPr="00070992">
        <w:rPr>
          <w:rFonts w:hint="eastAsia"/>
          <w:rtl/>
        </w:rPr>
        <w:t>הרב</w:t>
      </w:r>
      <w:r w:rsidRPr="00070992">
        <w:rPr>
          <w:rtl/>
        </w:rPr>
        <w:t xml:space="preserve"> </w:t>
      </w:r>
      <w:r w:rsidRPr="00070992">
        <w:rPr>
          <w:rFonts w:hint="eastAsia"/>
          <w:rtl/>
        </w:rPr>
        <w:t>חיים</w:t>
      </w:r>
      <w:r w:rsidRPr="00070992">
        <w:rPr>
          <w:rtl/>
        </w:rPr>
        <w:t xml:space="preserve"> </w:t>
      </w:r>
      <w:r w:rsidRPr="00070992">
        <w:rPr>
          <w:rFonts w:hint="eastAsia"/>
          <w:rtl/>
        </w:rPr>
        <w:t>בנבנישתי</w:t>
      </w:r>
      <w:r w:rsidRPr="00070992">
        <w:rPr>
          <w:rtl/>
        </w:rPr>
        <w:t xml:space="preserve">, </w:t>
      </w:r>
      <w:r w:rsidRPr="00070992">
        <w:rPr>
          <w:rFonts w:hint="eastAsia"/>
          <w:rtl/>
        </w:rPr>
        <w:t>ששימש</w:t>
      </w:r>
      <w:r w:rsidRPr="00070992">
        <w:rPr>
          <w:rtl/>
        </w:rPr>
        <w:t xml:space="preserve"> </w:t>
      </w:r>
      <w:r w:rsidRPr="00070992">
        <w:rPr>
          <w:rFonts w:hint="eastAsia"/>
          <w:rtl/>
        </w:rPr>
        <w:t>כרב</w:t>
      </w:r>
      <w:r w:rsidRPr="00070992">
        <w:rPr>
          <w:rtl/>
        </w:rPr>
        <w:t xml:space="preserve"> </w:t>
      </w:r>
      <w:r w:rsidRPr="00070992">
        <w:rPr>
          <w:rFonts w:hint="eastAsia"/>
          <w:rtl/>
        </w:rPr>
        <w:t>ופוסק</w:t>
      </w:r>
      <w:r w:rsidRPr="00070992">
        <w:rPr>
          <w:rtl/>
        </w:rPr>
        <w:t xml:space="preserve"> </w:t>
      </w:r>
      <w:r w:rsidRPr="00070992">
        <w:rPr>
          <w:rFonts w:hint="eastAsia"/>
          <w:rtl/>
        </w:rPr>
        <w:t>הלכה</w:t>
      </w:r>
      <w:r w:rsidRPr="00070992">
        <w:rPr>
          <w:rtl/>
        </w:rPr>
        <w:t xml:space="preserve"> </w:t>
      </w:r>
      <w:r w:rsidRPr="00070992">
        <w:rPr>
          <w:rFonts w:hint="eastAsia"/>
          <w:rtl/>
        </w:rPr>
        <w:t>באיזמיר</w:t>
      </w:r>
      <w:r w:rsidRPr="00070992">
        <w:rPr>
          <w:rtl/>
        </w:rPr>
        <w:t xml:space="preserve"> </w:t>
      </w:r>
      <w:r w:rsidRPr="00070992">
        <w:rPr>
          <w:rFonts w:hint="eastAsia"/>
          <w:rtl/>
        </w:rPr>
        <w:t>שבטורקיה</w:t>
      </w:r>
      <w:r w:rsidRPr="00070992">
        <w:rPr>
          <w:rtl/>
        </w:rPr>
        <w:t xml:space="preserve">, </w:t>
      </w:r>
      <w:r w:rsidRPr="00070992">
        <w:rPr>
          <w:rFonts w:hint="eastAsia"/>
          <w:rtl/>
        </w:rPr>
        <w:t>נקרא</w:t>
      </w:r>
      <w:r w:rsidRPr="00070992">
        <w:rPr>
          <w:rtl/>
        </w:rPr>
        <w:t xml:space="preserve"> "</w:t>
      </w:r>
      <w:r w:rsidRPr="00070992">
        <w:rPr>
          <w:rFonts w:hint="eastAsia"/>
          <w:rtl/>
        </w:rPr>
        <w:t>הכנסת</w:t>
      </w:r>
      <w:r w:rsidRPr="00070992">
        <w:rPr>
          <w:rtl/>
        </w:rPr>
        <w:t xml:space="preserve"> </w:t>
      </w:r>
      <w:r w:rsidRPr="00070992">
        <w:rPr>
          <w:rFonts w:hint="eastAsia"/>
          <w:rtl/>
        </w:rPr>
        <w:t>הגדולה</w:t>
      </w:r>
      <w:r w:rsidRPr="00070992">
        <w:rPr>
          <w:rtl/>
        </w:rPr>
        <w:t xml:space="preserve">" </w:t>
      </w:r>
      <w:r w:rsidRPr="00070992">
        <w:rPr>
          <w:rFonts w:hint="eastAsia"/>
          <w:rtl/>
        </w:rPr>
        <w:t>שנכתב</w:t>
      </w:r>
      <w:r w:rsidRPr="00070992">
        <w:rPr>
          <w:rtl/>
        </w:rPr>
        <w:t xml:space="preserve"> </w:t>
      </w:r>
      <w:r w:rsidRPr="00070992">
        <w:rPr>
          <w:rFonts w:hint="eastAsia"/>
          <w:rtl/>
        </w:rPr>
        <w:t>לפני</w:t>
      </w:r>
      <w:r w:rsidRPr="00070992">
        <w:rPr>
          <w:rtl/>
        </w:rPr>
        <w:t xml:space="preserve"> </w:t>
      </w:r>
      <w:r w:rsidRPr="00070992">
        <w:rPr>
          <w:rFonts w:hint="eastAsia"/>
          <w:rtl/>
        </w:rPr>
        <w:t>כשלוש</w:t>
      </w:r>
      <w:r w:rsidRPr="00070992">
        <w:rPr>
          <w:rtl/>
        </w:rPr>
        <w:t xml:space="preserve"> </w:t>
      </w:r>
      <w:r w:rsidRPr="00070992">
        <w:rPr>
          <w:rFonts w:hint="eastAsia"/>
          <w:rtl/>
        </w:rPr>
        <w:t>מאות</w:t>
      </w:r>
      <w:r w:rsidRPr="00070992">
        <w:rPr>
          <w:rtl/>
        </w:rPr>
        <w:t xml:space="preserve"> </w:t>
      </w:r>
      <w:r w:rsidRPr="00070992">
        <w:rPr>
          <w:rFonts w:hint="eastAsia"/>
          <w:rtl/>
        </w:rPr>
        <w:t>וחמישים</w:t>
      </w:r>
      <w:r w:rsidRPr="00070992">
        <w:rPr>
          <w:rtl/>
        </w:rPr>
        <w:t xml:space="preserve"> </w:t>
      </w:r>
      <w:r w:rsidRPr="00070992">
        <w:rPr>
          <w:rFonts w:hint="eastAsia"/>
          <w:rtl/>
        </w:rPr>
        <w:t>שנה</w:t>
      </w:r>
      <w:r w:rsidRPr="00070992">
        <w:rPr>
          <w:rtl/>
        </w:rPr>
        <w:t xml:space="preserve"> </w:t>
      </w:r>
      <w:r w:rsidRPr="00070992">
        <w:rPr>
          <w:rFonts w:hint="eastAsia"/>
          <w:rtl/>
        </w:rPr>
        <w:t>על</w:t>
      </w:r>
      <w:r w:rsidRPr="00070992">
        <w:rPr>
          <w:rtl/>
        </w:rPr>
        <w:t xml:space="preserve"> </w:t>
      </w:r>
      <w:r w:rsidRPr="00070992">
        <w:rPr>
          <w:rFonts w:hint="eastAsia"/>
          <w:rtl/>
        </w:rPr>
        <w:t>הטו</w:t>
      </w:r>
      <w:r w:rsidRPr="00070992">
        <w:rPr>
          <w:rtl/>
        </w:rPr>
        <w:t>"</w:t>
      </w:r>
      <w:r w:rsidRPr="00070992">
        <w:rPr>
          <w:rFonts w:hint="eastAsia"/>
          <w:rtl/>
        </w:rPr>
        <w:t>ר</w:t>
      </w:r>
      <w:r w:rsidRPr="00070992">
        <w:rPr>
          <w:rtl/>
        </w:rPr>
        <w:t xml:space="preserve"> </w:t>
      </w:r>
      <w:r w:rsidRPr="00070992">
        <w:rPr>
          <w:rFonts w:hint="eastAsia"/>
          <w:rtl/>
        </w:rPr>
        <w:t>והבית</w:t>
      </w:r>
      <w:r w:rsidRPr="00070992">
        <w:rPr>
          <w:rtl/>
        </w:rPr>
        <w:t xml:space="preserve"> </w:t>
      </w:r>
      <w:r w:rsidRPr="00070992">
        <w:rPr>
          <w:rFonts w:hint="eastAsia"/>
          <w:rtl/>
        </w:rPr>
        <w:t>יוסף</w:t>
      </w:r>
      <w:r w:rsidRPr="00070992">
        <w:rPr>
          <w:rtl/>
        </w:rPr>
        <w:t xml:space="preserve">. </w:t>
      </w:r>
      <w:r w:rsidRPr="00070992">
        <w:rPr>
          <w:rFonts w:hint="eastAsia"/>
          <w:rtl/>
        </w:rPr>
        <w:t>על</w:t>
      </w:r>
      <w:r w:rsidRPr="00070992">
        <w:rPr>
          <w:rtl/>
        </w:rPr>
        <w:t xml:space="preserve"> </w:t>
      </w:r>
      <w:r w:rsidRPr="00070992">
        <w:rPr>
          <w:rFonts w:hint="eastAsia"/>
          <w:rtl/>
        </w:rPr>
        <w:t>שמו</w:t>
      </w:r>
      <w:r w:rsidRPr="00070992">
        <w:rPr>
          <w:rtl/>
        </w:rPr>
        <w:t xml:space="preserve"> </w:t>
      </w:r>
      <w:r w:rsidRPr="00070992">
        <w:rPr>
          <w:rFonts w:hint="eastAsia"/>
          <w:rtl/>
        </w:rPr>
        <w:t>של</w:t>
      </w:r>
      <w:r w:rsidRPr="00070992">
        <w:rPr>
          <w:rtl/>
        </w:rPr>
        <w:t xml:space="preserve"> </w:t>
      </w:r>
      <w:r w:rsidRPr="00070992">
        <w:rPr>
          <w:rFonts w:hint="eastAsia"/>
          <w:rtl/>
        </w:rPr>
        <w:t>חיבור</w:t>
      </w:r>
      <w:r w:rsidRPr="00070992">
        <w:rPr>
          <w:rtl/>
        </w:rPr>
        <w:t xml:space="preserve"> </w:t>
      </w:r>
      <w:r w:rsidRPr="00070992">
        <w:rPr>
          <w:rFonts w:hint="eastAsia"/>
          <w:rtl/>
        </w:rPr>
        <w:t>זה</w:t>
      </w:r>
      <w:r w:rsidRPr="00070992">
        <w:rPr>
          <w:rtl/>
        </w:rPr>
        <w:t xml:space="preserve"> </w:t>
      </w:r>
      <w:r w:rsidRPr="00070992">
        <w:rPr>
          <w:rFonts w:hint="eastAsia"/>
          <w:rtl/>
        </w:rPr>
        <w:t>כונה</w:t>
      </w:r>
      <w:r w:rsidRPr="00070992">
        <w:rPr>
          <w:rtl/>
        </w:rPr>
        <w:t xml:space="preserve"> </w:t>
      </w:r>
      <w:r w:rsidRPr="00070992">
        <w:rPr>
          <w:rFonts w:hint="eastAsia"/>
          <w:rtl/>
        </w:rPr>
        <w:t>הרב</w:t>
      </w:r>
      <w:r w:rsidRPr="00070992">
        <w:rPr>
          <w:rtl/>
        </w:rPr>
        <w:t xml:space="preserve"> </w:t>
      </w:r>
      <w:r w:rsidRPr="00070992">
        <w:rPr>
          <w:rFonts w:hint="eastAsia"/>
          <w:rtl/>
        </w:rPr>
        <w:t>בנבנישתי</w:t>
      </w:r>
      <w:r w:rsidRPr="00070992">
        <w:rPr>
          <w:rtl/>
        </w:rPr>
        <w:t xml:space="preserve"> "</w:t>
      </w:r>
      <w:r w:rsidRPr="00070992">
        <w:rPr>
          <w:rFonts w:hint="eastAsia"/>
          <w:rtl/>
        </w:rPr>
        <w:t>בעל</w:t>
      </w:r>
      <w:r w:rsidRPr="00070992">
        <w:rPr>
          <w:rtl/>
        </w:rPr>
        <w:t xml:space="preserve"> </w:t>
      </w:r>
      <w:r w:rsidRPr="00070992">
        <w:rPr>
          <w:rFonts w:hint="eastAsia"/>
          <w:rtl/>
        </w:rPr>
        <w:t>הכנסת</w:t>
      </w:r>
      <w:r w:rsidRPr="00070992">
        <w:rPr>
          <w:rtl/>
        </w:rPr>
        <w:t xml:space="preserve"> </w:t>
      </w:r>
      <w:r w:rsidRPr="00070992">
        <w:rPr>
          <w:rFonts w:hint="eastAsia"/>
          <w:rtl/>
        </w:rPr>
        <w:t>הגדולה</w:t>
      </w:r>
      <w:r w:rsidRPr="00070992">
        <w:rPr>
          <w:rtl/>
        </w:rPr>
        <w:t xml:space="preserve">" </w:t>
      </w:r>
      <w:r w:rsidRPr="00070992">
        <w:rPr>
          <w:rFonts w:hint="eastAsia"/>
          <w:rtl/>
        </w:rPr>
        <w:t>אך</w:t>
      </w:r>
      <w:r w:rsidRPr="00070992">
        <w:rPr>
          <w:rtl/>
        </w:rPr>
        <w:t xml:space="preserve"> </w:t>
      </w:r>
      <w:r w:rsidRPr="00070992">
        <w:rPr>
          <w:rFonts w:hint="eastAsia"/>
          <w:rtl/>
        </w:rPr>
        <w:t>הוא</w:t>
      </w:r>
      <w:r w:rsidRPr="00070992">
        <w:rPr>
          <w:rtl/>
        </w:rPr>
        <w:t xml:space="preserve"> </w:t>
      </w:r>
      <w:r w:rsidRPr="00070992">
        <w:rPr>
          <w:rFonts w:hint="eastAsia"/>
          <w:rtl/>
        </w:rPr>
        <w:t>ידוע</w:t>
      </w:r>
      <w:r w:rsidRPr="00070992">
        <w:rPr>
          <w:rtl/>
        </w:rPr>
        <w:t xml:space="preserve"> </w:t>
      </w:r>
      <w:r w:rsidRPr="00070992">
        <w:rPr>
          <w:rFonts w:hint="eastAsia"/>
          <w:rtl/>
        </w:rPr>
        <w:t>גם</w:t>
      </w:r>
      <w:r w:rsidRPr="00070992">
        <w:rPr>
          <w:rtl/>
        </w:rPr>
        <w:t xml:space="preserve"> </w:t>
      </w:r>
      <w:r w:rsidRPr="00070992">
        <w:rPr>
          <w:rFonts w:hint="eastAsia"/>
          <w:rtl/>
        </w:rPr>
        <w:t>בכינויו</w:t>
      </w:r>
      <w:r w:rsidRPr="00070992">
        <w:rPr>
          <w:rtl/>
        </w:rPr>
        <w:t xml:space="preserve"> "</w:t>
      </w:r>
      <w:r w:rsidRPr="00070992">
        <w:rPr>
          <w:rFonts w:hint="eastAsia"/>
          <w:rtl/>
        </w:rPr>
        <w:t>החבי</w:t>
      </w:r>
      <w:r w:rsidRPr="00070992">
        <w:rPr>
          <w:rtl/>
        </w:rPr>
        <w:t>"</w:t>
      </w:r>
      <w:r w:rsidRPr="00070992">
        <w:rPr>
          <w:rFonts w:hint="eastAsia"/>
          <w:rtl/>
        </w:rPr>
        <w:t>ב</w:t>
      </w:r>
      <w:r w:rsidRPr="00070992">
        <w:rPr>
          <w:rtl/>
        </w:rPr>
        <w:t>".</w:t>
      </w:r>
      <w:r w:rsidR="007810E6">
        <w:rPr>
          <w:rtl/>
        </w:rPr>
        <w:t xml:space="preserve"> </w:t>
      </w:r>
    </w:p>
  </w:footnote>
  <w:footnote w:id="4">
    <w:p w14:paraId="40FC29B5" w14:textId="4E797727" w:rsidR="00D420C1" w:rsidRDefault="00D420C1">
      <w:pPr>
        <w:pStyle w:val="FootnoteText"/>
        <w:rPr>
          <w:rFonts w:hint="cs"/>
          <w:rtl/>
        </w:rPr>
      </w:pPr>
      <w:r>
        <w:rPr>
          <w:rStyle w:val="FootnoteReference"/>
        </w:rPr>
        <w:footnoteRef/>
      </w:r>
      <w:r>
        <w:rPr>
          <w:rtl/>
        </w:rPr>
        <w:t xml:space="preserve"> </w:t>
      </w:r>
      <w:r w:rsidR="005D521A">
        <w:rPr>
          <w:rtl/>
        </w:rPr>
        <w:tab/>
      </w:r>
      <w:r w:rsidRPr="00D420C1">
        <w:rPr>
          <w:rFonts w:hint="eastAsia"/>
          <w:rtl/>
        </w:rPr>
        <w:t>עיין</w:t>
      </w:r>
      <w:r w:rsidRPr="00D420C1">
        <w:rPr>
          <w:rtl/>
        </w:rPr>
        <w:t xml:space="preserve"> </w:t>
      </w:r>
      <w:r w:rsidRPr="00D420C1">
        <w:rPr>
          <w:rFonts w:hint="eastAsia"/>
          <w:rtl/>
        </w:rPr>
        <w:t>הגהות</w:t>
      </w:r>
      <w:r w:rsidRPr="00D420C1">
        <w:rPr>
          <w:rtl/>
        </w:rPr>
        <w:t xml:space="preserve"> </w:t>
      </w:r>
      <w:r w:rsidRPr="00D420C1">
        <w:rPr>
          <w:rFonts w:hint="eastAsia"/>
          <w:rtl/>
        </w:rPr>
        <w:t>ב</w:t>
      </w:r>
      <w:r w:rsidRPr="00D420C1">
        <w:rPr>
          <w:rtl/>
        </w:rPr>
        <w:t>"</w:t>
      </w:r>
      <w:r w:rsidRPr="00D420C1">
        <w:rPr>
          <w:rFonts w:hint="eastAsia"/>
          <w:rtl/>
        </w:rPr>
        <w:t>י</w:t>
      </w:r>
      <w:r w:rsidRPr="00D420C1">
        <w:rPr>
          <w:rtl/>
        </w:rPr>
        <w:t xml:space="preserve">, </w:t>
      </w:r>
      <w:r w:rsidRPr="00D420C1">
        <w:rPr>
          <w:rFonts w:hint="eastAsia"/>
          <w:rtl/>
        </w:rPr>
        <w:t>אות</w:t>
      </w:r>
      <w:r w:rsidRPr="00D420C1">
        <w:rPr>
          <w:rtl/>
        </w:rPr>
        <w:t xml:space="preserve"> </w:t>
      </w:r>
      <w:r w:rsidRPr="00D420C1">
        <w:rPr>
          <w:rFonts w:hint="eastAsia"/>
          <w:rtl/>
        </w:rPr>
        <w:t>עד</w:t>
      </w:r>
      <w:r w:rsidRPr="00D420C1">
        <w:rPr>
          <w:rtl/>
        </w:rPr>
        <w:t xml:space="preserve">, </w:t>
      </w:r>
      <w:r w:rsidRPr="00D420C1">
        <w:rPr>
          <w:rFonts w:hint="eastAsia"/>
          <w:rtl/>
        </w:rPr>
        <w:t>שפתי</w:t>
      </w:r>
      <w:r w:rsidRPr="00D420C1">
        <w:rPr>
          <w:rtl/>
        </w:rPr>
        <w:t xml:space="preserve"> </w:t>
      </w:r>
      <w:r w:rsidRPr="00D420C1">
        <w:rPr>
          <w:rFonts w:hint="eastAsia"/>
          <w:rtl/>
        </w:rPr>
        <w:t>דעת</w:t>
      </w:r>
      <w:r w:rsidRPr="00D420C1">
        <w:rPr>
          <w:rtl/>
        </w:rPr>
        <w:t xml:space="preserve"> </w:t>
      </w:r>
      <w:r w:rsidRPr="00D420C1">
        <w:rPr>
          <w:rFonts w:hint="eastAsia"/>
          <w:rtl/>
        </w:rPr>
        <w:t>אות</w:t>
      </w:r>
      <w:r w:rsidRPr="00D420C1">
        <w:rPr>
          <w:rtl/>
        </w:rPr>
        <w:t xml:space="preserve"> </w:t>
      </w:r>
      <w:r w:rsidRPr="00D420C1">
        <w:rPr>
          <w:rFonts w:hint="eastAsia"/>
          <w:rtl/>
        </w:rPr>
        <w:t>ב</w:t>
      </w:r>
      <w:r w:rsidRPr="00D420C1">
        <w:rPr>
          <w:rtl/>
        </w:rPr>
        <w:t xml:space="preserve">, </w:t>
      </w:r>
      <w:r w:rsidRPr="00D420C1">
        <w:rPr>
          <w:rFonts w:hint="eastAsia"/>
          <w:rtl/>
        </w:rPr>
        <w:t>זבח</w:t>
      </w:r>
      <w:r w:rsidRPr="00D420C1">
        <w:rPr>
          <w:rtl/>
        </w:rPr>
        <w:t xml:space="preserve"> </w:t>
      </w:r>
      <w:r w:rsidRPr="00D420C1">
        <w:rPr>
          <w:rFonts w:hint="eastAsia"/>
          <w:rtl/>
        </w:rPr>
        <w:t>צדק</w:t>
      </w:r>
      <w:r w:rsidRPr="00D420C1">
        <w:rPr>
          <w:rtl/>
        </w:rPr>
        <w:t xml:space="preserve"> </w:t>
      </w:r>
      <w:r w:rsidRPr="00D420C1">
        <w:rPr>
          <w:rFonts w:hint="eastAsia"/>
          <w:rtl/>
        </w:rPr>
        <w:t>אות</w:t>
      </w:r>
      <w:r w:rsidRPr="00D420C1">
        <w:rPr>
          <w:rtl/>
        </w:rPr>
        <w:t xml:space="preserve"> </w:t>
      </w:r>
      <w:r w:rsidRPr="00D420C1">
        <w:rPr>
          <w:rFonts w:hint="eastAsia"/>
          <w:rtl/>
        </w:rPr>
        <w:t>ח</w:t>
      </w:r>
      <w:r w:rsidRPr="00D420C1">
        <w:rPr>
          <w:rtl/>
        </w:rPr>
        <w:t xml:space="preserve">, </w:t>
      </w:r>
      <w:r w:rsidRPr="00D420C1">
        <w:rPr>
          <w:rFonts w:hint="eastAsia"/>
          <w:rtl/>
        </w:rPr>
        <w:t>כף</w:t>
      </w:r>
      <w:r w:rsidRPr="00D420C1">
        <w:rPr>
          <w:rtl/>
        </w:rPr>
        <w:t xml:space="preserve"> </w:t>
      </w:r>
      <w:r w:rsidRPr="00D420C1">
        <w:rPr>
          <w:rFonts w:hint="eastAsia"/>
          <w:rtl/>
        </w:rPr>
        <w:t>החיים</w:t>
      </w:r>
      <w:r w:rsidRPr="00D420C1">
        <w:rPr>
          <w:rtl/>
        </w:rPr>
        <w:t xml:space="preserve"> </w:t>
      </w:r>
      <w:r w:rsidRPr="00D420C1">
        <w:rPr>
          <w:rFonts w:hint="eastAsia"/>
          <w:rtl/>
        </w:rPr>
        <w:t>יורה</w:t>
      </w:r>
      <w:r w:rsidRPr="00D420C1">
        <w:rPr>
          <w:rtl/>
        </w:rPr>
        <w:t xml:space="preserve"> </w:t>
      </w:r>
      <w:r w:rsidRPr="00D420C1">
        <w:rPr>
          <w:rFonts w:hint="eastAsia"/>
          <w:rtl/>
        </w:rPr>
        <w:t>דעה</w:t>
      </w:r>
      <w:r w:rsidRPr="00D420C1">
        <w:rPr>
          <w:rtl/>
        </w:rPr>
        <w:t xml:space="preserve"> </w:t>
      </w:r>
      <w:r w:rsidRPr="00D420C1">
        <w:rPr>
          <w:rFonts w:hint="eastAsia"/>
          <w:rtl/>
        </w:rPr>
        <w:t>סימן</w:t>
      </w:r>
      <w:r w:rsidRPr="00D420C1">
        <w:rPr>
          <w:rtl/>
        </w:rPr>
        <w:t xml:space="preserve"> </w:t>
      </w:r>
      <w:r w:rsidRPr="00D420C1">
        <w:rPr>
          <w:rFonts w:hint="eastAsia"/>
          <w:rtl/>
        </w:rPr>
        <w:t>פג</w:t>
      </w:r>
      <w:r w:rsidRPr="00D420C1">
        <w:rPr>
          <w:rtl/>
        </w:rPr>
        <w:t xml:space="preserve"> </w:t>
      </w:r>
      <w:r w:rsidRPr="00D420C1">
        <w:rPr>
          <w:rFonts w:hint="eastAsia"/>
          <w:rtl/>
        </w:rPr>
        <w:t>אות</w:t>
      </w:r>
      <w:r w:rsidRPr="00D420C1">
        <w:rPr>
          <w:rtl/>
        </w:rPr>
        <w:t xml:space="preserve"> </w:t>
      </w:r>
      <w:r w:rsidRPr="00D420C1">
        <w:rPr>
          <w:rFonts w:hint="eastAsia"/>
          <w:rtl/>
        </w:rPr>
        <w:t>ט</w:t>
      </w:r>
    </w:p>
  </w:footnote>
  <w:footnote w:id="5">
    <w:p w14:paraId="211591BD" w14:textId="7ED34710" w:rsidR="00D420C1" w:rsidRDefault="00D420C1">
      <w:pPr>
        <w:pStyle w:val="FootnoteText"/>
        <w:rPr>
          <w:rFonts w:hint="cs"/>
          <w:rtl/>
        </w:rPr>
      </w:pPr>
      <w:r>
        <w:rPr>
          <w:rStyle w:val="FootnoteReference"/>
        </w:rPr>
        <w:footnoteRef/>
      </w:r>
      <w:r>
        <w:rPr>
          <w:rtl/>
        </w:rPr>
        <w:t xml:space="preserve"> </w:t>
      </w:r>
      <w:r w:rsidR="005D521A">
        <w:rPr>
          <w:rtl/>
        </w:rPr>
        <w:tab/>
      </w:r>
      <w:r>
        <w:rPr>
          <w:rFonts w:hint="cs"/>
          <w:rtl/>
        </w:rPr>
        <w:t>שם.</w:t>
      </w:r>
    </w:p>
  </w:footnote>
  <w:footnote w:id="6">
    <w:p w14:paraId="221D7AF4" w14:textId="6BED8472" w:rsidR="00857BA4" w:rsidRDefault="00857BA4">
      <w:pPr>
        <w:pStyle w:val="FootnoteText"/>
      </w:pPr>
      <w:r>
        <w:rPr>
          <w:rStyle w:val="FootnoteReference"/>
        </w:rPr>
        <w:footnoteRef/>
      </w:r>
      <w:r>
        <w:rPr>
          <w:rtl/>
        </w:rPr>
        <w:t xml:space="preserve"> </w:t>
      </w:r>
      <w:r w:rsidR="005D521A">
        <w:rPr>
          <w:rtl/>
        </w:rPr>
        <w:tab/>
      </w:r>
      <w:r w:rsidRPr="00857BA4">
        <w:rPr>
          <w:rtl/>
        </w:rPr>
        <w:t xml:space="preserve">[5] </w:t>
      </w:r>
      <w:r w:rsidRPr="00857BA4">
        <w:rPr>
          <w:rFonts w:hint="eastAsia"/>
          <w:rtl/>
        </w:rPr>
        <w:t>מראשי</w:t>
      </w:r>
      <w:r w:rsidRPr="00857BA4">
        <w:rPr>
          <w:rtl/>
        </w:rPr>
        <w:t xml:space="preserve"> </w:t>
      </w:r>
      <w:r w:rsidRPr="00857BA4">
        <w:rPr>
          <w:rFonts w:hint="eastAsia"/>
          <w:rtl/>
        </w:rPr>
        <w:t>ישיבת</w:t>
      </w:r>
      <w:r w:rsidRPr="00857BA4">
        <w:rPr>
          <w:rtl/>
        </w:rPr>
        <w:t xml:space="preserve"> </w:t>
      </w:r>
      <w:r w:rsidRPr="00857BA4">
        <w:rPr>
          <w:rFonts w:hint="eastAsia"/>
          <w:rtl/>
        </w:rPr>
        <w:t>רבינו</w:t>
      </w:r>
      <w:r w:rsidRPr="00857BA4">
        <w:rPr>
          <w:rtl/>
        </w:rPr>
        <w:t xml:space="preserve"> </w:t>
      </w:r>
      <w:r w:rsidRPr="00857BA4">
        <w:rPr>
          <w:rFonts w:hint="eastAsia"/>
          <w:rtl/>
        </w:rPr>
        <w:t>יצחק</w:t>
      </w:r>
      <w:r w:rsidRPr="00857BA4">
        <w:rPr>
          <w:rtl/>
        </w:rPr>
        <w:t xml:space="preserve"> </w:t>
      </w:r>
      <w:r w:rsidRPr="00857BA4">
        <w:rPr>
          <w:rFonts w:hint="eastAsia"/>
          <w:rtl/>
        </w:rPr>
        <w:t>אלחנן</w:t>
      </w:r>
      <w:r w:rsidRPr="00857BA4">
        <w:rPr>
          <w:rtl/>
        </w:rPr>
        <w:t xml:space="preserve">, </w:t>
      </w:r>
      <w:r w:rsidRPr="00857BA4">
        <w:rPr>
          <w:rFonts w:hint="eastAsia"/>
          <w:rtl/>
        </w:rPr>
        <w:t>פרופסור</w:t>
      </w:r>
      <w:r w:rsidRPr="00857BA4">
        <w:rPr>
          <w:rtl/>
        </w:rPr>
        <w:t xml:space="preserve"> </w:t>
      </w:r>
      <w:r w:rsidRPr="00857BA4">
        <w:rPr>
          <w:rFonts w:hint="eastAsia"/>
          <w:rtl/>
        </w:rPr>
        <w:t>לביולוגיה</w:t>
      </w:r>
      <w:r w:rsidRPr="00857BA4">
        <w:rPr>
          <w:rtl/>
        </w:rPr>
        <w:t xml:space="preserve"> </w:t>
      </w:r>
      <w:r w:rsidRPr="00857BA4">
        <w:rPr>
          <w:rFonts w:hint="eastAsia"/>
          <w:rtl/>
        </w:rPr>
        <w:t>ומומחה</w:t>
      </w:r>
      <w:r w:rsidRPr="00857BA4">
        <w:rPr>
          <w:rtl/>
        </w:rPr>
        <w:t xml:space="preserve"> </w:t>
      </w:r>
      <w:r w:rsidRPr="00857BA4">
        <w:rPr>
          <w:rFonts w:hint="eastAsia"/>
          <w:rtl/>
        </w:rPr>
        <w:t>באתיקה</w:t>
      </w:r>
      <w:r w:rsidRPr="00857BA4">
        <w:rPr>
          <w:rtl/>
        </w:rPr>
        <w:t xml:space="preserve"> </w:t>
      </w:r>
      <w:r w:rsidRPr="00857BA4">
        <w:rPr>
          <w:rFonts w:hint="eastAsia"/>
          <w:rtl/>
        </w:rPr>
        <w:t>רפואית</w:t>
      </w:r>
      <w:r w:rsidRPr="00857BA4">
        <w:rPr>
          <w:rtl/>
        </w:rPr>
        <w:t xml:space="preserve">, </w:t>
      </w:r>
      <w:r w:rsidRPr="00857BA4">
        <w:rPr>
          <w:rFonts w:hint="eastAsia"/>
          <w:rtl/>
        </w:rPr>
        <w:t>חתנו</w:t>
      </w:r>
      <w:r w:rsidRPr="00857BA4">
        <w:rPr>
          <w:rtl/>
        </w:rPr>
        <w:t xml:space="preserve"> </w:t>
      </w:r>
      <w:r w:rsidRPr="00857BA4">
        <w:rPr>
          <w:rFonts w:hint="eastAsia"/>
          <w:rtl/>
        </w:rPr>
        <w:t>של</w:t>
      </w:r>
      <w:r w:rsidRPr="00857BA4">
        <w:rPr>
          <w:rtl/>
        </w:rPr>
        <w:t xml:space="preserve"> </w:t>
      </w:r>
      <w:r w:rsidRPr="00857BA4">
        <w:rPr>
          <w:rFonts w:hint="eastAsia"/>
          <w:rtl/>
        </w:rPr>
        <w:t>הרב</w:t>
      </w:r>
      <w:r w:rsidRPr="00857BA4">
        <w:rPr>
          <w:rtl/>
        </w:rPr>
        <w:t xml:space="preserve"> </w:t>
      </w:r>
      <w:r w:rsidRPr="00857BA4">
        <w:rPr>
          <w:rFonts w:hint="eastAsia"/>
          <w:rtl/>
        </w:rPr>
        <w:t>משה</w:t>
      </w:r>
      <w:r w:rsidRPr="00857BA4">
        <w:rPr>
          <w:rtl/>
        </w:rPr>
        <w:t xml:space="preserve"> </w:t>
      </w:r>
      <w:r w:rsidRPr="00857BA4">
        <w:rPr>
          <w:rFonts w:hint="eastAsia"/>
          <w:rtl/>
        </w:rPr>
        <w:t>פיינשטיין</w:t>
      </w:r>
      <w:r w:rsidRPr="00857BA4">
        <w:rPr>
          <w:rtl/>
        </w:rPr>
        <w:t xml:space="preserve"> </w:t>
      </w:r>
      <w:r w:rsidRPr="00857BA4">
        <w:rPr>
          <w:rFonts w:hint="eastAsia"/>
          <w:rtl/>
        </w:rPr>
        <w:t>ועורך</w:t>
      </w:r>
      <w:r w:rsidRPr="00857BA4">
        <w:rPr>
          <w:rtl/>
        </w:rPr>
        <w:t xml:space="preserve"> </w:t>
      </w:r>
      <w:r w:rsidRPr="00857BA4">
        <w:rPr>
          <w:rFonts w:hint="eastAsia"/>
          <w:rtl/>
        </w:rPr>
        <w:t>חלק</w:t>
      </w:r>
      <w:r w:rsidRPr="00857BA4">
        <w:rPr>
          <w:rtl/>
        </w:rPr>
        <w:t xml:space="preserve"> </w:t>
      </w:r>
      <w:r w:rsidRPr="00857BA4">
        <w:rPr>
          <w:rFonts w:hint="eastAsia"/>
          <w:rtl/>
        </w:rPr>
        <w:t>מכתביו</w:t>
      </w:r>
      <w:r w:rsidRPr="00857BA4">
        <w:rPr>
          <w:rtl/>
        </w:rPr>
        <w:t>.</w:t>
      </w:r>
    </w:p>
  </w:footnote>
  <w:footnote w:id="7">
    <w:p w14:paraId="33AA42E9" w14:textId="2BCF0893" w:rsidR="00BD2BF2" w:rsidRDefault="00BD2BF2" w:rsidP="00BB3030">
      <w:pPr>
        <w:pStyle w:val="FootnoteText"/>
      </w:pPr>
      <w:r>
        <w:rPr>
          <w:rStyle w:val="FootnoteReference"/>
        </w:rPr>
        <w:footnoteRef/>
      </w:r>
      <w:r>
        <w:rPr>
          <w:rtl/>
        </w:rPr>
        <w:t xml:space="preserve"> </w:t>
      </w:r>
      <w:r w:rsidR="005D521A">
        <w:rPr>
          <w:rtl/>
        </w:rPr>
        <w:tab/>
      </w:r>
      <w:r w:rsidRPr="00BD2BF2">
        <w:rPr>
          <w:rFonts w:hint="eastAsia"/>
          <w:rtl/>
        </w:rPr>
        <w:t>ממנהיגי</w:t>
      </w:r>
      <w:r w:rsidRPr="00BD2BF2">
        <w:rPr>
          <w:rtl/>
        </w:rPr>
        <w:t xml:space="preserve"> </w:t>
      </w:r>
      <w:r w:rsidRPr="00BD2BF2">
        <w:rPr>
          <w:rFonts w:hint="eastAsia"/>
          <w:rtl/>
        </w:rPr>
        <w:t>תנועת</w:t>
      </w:r>
      <w:r w:rsidRPr="00BD2BF2">
        <w:rPr>
          <w:rtl/>
        </w:rPr>
        <w:t xml:space="preserve"> "</w:t>
      </w:r>
      <w:r w:rsidRPr="00BD2BF2">
        <w:rPr>
          <w:rFonts w:hint="eastAsia"/>
          <w:rtl/>
        </w:rPr>
        <w:t>המזרחי</w:t>
      </w:r>
      <w:r w:rsidRPr="00BD2BF2">
        <w:rPr>
          <w:rtl/>
        </w:rPr>
        <w:t xml:space="preserve">". </w:t>
      </w:r>
      <w:r w:rsidRPr="00BD2BF2">
        <w:rPr>
          <w:rFonts w:hint="eastAsia"/>
          <w:rtl/>
        </w:rPr>
        <w:t>רבה</w:t>
      </w:r>
      <w:r w:rsidRPr="00BD2BF2">
        <w:rPr>
          <w:rtl/>
        </w:rPr>
        <w:t xml:space="preserve"> </w:t>
      </w:r>
      <w:r w:rsidRPr="00BD2BF2">
        <w:rPr>
          <w:rFonts w:hint="eastAsia"/>
          <w:rtl/>
        </w:rPr>
        <w:t>הראשי</w:t>
      </w:r>
      <w:r w:rsidRPr="00BD2BF2">
        <w:rPr>
          <w:rtl/>
        </w:rPr>
        <w:t xml:space="preserve"> </w:t>
      </w:r>
      <w:r w:rsidRPr="00BD2BF2">
        <w:rPr>
          <w:rFonts w:hint="eastAsia"/>
          <w:rtl/>
        </w:rPr>
        <w:t>השלישי</w:t>
      </w:r>
      <w:r w:rsidRPr="00BD2BF2">
        <w:rPr>
          <w:rtl/>
        </w:rPr>
        <w:t xml:space="preserve"> </w:t>
      </w:r>
      <w:r w:rsidRPr="00BD2BF2">
        <w:rPr>
          <w:rFonts w:hint="eastAsia"/>
          <w:rtl/>
        </w:rPr>
        <w:t>של</w:t>
      </w:r>
      <w:r w:rsidRPr="00BD2BF2">
        <w:rPr>
          <w:rtl/>
        </w:rPr>
        <w:t xml:space="preserve"> </w:t>
      </w:r>
      <w:r w:rsidRPr="00BD2BF2">
        <w:rPr>
          <w:rFonts w:hint="eastAsia"/>
          <w:rtl/>
        </w:rPr>
        <w:t>העיר</w:t>
      </w:r>
      <w:r w:rsidRPr="00BD2BF2">
        <w:rPr>
          <w:rtl/>
        </w:rPr>
        <w:t xml:space="preserve"> </w:t>
      </w:r>
      <w:r w:rsidRPr="00BD2BF2">
        <w:rPr>
          <w:rFonts w:hint="eastAsia"/>
          <w:rtl/>
        </w:rPr>
        <w:t>תל</w:t>
      </w:r>
      <w:r w:rsidRPr="00BD2BF2">
        <w:rPr>
          <w:rtl/>
        </w:rPr>
        <w:t xml:space="preserve"> </w:t>
      </w:r>
      <w:r w:rsidRPr="00BD2BF2">
        <w:rPr>
          <w:rFonts w:hint="eastAsia"/>
          <w:rtl/>
        </w:rPr>
        <w:t>אביב</w:t>
      </w:r>
      <w:r w:rsidRPr="00BD2BF2">
        <w:rPr>
          <w:rtl/>
        </w:rPr>
        <w:t xml:space="preserve"> </w:t>
      </w:r>
      <w:r w:rsidRPr="00BD2BF2">
        <w:rPr>
          <w:rFonts w:hint="eastAsia"/>
          <w:rtl/>
        </w:rPr>
        <w:t>ומאוחר</w:t>
      </w:r>
      <w:r w:rsidRPr="00BD2BF2">
        <w:rPr>
          <w:rtl/>
        </w:rPr>
        <w:t xml:space="preserve"> </w:t>
      </w:r>
      <w:r w:rsidRPr="00BD2BF2">
        <w:rPr>
          <w:rFonts w:hint="eastAsia"/>
          <w:rtl/>
        </w:rPr>
        <w:t>יותר</w:t>
      </w:r>
      <w:r w:rsidRPr="00BD2BF2">
        <w:rPr>
          <w:rtl/>
        </w:rPr>
        <w:t xml:space="preserve"> </w:t>
      </w:r>
      <w:r w:rsidRPr="00BD2BF2">
        <w:rPr>
          <w:rFonts w:hint="eastAsia"/>
          <w:rtl/>
        </w:rPr>
        <w:t>הרב</w:t>
      </w:r>
      <w:r w:rsidRPr="00BD2BF2">
        <w:rPr>
          <w:rtl/>
        </w:rPr>
        <w:t xml:space="preserve"> </w:t>
      </w:r>
      <w:r w:rsidRPr="00BD2BF2">
        <w:rPr>
          <w:rFonts w:hint="eastAsia"/>
          <w:rtl/>
        </w:rPr>
        <w:t>הראשי</w:t>
      </w:r>
      <w:r w:rsidRPr="00BD2BF2">
        <w:rPr>
          <w:rtl/>
        </w:rPr>
        <w:t xml:space="preserve"> </w:t>
      </w:r>
      <w:r w:rsidRPr="00BD2BF2">
        <w:rPr>
          <w:rFonts w:hint="eastAsia"/>
          <w:rtl/>
        </w:rPr>
        <w:t>האשכנזי</w:t>
      </w:r>
      <w:r w:rsidRPr="00BD2BF2">
        <w:rPr>
          <w:rtl/>
        </w:rPr>
        <w:t xml:space="preserve"> (</w:t>
      </w:r>
      <w:r w:rsidRPr="00BD2BF2">
        <w:rPr>
          <w:rFonts w:hint="eastAsia"/>
          <w:rtl/>
        </w:rPr>
        <w:t>השלישי</w:t>
      </w:r>
      <w:r w:rsidRPr="00BD2BF2">
        <w:rPr>
          <w:rtl/>
        </w:rPr>
        <w:t xml:space="preserve">) </w:t>
      </w:r>
      <w:r w:rsidRPr="00BD2BF2">
        <w:rPr>
          <w:rFonts w:hint="eastAsia"/>
          <w:rtl/>
        </w:rPr>
        <w:t>של</w:t>
      </w:r>
      <w:r w:rsidRPr="00BD2BF2">
        <w:rPr>
          <w:rtl/>
        </w:rPr>
        <w:t xml:space="preserve"> </w:t>
      </w:r>
      <w:r w:rsidRPr="00BD2BF2">
        <w:rPr>
          <w:rFonts w:hint="eastAsia"/>
          <w:rtl/>
        </w:rPr>
        <w:t>מדינת</w:t>
      </w:r>
      <w:r w:rsidRPr="00BD2BF2">
        <w:rPr>
          <w:rtl/>
        </w:rPr>
        <w:t xml:space="preserve"> </w:t>
      </w:r>
      <w:r w:rsidRPr="00BD2BF2">
        <w:rPr>
          <w:rFonts w:hint="eastAsia"/>
          <w:rtl/>
        </w:rPr>
        <w:t>ישראל</w:t>
      </w:r>
      <w:r w:rsidRPr="00BD2BF2">
        <w:rPr>
          <w:rtl/>
        </w:rPr>
        <w:t xml:space="preserve">. </w:t>
      </w:r>
      <w:r w:rsidRPr="00BD2BF2">
        <w:rPr>
          <w:rFonts w:hint="eastAsia"/>
          <w:rtl/>
        </w:rPr>
        <w:t>זכה</w:t>
      </w:r>
      <w:r w:rsidRPr="00BD2BF2">
        <w:rPr>
          <w:rtl/>
        </w:rPr>
        <w:t xml:space="preserve"> </w:t>
      </w:r>
      <w:r w:rsidRPr="00BD2BF2">
        <w:rPr>
          <w:rFonts w:hint="eastAsia"/>
          <w:rtl/>
        </w:rPr>
        <w:t>בפרס</w:t>
      </w:r>
      <w:r w:rsidRPr="00BD2BF2">
        <w:rPr>
          <w:rtl/>
        </w:rPr>
        <w:t xml:space="preserve"> </w:t>
      </w:r>
      <w:r w:rsidRPr="00BD2BF2">
        <w:rPr>
          <w:rFonts w:hint="eastAsia"/>
          <w:rtl/>
        </w:rPr>
        <w:t>הרב</w:t>
      </w:r>
      <w:r w:rsidRPr="00BD2BF2">
        <w:rPr>
          <w:rtl/>
        </w:rPr>
        <w:t xml:space="preserve"> </w:t>
      </w:r>
      <w:r w:rsidRPr="00BD2BF2">
        <w:rPr>
          <w:rFonts w:hint="eastAsia"/>
          <w:rtl/>
        </w:rPr>
        <w:t>קוק</w:t>
      </w:r>
      <w:r w:rsidRPr="00BD2BF2">
        <w:rPr>
          <w:rtl/>
        </w:rPr>
        <w:t xml:space="preserve"> </w:t>
      </w:r>
      <w:r w:rsidRPr="00BD2BF2">
        <w:rPr>
          <w:rFonts w:hint="eastAsia"/>
          <w:rtl/>
        </w:rPr>
        <w:t>לספרות</w:t>
      </w:r>
      <w:r w:rsidRPr="00BD2BF2">
        <w:rPr>
          <w:rtl/>
        </w:rPr>
        <w:t xml:space="preserve"> </w:t>
      </w:r>
      <w:r w:rsidRPr="00BD2BF2">
        <w:rPr>
          <w:rFonts w:hint="eastAsia"/>
          <w:rtl/>
        </w:rPr>
        <w:t>תורנית</w:t>
      </w:r>
      <w:r w:rsidRPr="00BD2BF2">
        <w:rPr>
          <w:rtl/>
        </w:rPr>
        <w:t xml:space="preserve"> </w:t>
      </w:r>
      <w:r w:rsidRPr="00BD2BF2">
        <w:rPr>
          <w:rFonts w:hint="eastAsia"/>
          <w:rtl/>
        </w:rPr>
        <w:t>לשנת</w:t>
      </w:r>
      <w:r w:rsidRPr="00BD2BF2">
        <w:rPr>
          <w:rtl/>
        </w:rPr>
        <w:t xml:space="preserve"> </w:t>
      </w:r>
      <w:r w:rsidRPr="00BD2BF2">
        <w:rPr>
          <w:rFonts w:hint="eastAsia"/>
          <w:rtl/>
        </w:rPr>
        <w:t>תשי</w:t>
      </w:r>
      <w:r w:rsidRPr="00BD2BF2">
        <w:rPr>
          <w:rtl/>
        </w:rPr>
        <w:t>"</w:t>
      </w:r>
      <w:r w:rsidRPr="00BD2BF2">
        <w:rPr>
          <w:rFonts w:hint="eastAsia"/>
          <w:rtl/>
        </w:rPr>
        <w:t>ד</w:t>
      </w:r>
      <w:r w:rsidRPr="00BD2BF2">
        <w:rPr>
          <w:rtl/>
        </w:rPr>
        <w:t xml:space="preserve">. </w:t>
      </w:r>
      <w:r w:rsidR="00BB3030" w:rsidRPr="00BB3030">
        <w:rPr>
          <w:rtl/>
        </w:rPr>
        <w:t>התשובה נכתבה בשו</w:t>
      </w:r>
      <w:r w:rsidR="00BB3030" w:rsidRPr="00BB3030">
        <w:t>"</w:t>
      </w:r>
      <w:r w:rsidR="00BB3030" w:rsidRPr="00BB3030">
        <w:rPr>
          <w:rtl/>
        </w:rPr>
        <w:t>ת אבל אין בשו</w:t>
      </w:r>
      <w:r w:rsidR="00BB3030" w:rsidRPr="00BB3030">
        <w:t>"</w:t>
      </w:r>
      <w:r w:rsidR="00BB3030" w:rsidRPr="00BB3030">
        <w:rPr>
          <w:rtl/>
        </w:rPr>
        <w:t>ת שבט יהודה את השאלה המקורית או את שם השואל לצערנו</w:t>
      </w:r>
      <w:r w:rsidR="00BB3030" w:rsidRPr="00BB3030">
        <w:t>.</w:t>
      </w:r>
    </w:p>
  </w:footnote>
  <w:footnote w:id="8">
    <w:p w14:paraId="4F3483D9" w14:textId="6A462221" w:rsidR="0062232C" w:rsidRDefault="0062232C">
      <w:pPr>
        <w:pStyle w:val="FootnoteText"/>
        <w:rPr>
          <w:rFonts w:hint="cs"/>
          <w:rtl/>
        </w:rPr>
      </w:pPr>
      <w:r>
        <w:rPr>
          <w:rStyle w:val="FootnoteReference"/>
        </w:rPr>
        <w:footnoteRef/>
      </w:r>
      <w:r>
        <w:rPr>
          <w:rtl/>
        </w:rPr>
        <w:t xml:space="preserve"> </w:t>
      </w:r>
      <w:r w:rsidR="005D521A">
        <w:rPr>
          <w:rtl/>
        </w:rPr>
        <w:tab/>
      </w:r>
      <w:r w:rsidRPr="0062232C">
        <w:rPr>
          <w:rFonts w:hint="eastAsia"/>
          <w:rtl/>
        </w:rPr>
        <w:t>רב</w:t>
      </w:r>
      <w:r w:rsidRPr="0062232C">
        <w:rPr>
          <w:rtl/>
        </w:rPr>
        <w:t xml:space="preserve">, </w:t>
      </w:r>
      <w:r w:rsidRPr="0062232C">
        <w:rPr>
          <w:rFonts w:hint="eastAsia"/>
          <w:rtl/>
        </w:rPr>
        <w:t>פוסק</w:t>
      </w:r>
      <w:r w:rsidRPr="0062232C">
        <w:rPr>
          <w:rtl/>
        </w:rPr>
        <w:t xml:space="preserve"> </w:t>
      </w:r>
      <w:r w:rsidRPr="0062232C">
        <w:rPr>
          <w:rFonts w:hint="eastAsia"/>
          <w:rtl/>
        </w:rPr>
        <w:t>ואיש</w:t>
      </w:r>
      <w:r w:rsidRPr="0062232C">
        <w:rPr>
          <w:rtl/>
        </w:rPr>
        <w:t xml:space="preserve"> </w:t>
      </w:r>
      <w:r w:rsidRPr="0062232C">
        <w:rPr>
          <w:rFonts w:hint="eastAsia"/>
          <w:rtl/>
        </w:rPr>
        <w:t>ציבור</w:t>
      </w:r>
      <w:r w:rsidRPr="0062232C">
        <w:rPr>
          <w:rtl/>
        </w:rPr>
        <w:t xml:space="preserve"> </w:t>
      </w:r>
      <w:r w:rsidRPr="0062232C">
        <w:rPr>
          <w:rFonts w:hint="eastAsia"/>
          <w:rtl/>
        </w:rPr>
        <w:t>בישראל</w:t>
      </w:r>
      <w:r w:rsidRPr="0062232C">
        <w:rPr>
          <w:rtl/>
        </w:rPr>
        <w:t xml:space="preserve"> </w:t>
      </w:r>
      <w:r w:rsidRPr="0062232C">
        <w:rPr>
          <w:rFonts w:hint="eastAsia"/>
          <w:rtl/>
        </w:rPr>
        <w:t>ומחוצה</w:t>
      </w:r>
      <w:r w:rsidRPr="0062232C">
        <w:rPr>
          <w:rtl/>
        </w:rPr>
        <w:t xml:space="preserve"> </w:t>
      </w:r>
      <w:r w:rsidRPr="0062232C">
        <w:rPr>
          <w:rFonts w:hint="eastAsia"/>
          <w:rtl/>
        </w:rPr>
        <w:t>לה</w:t>
      </w:r>
      <w:r w:rsidRPr="0062232C">
        <w:rPr>
          <w:rtl/>
        </w:rPr>
        <w:t xml:space="preserve">. </w:t>
      </w:r>
      <w:r w:rsidRPr="0062232C">
        <w:rPr>
          <w:rFonts w:hint="eastAsia"/>
          <w:rtl/>
        </w:rPr>
        <w:t>שימש</w:t>
      </w:r>
      <w:r w:rsidRPr="0062232C">
        <w:rPr>
          <w:rtl/>
        </w:rPr>
        <w:t xml:space="preserve"> </w:t>
      </w:r>
      <w:r w:rsidRPr="0062232C">
        <w:rPr>
          <w:rFonts w:hint="eastAsia"/>
          <w:rtl/>
        </w:rPr>
        <w:t>כמנהל</w:t>
      </w:r>
      <w:r w:rsidRPr="0062232C">
        <w:rPr>
          <w:rtl/>
        </w:rPr>
        <w:t xml:space="preserve"> </w:t>
      </w:r>
      <w:r w:rsidRPr="0062232C">
        <w:rPr>
          <w:rFonts w:hint="eastAsia"/>
          <w:rtl/>
        </w:rPr>
        <w:t>מחלקת</w:t>
      </w:r>
      <w:r w:rsidRPr="0062232C">
        <w:rPr>
          <w:rtl/>
        </w:rPr>
        <w:t xml:space="preserve"> </w:t>
      </w:r>
      <w:r w:rsidRPr="0062232C">
        <w:rPr>
          <w:rFonts w:hint="eastAsia"/>
          <w:rtl/>
        </w:rPr>
        <w:t>הכשרות</w:t>
      </w:r>
      <w:r w:rsidRPr="0062232C">
        <w:rPr>
          <w:rtl/>
        </w:rPr>
        <w:t xml:space="preserve"> </w:t>
      </w:r>
      <w:r w:rsidRPr="0062232C">
        <w:rPr>
          <w:rFonts w:hint="eastAsia"/>
          <w:rtl/>
        </w:rPr>
        <w:t>הארצית</w:t>
      </w:r>
      <w:r w:rsidRPr="0062232C">
        <w:rPr>
          <w:rtl/>
        </w:rPr>
        <w:t xml:space="preserve"> </w:t>
      </w:r>
      <w:r w:rsidRPr="0062232C">
        <w:rPr>
          <w:rFonts w:hint="eastAsia"/>
          <w:rtl/>
        </w:rPr>
        <w:t>ברבנות</w:t>
      </w:r>
      <w:r w:rsidRPr="0062232C">
        <w:rPr>
          <w:rtl/>
        </w:rPr>
        <w:t xml:space="preserve"> </w:t>
      </w:r>
      <w:r w:rsidRPr="0062232C">
        <w:rPr>
          <w:rFonts w:hint="eastAsia"/>
          <w:rtl/>
        </w:rPr>
        <w:t>הראשית</w:t>
      </w:r>
      <w:r w:rsidRPr="0062232C">
        <w:rPr>
          <w:rtl/>
        </w:rPr>
        <w:t xml:space="preserve"> </w:t>
      </w:r>
      <w:r w:rsidRPr="0062232C">
        <w:rPr>
          <w:rFonts w:hint="eastAsia"/>
          <w:rtl/>
        </w:rPr>
        <w:t>של</w:t>
      </w:r>
      <w:r w:rsidRPr="0062232C">
        <w:rPr>
          <w:rtl/>
        </w:rPr>
        <w:t xml:space="preserve"> </w:t>
      </w:r>
      <w:r w:rsidRPr="0062232C">
        <w:rPr>
          <w:rFonts w:hint="eastAsia"/>
          <w:rtl/>
        </w:rPr>
        <w:t>מדינת</w:t>
      </w:r>
      <w:r w:rsidRPr="0062232C">
        <w:rPr>
          <w:rtl/>
        </w:rPr>
        <w:t xml:space="preserve"> </w:t>
      </w:r>
      <w:r w:rsidRPr="0062232C">
        <w:rPr>
          <w:rFonts w:hint="eastAsia"/>
          <w:rtl/>
        </w:rPr>
        <w:t>ישראל</w:t>
      </w:r>
      <w:r w:rsidRPr="0062232C">
        <w:rPr>
          <w:rtl/>
        </w:rPr>
        <w:t>.</w:t>
      </w:r>
    </w:p>
  </w:footnote>
  <w:footnote w:id="9">
    <w:p w14:paraId="095DB2A8" w14:textId="76355DD6" w:rsidR="00831B4D" w:rsidRDefault="00831B4D">
      <w:pPr>
        <w:pStyle w:val="FootnoteText"/>
        <w:rPr>
          <w:rFonts w:hint="cs"/>
        </w:rPr>
      </w:pPr>
      <w:r>
        <w:rPr>
          <w:rStyle w:val="FootnoteReference"/>
        </w:rPr>
        <w:footnoteRef/>
      </w:r>
      <w:r>
        <w:rPr>
          <w:rtl/>
        </w:rPr>
        <w:t xml:space="preserve"> </w:t>
      </w:r>
      <w:r w:rsidR="005D521A">
        <w:rPr>
          <w:rtl/>
        </w:rPr>
        <w:tab/>
      </w:r>
      <w:r w:rsidRPr="00831B4D">
        <w:rPr>
          <w:rtl/>
        </w:rPr>
        <w:t>"</w:t>
      </w:r>
      <w:r w:rsidRPr="00831B4D">
        <w:rPr>
          <w:rFonts w:hint="eastAsia"/>
          <w:rtl/>
        </w:rPr>
        <w:t>הפרדס</w:t>
      </w:r>
      <w:r w:rsidRPr="00831B4D">
        <w:rPr>
          <w:rtl/>
        </w:rPr>
        <w:t xml:space="preserve">" </w:t>
      </w:r>
      <w:r w:rsidRPr="00831B4D">
        <w:rPr>
          <w:rFonts w:hint="eastAsia"/>
          <w:rtl/>
        </w:rPr>
        <w:t>היה</w:t>
      </w:r>
      <w:r w:rsidRPr="00831B4D">
        <w:rPr>
          <w:rtl/>
        </w:rPr>
        <w:t xml:space="preserve"> </w:t>
      </w:r>
      <w:r w:rsidRPr="00831B4D">
        <w:rPr>
          <w:rFonts w:hint="eastAsia"/>
          <w:rtl/>
        </w:rPr>
        <w:t>ירחון</w:t>
      </w:r>
      <w:r w:rsidRPr="00831B4D">
        <w:rPr>
          <w:rtl/>
        </w:rPr>
        <w:t xml:space="preserve"> </w:t>
      </w:r>
      <w:r w:rsidRPr="00831B4D">
        <w:rPr>
          <w:rFonts w:hint="eastAsia"/>
          <w:rtl/>
        </w:rPr>
        <w:t>רבני</w:t>
      </w:r>
      <w:r w:rsidRPr="00831B4D">
        <w:rPr>
          <w:rtl/>
        </w:rPr>
        <w:t>-</w:t>
      </w:r>
      <w:r w:rsidRPr="00831B4D">
        <w:rPr>
          <w:rFonts w:hint="eastAsia"/>
          <w:rtl/>
        </w:rPr>
        <w:t>תורני</w:t>
      </w:r>
      <w:r w:rsidRPr="00831B4D">
        <w:rPr>
          <w:rtl/>
        </w:rPr>
        <w:t xml:space="preserve"> </w:t>
      </w:r>
      <w:r w:rsidRPr="00831B4D">
        <w:rPr>
          <w:rFonts w:hint="eastAsia"/>
          <w:rtl/>
        </w:rPr>
        <w:t>שנוסד</w:t>
      </w:r>
      <w:r w:rsidRPr="00831B4D">
        <w:rPr>
          <w:rtl/>
        </w:rPr>
        <w:t xml:space="preserve"> </w:t>
      </w:r>
      <w:r w:rsidRPr="00831B4D">
        <w:rPr>
          <w:rFonts w:hint="eastAsia"/>
          <w:rtl/>
        </w:rPr>
        <w:t>בוורשה</w:t>
      </w:r>
      <w:r w:rsidRPr="00831B4D">
        <w:rPr>
          <w:rtl/>
        </w:rPr>
        <w:t xml:space="preserve"> </w:t>
      </w:r>
      <w:r w:rsidRPr="00831B4D">
        <w:rPr>
          <w:rFonts w:hint="eastAsia"/>
          <w:rtl/>
        </w:rPr>
        <w:t>בשנת</w:t>
      </w:r>
      <w:r w:rsidRPr="00831B4D">
        <w:rPr>
          <w:rtl/>
        </w:rPr>
        <w:t xml:space="preserve"> 1913 </w:t>
      </w:r>
      <w:r w:rsidRPr="00831B4D">
        <w:rPr>
          <w:rFonts w:hint="eastAsia"/>
          <w:rtl/>
        </w:rPr>
        <w:t>על</w:t>
      </w:r>
      <w:r w:rsidRPr="00831B4D">
        <w:rPr>
          <w:rtl/>
        </w:rPr>
        <w:t xml:space="preserve"> </w:t>
      </w:r>
      <w:r w:rsidRPr="00831B4D">
        <w:rPr>
          <w:rFonts w:hint="eastAsia"/>
          <w:rtl/>
        </w:rPr>
        <w:t>ידי</w:t>
      </w:r>
      <w:r w:rsidRPr="00831B4D">
        <w:rPr>
          <w:rtl/>
        </w:rPr>
        <w:t xml:space="preserve"> </w:t>
      </w:r>
      <w:r w:rsidRPr="00831B4D">
        <w:rPr>
          <w:rFonts w:hint="eastAsia"/>
          <w:rtl/>
        </w:rPr>
        <w:t>הרב</w:t>
      </w:r>
      <w:r w:rsidRPr="00831B4D">
        <w:rPr>
          <w:rtl/>
        </w:rPr>
        <w:t xml:space="preserve"> </w:t>
      </w:r>
      <w:r w:rsidRPr="00831B4D">
        <w:rPr>
          <w:rFonts w:hint="eastAsia"/>
          <w:rtl/>
        </w:rPr>
        <w:t>שמואל</w:t>
      </w:r>
      <w:r w:rsidRPr="00831B4D">
        <w:rPr>
          <w:rtl/>
        </w:rPr>
        <w:t xml:space="preserve"> </w:t>
      </w:r>
      <w:r w:rsidRPr="00831B4D">
        <w:rPr>
          <w:rFonts w:hint="eastAsia"/>
          <w:rtl/>
        </w:rPr>
        <w:t>אהרן</w:t>
      </w:r>
      <w:r w:rsidRPr="00831B4D">
        <w:rPr>
          <w:rtl/>
        </w:rPr>
        <w:t xml:space="preserve"> </w:t>
      </w:r>
      <w:r w:rsidRPr="00831B4D">
        <w:rPr>
          <w:rFonts w:hint="eastAsia"/>
          <w:rtl/>
        </w:rPr>
        <w:t>הלוי</w:t>
      </w:r>
      <w:r w:rsidRPr="00831B4D">
        <w:rPr>
          <w:rtl/>
        </w:rPr>
        <w:t xml:space="preserve"> </w:t>
      </w:r>
      <w:r w:rsidRPr="00831B4D">
        <w:rPr>
          <w:rFonts w:hint="eastAsia"/>
          <w:rtl/>
        </w:rPr>
        <w:t>פרדס</w:t>
      </w:r>
      <w:r w:rsidRPr="00831B4D">
        <w:rPr>
          <w:rtl/>
        </w:rPr>
        <w:t xml:space="preserve">. </w:t>
      </w:r>
      <w:r w:rsidRPr="00831B4D">
        <w:rPr>
          <w:rFonts w:hint="eastAsia"/>
          <w:rtl/>
        </w:rPr>
        <w:t>בשנת</w:t>
      </w:r>
      <w:r w:rsidRPr="00831B4D">
        <w:rPr>
          <w:rtl/>
        </w:rPr>
        <w:t xml:space="preserve"> 1925 </w:t>
      </w:r>
      <w:r w:rsidRPr="00831B4D">
        <w:rPr>
          <w:rFonts w:hint="eastAsia"/>
          <w:rtl/>
        </w:rPr>
        <w:t>עברה</w:t>
      </w:r>
      <w:r w:rsidRPr="00831B4D">
        <w:rPr>
          <w:rtl/>
        </w:rPr>
        <w:t xml:space="preserve"> </w:t>
      </w:r>
      <w:r w:rsidRPr="00831B4D">
        <w:rPr>
          <w:rFonts w:hint="eastAsia"/>
          <w:rtl/>
        </w:rPr>
        <w:t>כתובת</w:t>
      </w:r>
      <w:r w:rsidRPr="00831B4D">
        <w:rPr>
          <w:rtl/>
        </w:rPr>
        <w:t xml:space="preserve"> </w:t>
      </w:r>
      <w:r w:rsidRPr="00831B4D">
        <w:rPr>
          <w:rFonts w:hint="eastAsia"/>
          <w:rtl/>
        </w:rPr>
        <w:t>הירחון</w:t>
      </w:r>
      <w:r w:rsidRPr="00831B4D">
        <w:rPr>
          <w:rtl/>
        </w:rPr>
        <w:t xml:space="preserve"> </w:t>
      </w:r>
      <w:r w:rsidRPr="00831B4D">
        <w:rPr>
          <w:rFonts w:hint="eastAsia"/>
          <w:rtl/>
        </w:rPr>
        <w:t>לארצות</w:t>
      </w:r>
      <w:r w:rsidRPr="00831B4D">
        <w:rPr>
          <w:rtl/>
        </w:rPr>
        <w:t xml:space="preserve"> </w:t>
      </w:r>
      <w:r w:rsidRPr="00831B4D">
        <w:rPr>
          <w:rFonts w:hint="eastAsia"/>
          <w:rtl/>
        </w:rPr>
        <w:t>הברית</w:t>
      </w:r>
      <w:r w:rsidRPr="00831B4D">
        <w:rPr>
          <w:rtl/>
        </w:rPr>
        <w:t xml:space="preserve">, </w:t>
      </w:r>
      <w:r w:rsidRPr="00831B4D">
        <w:rPr>
          <w:rFonts w:hint="eastAsia"/>
          <w:rtl/>
        </w:rPr>
        <w:t>שם</w:t>
      </w:r>
      <w:r w:rsidRPr="00831B4D">
        <w:rPr>
          <w:rtl/>
        </w:rPr>
        <w:t xml:space="preserve"> </w:t>
      </w:r>
      <w:r w:rsidRPr="00831B4D">
        <w:rPr>
          <w:rFonts w:hint="eastAsia"/>
          <w:rtl/>
        </w:rPr>
        <w:t>יצא</w:t>
      </w:r>
      <w:r w:rsidRPr="00831B4D">
        <w:rPr>
          <w:rtl/>
        </w:rPr>
        <w:t xml:space="preserve"> </w:t>
      </w:r>
      <w:r w:rsidRPr="00831B4D">
        <w:rPr>
          <w:rFonts w:hint="eastAsia"/>
          <w:rtl/>
        </w:rPr>
        <w:t>לאור</w:t>
      </w:r>
      <w:r w:rsidRPr="00831B4D">
        <w:rPr>
          <w:rtl/>
        </w:rPr>
        <w:t xml:space="preserve"> </w:t>
      </w:r>
      <w:r w:rsidRPr="00831B4D">
        <w:rPr>
          <w:rFonts w:hint="eastAsia"/>
          <w:rtl/>
        </w:rPr>
        <w:t>בעיר</w:t>
      </w:r>
      <w:r w:rsidRPr="00831B4D">
        <w:rPr>
          <w:rtl/>
        </w:rPr>
        <w:t xml:space="preserve"> </w:t>
      </w:r>
      <w:r w:rsidRPr="00831B4D">
        <w:rPr>
          <w:rFonts w:hint="eastAsia"/>
          <w:rtl/>
        </w:rPr>
        <w:t>שיקגו</w:t>
      </w:r>
      <w:r w:rsidRPr="00831B4D">
        <w:rPr>
          <w:rtl/>
        </w:rPr>
        <w:t>.</w:t>
      </w:r>
    </w:p>
  </w:footnote>
  <w:footnote w:id="10">
    <w:p w14:paraId="5F76B43E" w14:textId="66EBE2C4" w:rsidR="001A5BC2" w:rsidRDefault="001A5BC2">
      <w:pPr>
        <w:pStyle w:val="FootnoteText"/>
        <w:rPr>
          <w:rFonts w:hint="cs"/>
        </w:rPr>
      </w:pPr>
      <w:r>
        <w:rPr>
          <w:rStyle w:val="FootnoteReference"/>
        </w:rPr>
        <w:footnoteRef/>
      </w:r>
      <w:r>
        <w:rPr>
          <w:rtl/>
        </w:rPr>
        <w:t xml:space="preserve"> </w:t>
      </w:r>
      <w:r w:rsidR="005D521A">
        <w:rPr>
          <w:rtl/>
        </w:rPr>
        <w:tab/>
      </w:r>
      <w:r w:rsidRPr="001A5BC2">
        <w:rPr>
          <w:rFonts w:hint="eastAsia"/>
          <w:rtl/>
        </w:rPr>
        <w:t>דג</w:t>
      </w:r>
      <w:r w:rsidRPr="001A5BC2">
        <w:rPr>
          <w:rtl/>
        </w:rPr>
        <w:t xml:space="preserve"> </w:t>
      </w:r>
      <w:r w:rsidRPr="001A5BC2">
        <w:rPr>
          <w:rFonts w:hint="eastAsia"/>
          <w:rtl/>
        </w:rPr>
        <w:t>הדומה</w:t>
      </w:r>
      <w:r w:rsidRPr="001A5BC2">
        <w:rPr>
          <w:rtl/>
        </w:rPr>
        <w:t xml:space="preserve"> </w:t>
      </w:r>
      <w:r w:rsidRPr="001A5BC2">
        <w:rPr>
          <w:rFonts w:hint="eastAsia"/>
          <w:rtl/>
        </w:rPr>
        <w:t>לדג</w:t>
      </w:r>
      <w:r w:rsidRPr="001A5BC2">
        <w:rPr>
          <w:rtl/>
        </w:rPr>
        <w:t xml:space="preserve"> </w:t>
      </w:r>
      <w:r w:rsidRPr="001A5BC2">
        <w:rPr>
          <w:rFonts w:hint="eastAsia"/>
          <w:rtl/>
        </w:rPr>
        <w:t>החרב</w:t>
      </w:r>
      <w:r w:rsidRPr="001A5BC2">
        <w:rPr>
          <w:rtl/>
        </w:rPr>
        <w:t xml:space="preserve"> </w:t>
      </w:r>
      <w:r w:rsidRPr="001A5BC2">
        <w:rPr>
          <w:rFonts w:hint="eastAsia"/>
          <w:rtl/>
        </w:rPr>
        <w:t>אך</w:t>
      </w:r>
      <w:r w:rsidRPr="001A5BC2">
        <w:rPr>
          <w:rtl/>
        </w:rPr>
        <w:t xml:space="preserve"> </w:t>
      </w:r>
      <w:r w:rsidRPr="001A5BC2">
        <w:rPr>
          <w:rFonts w:hint="eastAsia"/>
          <w:rtl/>
        </w:rPr>
        <w:t>יש</w:t>
      </w:r>
      <w:r w:rsidRPr="001A5BC2">
        <w:rPr>
          <w:rtl/>
        </w:rPr>
        <w:t xml:space="preserve"> </w:t>
      </w:r>
      <w:r w:rsidRPr="001A5BC2">
        <w:rPr>
          <w:rFonts w:hint="eastAsia"/>
          <w:rtl/>
        </w:rPr>
        <w:t>לו</w:t>
      </w:r>
      <w:r w:rsidRPr="001A5BC2">
        <w:rPr>
          <w:rtl/>
        </w:rPr>
        <w:t xml:space="preserve"> </w:t>
      </w:r>
      <w:r w:rsidRPr="001A5BC2">
        <w:rPr>
          <w:rFonts w:hint="eastAsia"/>
          <w:rtl/>
        </w:rPr>
        <w:t>סנפיר</w:t>
      </w:r>
      <w:r w:rsidRPr="001A5BC2">
        <w:rPr>
          <w:rtl/>
        </w:rPr>
        <w:t xml:space="preserve"> </w:t>
      </w:r>
      <w:r w:rsidRPr="001A5BC2">
        <w:rPr>
          <w:rFonts w:hint="eastAsia"/>
          <w:rtl/>
        </w:rPr>
        <w:t>גדול</w:t>
      </w:r>
      <w:r w:rsidRPr="001A5BC2">
        <w:rPr>
          <w:rtl/>
        </w:rPr>
        <w:t xml:space="preserve"> </w:t>
      </w:r>
      <w:r w:rsidRPr="001A5BC2">
        <w:rPr>
          <w:rFonts w:hint="eastAsia"/>
          <w:rtl/>
        </w:rPr>
        <w:t>על</w:t>
      </w:r>
      <w:r w:rsidRPr="001A5BC2">
        <w:rPr>
          <w:rtl/>
        </w:rPr>
        <w:t xml:space="preserve"> </w:t>
      </w:r>
      <w:r w:rsidRPr="001A5BC2">
        <w:rPr>
          <w:rFonts w:hint="eastAsia"/>
          <w:rtl/>
        </w:rPr>
        <w:t>גבו</w:t>
      </w:r>
      <w:r w:rsidRPr="001A5BC2">
        <w:rPr>
          <w:rtl/>
        </w:rPr>
        <w:t xml:space="preserve"> </w:t>
      </w:r>
      <w:r w:rsidRPr="001A5BC2">
        <w:rPr>
          <w:rFonts w:hint="eastAsia"/>
          <w:rtl/>
        </w:rPr>
        <w:t>הדומה</w:t>
      </w:r>
      <w:r w:rsidRPr="001A5BC2">
        <w:rPr>
          <w:rtl/>
        </w:rPr>
        <w:t xml:space="preserve"> </w:t>
      </w:r>
      <w:r w:rsidRPr="001A5BC2">
        <w:rPr>
          <w:rFonts w:hint="eastAsia"/>
          <w:rtl/>
        </w:rPr>
        <w:t>למפרש</w:t>
      </w:r>
      <w:r w:rsidRPr="001A5BC2">
        <w:rPr>
          <w:rtl/>
        </w:rPr>
        <w:t xml:space="preserve"> </w:t>
      </w:r>
      <w:r w:rsidRPr="001A5BC2">
        <w:rPr>
          <w:rFonts w:hint="eastAsia"/>
          <w:rtl/>
        </w:rPr>
        <w:t>של</w:t>
      </w:r>
      <w:r w:rsidRPr="001A5BC2">
        <w:rPr>
          <w:rtl/>
        </w:rPr>
        <w:t xml:space="preserve"> </w:t>
      </w:r>
      <w:r w:rsidRPr="001A5BC2">
        <w:rPr>
          <w:rFonts w:hint="eastAsia"/>
          <w:rtl/>
        </w:rPr>
        <w:t>ספינה</w:t>
      </w:r>
      <w:r w:rsidRPr="001A5BC2">
        <w:rPr>
          <w:rtl/>
        </w:rPr>
        <w:t>.</w:t>
      </w:r>
    </w:p>
  </w:footnote>
  <w:footnote w:id="11">
    <w:p w14:paraId="3F691994" w14:textId="3764B4D4" w:rsidR="00AA361C" w:rsidRDefault="00AA361C">
      <w:pPr>
        <w:pStyle w:val="FootnoteText"/>
        <w:rPr>
          <w:rFonts w:hint="cs"/>
        </w:rPr>
      </w:pPr>
      <w:r>
        <w:rPr>
          <w:rStyle w:val="FootnoteReference"/>
        </w:rPr>
        <w:footnoteRef/>
      </w:r>
      <w:r>
        <w:rPr>
          <w:rtl/>
        </w:rPr>
        <w:t xml:space="preserve"> </w:t>
      </w:r>
      <w:r w:rsidR="005D521A">
        <w:rPr>
          <w:rtl/>
        </w:rPr>
        <w:tab/>
      </w:r>
      <w:r w:rsidRPr="00AA361C">
        <w:rPr>
          <w:rFonts w:hint="eastAsia"/>
          <w:rtl/>
        </w:rPr>
        <w:t>רב</w:t>
      </w:r>
      <w:r w:rsidRPr="00AA361C">
        <w:rPr>
          <w:rtl/>
        </w:rPr>
        <w:t xml:space="preserve"> </w:t>
      </w:r>
      <w:r w:rsidRPr="00AA361C">
        <w:rPr>
          <w:rFonts w:hint="eastAsia"/>
          <w:rtl/>
        </w:rPr>
        <w:t>שכונת</w:t>
      </w:r>
      <w:r w:rsidRPr="00AA361C">
        <w:rPr>
          <w:rtl/>
        </w:rPr>
        <w:t xml:space="preserve"> </w:t>
      </w:r>
      <w:r w:rsidRPr="00AA361C">
        <w:rPr>
          <w:rFonts w:hint="eastAsia"/>
          <w:rtl/>
        </w:rPr>
        <w:t>שפירא</w:t>
      </w:r>
      <w:r w:rsidRPr="00AA361C">
        <w:rPr>
          <w:rtl/>
        </w:rPr>
        <w:t xml:space="preserve"> </w:t>
      </w:r>
      <w:r w:rsidRPr="00AA361C">
        <w:rPr>
          <w:rFonts w:hint="eastAsia"/>
          <w:rtl/>
        </w:rPr>
        <w:t>בתל</w:t>
      </w:r>
      <w:r w:rsidRPr="00AA361C">
        <w:rPr>
          <w:rtl/>
        </w:rPr>
        <w:t xml:space="preserve"> </w:t>
      </w:r>
      <w:r w:rsidRPr="00AA361C">
        <w:rPr>
          <w:rFonts w:hint="eastAsia"/>
          <w:rtl/>
        </w:rPr>
        <w:t>אביב</w:t>
      </w:r>
      <w:r w:rsidRPr="00AA361C">
        <w:rPr>
          <w:rtl/>
        </w:rPr>
        <w:t xml:space="preserve">, </w:t>
      </w:r>
      <w:r w:rsidRPr="00AA361C">
        <w:rPr>
          <w:rFonts w:hint="eastAsia"/>
          <w:rtl/>
        </w:rPr>
        <w:t>אחראי</w:t>
      </w:r>
      <w:r w:rsidRPr="00AA361C">
        <w:rPr>
          <w:rtl/>
        </w:rPr>
        <w:t xml:space="preserve"> </w:t>
      </w:r>
      <w:r w:rsidRPr="00AA361C">
        <w:rPr>
          <w:rFonts w:hint="eastAsia"/>
          <w:rtl/>
        </w:rPr>
        <w:t>הכשרות</w:t>
      </w:r>
      <w:r w:rsidRPr="00AA361C">
        <w:rPr>
          <w:rtl/>
        </w:rPr>
        <w:t xml:space="preserve"> </w:t>
      </w:r>
      <w:r w:rsidRPr="00AA361C">
        <w:rPr>
          <w:rFonts w:hint="eastAsia"/>
          <w:rtl/>
        </w:rPr>
        <w:t>בעיר</w:t>
      </w:r>
      <w:r w:rsidRPr="00AA361C">
        <w:rPr>
          <w:rtl/>
        </w:rPr>
        <w:t xml:space="preserve"> </w:t>
      </w:r>
      <w:r w:rsidRPr="00AA361C">
        <w:rPr>
          <w:rFonts w:hint="eastAsia"/>
          <w:rtl/>
        </w:rPr>
        <w:t>תל</w:t>
      </w:r>
      <w:r w:rsidRPr="00AA361C">
        <w:rPr>
          <w:rtl/>
        </w:rPr>
        <w:t xml:space="preserve"> </w:t>
      </w:r>
      <w:r w:rsidRPr="00AA361C">
        <w:rPr>
          <w:rFonts w:hint="eastAsia"/>
          <w:rtl/>
        </w:rPr>
        <w:t>אביב</w:t>
      </w:r>
      <w:r w:rsidRPr="00AA361C">
        <w:rPr>
          <w:rtl/>
        </w:rPr>
        <w:t xml:space="preserve"> </w:t>
      </w:r>
      <w:r w:rsidRPr="00AA361C">
        <w:rPr>
          <w:rFonts w:hint="eastAsia"/>
          <w:rtl/>
        </w:rPr>
        <w:t>וחבר</w:t>
      </w:r>
      <w:r w:rsidRPr="00AA361C">
        <w:rPr>
          <w:rtl/>
        </w:rPr>
        <w:t xml:space="preserve"> </w:t>
      </w:r>
      <w:r w:rsidRPr="00AA361C">
        <w:rPr>
          <w:rFonts w:hint="eastAsia"/>
          <w:rtl/>
        </w:rPr>
        <w:t>מועצת</w:t>
      </w:r>
      <w:r w:rsidRPr="00AA361C">
        <w:rPr>
          <w:rtl/>
        </w:rPr>
        <w:t xml:space="preserve"> </w:t>
      </w:r>
      <w:r w:rsidRPr="00AA361C">
        <w:rPr>
          <w:rFonts w:hint="eastAsia"/>
          <w:rtl/>
        </w:rPr>
        <w:t>הרבנות</w:t>
      </w:r>
      <w:r w:rsidRPr="00AA361C">
        <w:rPr>
          <w:rtl/>
        </w:rPr>
        <w:t xml:space="preserve"> </w:t>
      </w:r>
      <w:r w:rsidRPr="00AA361C">
        <w:rPr>
          <w:rFonts w:hint="eastAsia"/>
          <w:rtl/>
        </w:rPr>
        <w:t>הראשית</w:t>
      </w:r>
      <w:r w:rsidRPr="00AA361C">
        <w:rPr>
          <w:rtl/>
        </w:rPr>
        <w:t>.</w:t>
      </w:r>
    </w:p>
  </w:footnote>
  <w:footnote w:id="12">
    <w:p w14:paraId="6CAC1A31" w14:textId="7BD73E8B" w:rsidR="00C9026A" w:rsidRDefault="00C9026A">
      <w:pPr>
        <w:pStyle w:val="FootnoteText"/>
        <w:rPr>
          <w:rFonts w:hint="cs"/>
        </w:rPr>
      </w:pPr>
      <w:r>
        <w:rPr>
          <w:rStyle w:val="FootnoteReference"/>
        </w:rPr>
        <w:footnoteRef/>
      </w:r>
      <w:r w:rsidR="007810E6">
        <w:rPr>
          <w:rtl/>
        </w:rPr>
        <w:t xml:space="preserve"> </w:t>
      </w:r>
      <w:r w:rsidR="005D521A">
        <w:rPr>
          <w:rtl/>
        </w:rPr>
        <w:tab/>
      </w:r>
      <w:r w:rsidRPr="00C9026A">
        <w:rPr>
          <w:rFonts w:hint="eastAsia"/>
          <w:rtl/>
        </w:rPr>
        <w:t>מייסד</w:t>
      </w:r>
      <w:r w:rsidRPr="00C9026A">
        <w:rPr>
          <w:rtl/>
        </w:rPr>
        <w:t xml:space="preserve"> </w:t>
      </w:r>
      <w:r w:rsidRPr="00C9026A">
        <w:rPr>
          <w:rFonts w:hint="eastAsia"/>
          <w:rtl/>
        </w:rPr>
        <w:t>ועורך</w:t>
      </w:r>
      <w:r w:rsidRPr="00C9026A">
        <w:rPr>
          <w:rtl/>
        </w:rPr>
        <w:t xml:space="preserve"> </w:t>
      </w:r>
      <w:r w:rsidRPr="00C9026A">
        <w:rPr>
          <w:rFonts w:hint="eastAsia"/>
          <w:rtl/>
        </w:rPr>
        <w:t>הביטאון</w:t>
      </w:r>
      <w:r w:rsidRPr="00C9026A">
        <w:rPr>
          <w:rtl/>
        </w:rPr>
        <w:t xml:space="preserve"> </w:t>
      </w:r>
      <w:r w:rsidRPr="00C9026A">
        <w:rPr>
          <w:rFonts w:hint="eastAsia"/>
          <w:rtl/>
        </w:rPr>
        <w:t>התורני</w:t>
      </w:r>
      <w:r w:rsidRPr="00C9026A">
        <w:rPr>
          <w:rtl/>
        </w:rPr>
        <w:t xml:space="preserve"> "</w:t>
      </w:r>
      <w:r w:rsidRPr="00C9026A">
        <w:rPr>
          <w:rFonts w:hint="eastAsia"/>
          <w:rtl/>
        </w:rPr>
        <w:t>המאור</w:t>
      </w:r>
      <w:r w:rsidRPr="00C9026A">
        <w:rPr>
          <w:rtl/>
        </w:rPr>
        <w:t>".</w:t>
      </w:r>
    </w:p>
  </w:footnote>
  <w:footnote w:id="13">
    <w:p w14:paraId="617A7AE0" w14:textId="2506DCEA" w:rsidR="00FD4660" w:rsidRDefault="00FD4660">
      <w:pPr>
        <w:pStyle w:val="FootnoteText"/>
        <w:rPr>
          <w:rFonts w:hint="cs"/>
        </w:rPr>
      </w:pPr>
      <w:r>
        <w:rPr>
          <w:rStyle w:val="FootnoteReference"/>
        </w:rPr>
        <w:footnoteRef/>
      </w:r>
      <w:r>
        <w:rPr>
          <w:rtl/>
        </w:rPr>
        <w:t xml:space="preserve"> </w:t>
      </w:r>
      <w:r w:rsidR="005D521A">
        <w:rPr>
          <w:rtl/>
        </w:rPr>
        <w:tab/>
      </w:r>
      <w:r w:rsidRPr="00FD4660">
        <w:rPr>
          <w:rFonts w:hint="eastAsia"/>
          <w:rtl/>
        </w:rPr>
        <w:t>מחבר</w:t>
      </w:r>
      <w:r w:rsidRPr="00FD4660">
        <w:rPr>
          <w:rtl/>
        </w:rPr>
        <w:t xml:space="preserve"> </w:t>
      </w:r>
      <w:r w:rsidRPr="00FD4660">
        <w:rPr>
          <w:rFonts w:hint="eastAsia"/>
          <w:rtl/>
        </w:rPr>
        <w:t>שו</w:t>
      </w:r>
      <w:r w:rsidRPr="00FD4660">
        <w:rPr>
          <w:rtl/>
        </w:rPr>
        <w:t>"</w:t>
      </w:r>
      <w:r w:rsidRPr="00FD4660">
        <w:rPr>
          <w:rFonts w:hint="eastAsia"/>
          <w:rtl/>
        </w:rPr>
        <w:t>ת</w:t>
      </w:r>
      <w:r w:rsidRPr="00FD4660">
        <w:rPr>
          <w:rtl/>
        </w:rPr>
        <w:t xml:space="preserve"> "</w:t>
      </w:r>
      <w:r w:rsidRPr="00FD4660">
        <w:rPr>
          <w:rFonts w:hint="eastAsia"/>
          <w:rtl/>
        </w:rPr>
        <w:t>ציץ</w:t>
      </w:r>
      <w:r w:rsidRPr="00FD4660">
        <w:rPr>
          <w:rtl/>
        </w:rPr>
        <w:t xml:space="preserve"> </w:t>
      </w:r>
      <w:r w:rsidRPr="00FD4660">
        <w:rPr>
          <w:rFonts w:hint="eastAsia"/>
          <w:rtl/>
        </w:rPr>
        <w:t>אליעזר</w:t>
      </w:r>
      <w:r w:rsidRPr="00FD4660">
        <w:rPr>
          <w:rtl/>
        </w:rPr>
        <w:t xml:space="preserve">". </w:t>
      </w:r>
      <w:r w:rsidRPr="00FD4660">
        <w:rPr>
          <w:rFonts w:hint="eastAsia"/>
          <w:rtl/>
        </w:rPr>
        <w:t>מחשובי</w:t>
      </w:r>
      <w:r w:rsidRPr="00FD4660">
        <w:rPr>
          <w:rtl/>
        </w:rPr>
        <w:t xml:space="preserve"> </w:t>
      </w:r>
      <w:r w:rsidRPr="00FD4660">
        <w:rPr>
          <w:rFonts w:hint="eastAsia"/>
          <w:rtl/>
        </w:rPr>
        <w:t>הפוסקים</w:t>
      </w:r>
      <w:r w:rsidRPr="00FD4660">
        <w:rPr>
          <w:rtl/>
        </w:rPr>
        <w:t xml:space="preserve"> </w:t>
      </w:r>
      <w:r w:rsidRPr="00FD4660">
        <w:rPr>
          <w:rFonts w:hint="eastAsia"/>
          <w:rtl/>
        </w:rPr>
        <w:t>במאה</w:t>
      </w:r>
      <w:r w:rsidRPr="00FD4660">
        <w:rPr>
          <w:rtl/>
        </w:rPr>
        <w:t xml:space="preserve"> </w:t>
      </w:r>
      <w:r w:rsidRPr="00FD4660">
        <w:rPr>
          <w:rFonts w:hint="eastAsia"/>
          <w:rtl/>
        </w:rPr>
        <w:t>העשרים</w:t>
      </w:r>
      <w:r w:rsidRPr="00FD4660">
        <w:rPr>
          <w:rtl/>
        </w:rPr>
        <w:t>.</w:t>
      </w:r>
    </w:p>
  </w:footnote>
  <w:footnote w:id="14">
    <w:p w14:paraId="1CB88FDA" w14:textId="07246518" w:rsidR="00F30759" w:rsidRDefault="00F30759">
      <w:pPr>
        <w:pStyle w:val="FootnoteText"/>
        <w:rPr>
          <w:rFonts w:hint="cs"/>
        </w:rPr>
      </w:pPr>
      <w:r>
        <w:rPr>
          <w:rStyle w:val="FootnoteReference"/>
        </w:rPr>
        <w:footnoteRef/>
      </w:r>
      <w:r>
        <w:rPr>
          <w:rtl/>
        </w:rPr>
        <w:t xml:space="preserve"> </w:t>
      </w:r>
      <w:r w:rsidR="005D521A">
        <w:rPr>
          <w:rtl/>
        </w:rPr>
        <w:tab/>
      </w:r>
      <w:r w:rsidRPr="00F30759">
        <w:rPr>
          <w:rFonts w:hint="eastAsia"/>
          <w:rtl/>
        </w:rPr>
        <w:t>כתב</w:t>
      </w:r>
      <w:r w:rsidRPr="00F30759">
        <w:rPr>
          <w:rtl/>
        </w:rPr>
        <w:t xml:space="preserve"> </w:t>
      </w:r>
      <w:r w:rsidRPr="00F30759">
        <w:rPr>
          <w:rFonts w:hint="eastAsia"/>
          <w:rtl/>
        </w:rPr>
        <w:t>עת</w:t>
      </w:r>
      <w:r w:rsidRPr="00F30759">
        <w:rPr>
          <w:rtl/>
        </w:rPr>
        <w:t xml:space="preserve"> </w:t>
      </w:r>
      <w:r w:rsidRPr="00F30759">
        <w:rPr>
          <w:rFonts w:hint="eastAsia"/>
          <w:rtl/>
        </w:rPr>
        <w:t>תורני</w:t>
      </w:r>
      <w:r w:rsidRPr="00F30759">
        <w:rPr>
          <w:rtl/>
        </w:rPr>
        <w:t xml:space="preserve"> </w:t>
      </w:r>
      <w:r w:rsidRPr="00F30759">
        <w:rPr>
          <w:rFonts w:hint="eastAsia"/>
          <w:rtl/>
        </w:rPr>
        <w:t>שיוצא</w:t>
      </w:r>
      <w:r w:rsidRPr="00F30759">
        <w:rPr>
          <w:rtl/>
        </w:rPr>
        <w:t xml:space="preserve"> </w:t>
      </w:r>
      <w:r w:rsidRPr="00F30759">
        <w:rPr>
          <w:rFonts w:hint="eastAsia"/>
          <w:rtl/>
        </w:rPr>
        <w:t>לאור</w:t>
      </w:r>
      <w:r w:rsidRPr="00F30759">
        <w:rPr>
          <w:rtl/>
        </w:rPr>
        <w:t xml:space="preserve"> </w:t>
      </w:r>
      <w:r w:rsidRPr="00F30759">
        <w:rPr>
          <w:rFonts w:hint="eastAsia"/>
          <w:rtl/>
        </w:rPr>
        <w:t>בברוקלין</w:t>
      </w:r>
      <w:r w:rsidRPr="00F30759">
        <w:rPr>
          <w:rtl/>
        </w:rPr>
        <w:t xml:space="preserve"> - </w:t>
      </w:r>
      <w:r w:rsidRPr="00F30759">
        <w:rPr>
          <w:rFonts w:hint="eastAsia"/>
          <w:rtl/>
        </w:rPr>
        <w:t>ניו</w:t>
      </w:r>
      <w:r w:rsidRPr="00F30759">
        <w:rPr>
          <w:rtl/>
        </w:rPr>
        <w:t xml:space="preserve"> </w:t>
      </w:r>
      <w:r w:rsidRPr="00F30759">
        <w:rPr>
          <w:rFonts w:hint="eastAsia"/>
          <w:rtl/>
        </w:rPr>
        <w:t>יורק</w:t>
      </w:r>
      <w:r w:rsidRPr="00F30759">
        <w:rPr>
          <w:rtl/>
        </w:rPr>
        <w:t xml:space="preserve">, </w:t>
      </w:r>
      <w:r w:rsidRPr="00F30759">
        <w:rPr>
          <w:rFonts w:hint="eastAsia"/>
          <w:rtl/>
        </w:rPr>
        <w:t>החל</w:t>
      </w:r>
      <w:r w:rsidRPr="00F30759">
        <w:rPr>
          <w:rtl/>
        </w:rPr>
        <w:t xml:space="preserve"> </w:t>
      </w:r>
      <w:r w:rsidRPr="00F30759">
        <w:rPr>
          <w:rFonts w:hint="eastAsia"/>
          <w:rtl/>
        </w:rPr>
        <w:t>מראשית</w:t>
      </w:r>
      <w:r w:rsidRPr="00F30759">
        <w:rPr>
          <w:rtl/>
        </w:rPr>
        <w:t xml:space="preserve"> </w:t>
      </w:r>
      <w:r w:rsidRPr="00F30759">
        <w:rPr>
          <w:rFonts w:hint="eastAsia"/>
          <w:rtl/>
        </w:rPr>
        <w:t>שנות</w:t>
      </w:r>
      <w:r w:rsidRPr="00F30759">
        <w:rPr>
          <w:rtl/>
        </w:rPr>
        <w:t xml:space="preserve"> </w:t>
      </w:r>
      <w:r w:rsidRPr="00F30759">
        <w:rPr>
          <w:rFonts w:hint="eastAsia"/>
          <w:rtl/>
        </w:rPr>
        <w:t>ה</w:t>
      </w:r>
      <w:r w:rsidRPr="00F30759">
        <w:rPr>
          <w:rtl/>
        </w:rPr>
        <w:t xml:space="preserve">-50 </w:t>
      </w:r>
      <w:r w:rsidRPr="00F30759">
        <w:rPr>
          <w:rFonts w:hint="eastAsia"/>
          <w:rtl/>
        </w:rPr>
        <w:t>של</w:t>
      </w:r>
      <w:r w:rsidRPr="00F30759">
        <w:rPr>
          <w:rtl/>
        </w:rPr>
        <w:t xml:space="preserve"> </w:t>
      </w:r>
      <w:r w:rsidRPr="00F30759">
        <w:rPr>
          <w:rFonts w:hint="eastAsia"/>
          <w:rtl/>
        </w:rPr>
        <w:t>המאה</w:t>
      </w:r>
      <w:r w:rsidRPr="00F30759">
        <w:rPr>
          <w:rtl/>
        </w:rPr>
        <w:t xml:space="preserve"> </w:t>
      </w:r>
      <w:r w:rsidRPr="00F30759">
        <w:rPr>
          <w:rFonts w:hint="eastAsia"/>
          <w:rtl/>
        </w:rPr>
        <w:t>ה</w:t>
      </w:r>
      <w:r w:rsidRPr="00F30759">
        <w:rPr>
          <w:rtl/>
        </w:rPr>
        <w:t>-20.</w:t>
      </w:r>
    </w:p>
  </w:footnote>
  <w:footnote w:id="15">
    <w:p w14:paraId="79D21EA0" w14:textId="5892DB95" w:rsidR="007358C5" w:rsidRDefault="007358C5" w:rsidP="009B10C8">
      <w:pPr>
        <w:pStyle w:val="FootnoteText"/>
        <w:rPr>
          <w:rFonts w:hint="cs"/>
        </w:rPr>
      </w:pPr>
      <w:r>
        <w:rPr>
          <w:rStyle w:val="FootnoteReference"/>
        </w:rPr>
        <w:footnoteRef/>
      </w:r>
      <w:r>
        <w:rPr>
          <w:rtl/>
        </w:rPr>
        <w:t xml:space="preserve"> </w:t>
      </w:r>
      <w:r w:rsidR="005D521A">
        <w:rPr>
          <w:rtl/>
        </w:rPr>
        <w:tab/>
      </w:r>
      <w:r w:rsidRPr="007358C5">
        <w:rPr>
          <w:rtl/>
        </w:rPr>
        <w:t>"</w:t>
      </w:r>
      <w:r w:rsidRPr="007358C5">
        <w:t>The Halachic Status of the Swordfish</w:t>
      </w:r>
      <w:r w:rsidRPr="007358C5">
        <w:rPr>
          <w:rtl/>
        </w:rPr>
        <w:t>"</w:t>
      </w:r>
      <w:r w:rsidR="007810E6">
        <w:rPr>
          <w:rtl/>
        </w:rPr>
        <w:t xml:space="preserve"> </w:t>
      </w:r>
      <w:r w:rsidR="00D4503B">
        <w:t>B</w:t>
      </w:r>
      <w:r w:rsidRPr="007358C5">
        <w:t xml:space="preserve">et </w:t>
      </w:r>
      <w:r w:rsidR="00D4503B">
        <w:t>S</w:t>
      </w:r>
      <w:r w:rsidRPr="007358C5">
        <w:t xml:space="preserve">hemesh </w:t>
      </w:r>
      <w:r w:rsidR="00D4503B">
        <w:t>T</w:t>
      </w:r>
      <w:r w:rsidRPr="007358C5">
        <w:t>orah</w:t>
      </w:r>
      <w:r w:rsidR="009B10C8">
        <w:t xml:space="preserve"> </w:t>
      </w:r>
    </w:p>
  </w:footnote>
  <w:footnote w:id="16">
    <w:p w14:paraId="5CE0E471" w14:textId="6D6FA8D0" w:rsidR="005D48C2" w:rsidRDefault="005D48C2">
      <w:pPr>
        <w:pStyle w:val="FootnoteText"/>
        <w:rPr>
          <w:rFonts w:hint="cs"/>
        </w:rPr>
      </w:pPr>
      <w:r>
        <w:rPr>
          <w:rStyle w:val="FootnoteReference"/>
        </w:rPr>
        <w:footnoteRef/>
      </w:r>
      <w:r>
        <w:rPr>
          <w:rtl/>
        </w:rPr>
        <w:t xml:space="preserve"> </w:t>
      </w:r>
      <w:r w:rsidR="005D521A">
        <w:rPr>
          <w:rtl/>
        </w:rPr>
        <w:tab/>
      </w:r>
      <w:r w:rsidRPr="005D48C2">
        <w:rPr>
          <w:rFonts w:hint="eastAsia"/>
          <w:rtl/>
        </w:rPr>
        <w:t>הרב</w:t>
      </w:r>
      <w:r w:rsidRPr="005D48C2">
        <w:rPr>
          <w:rtl/>
        </w:rPr>
        <w:t xml:space="preserve"> </w:t>
      </w:r>
      <w:r w:rsidRPr="005D48C2">
        <w:rPr>
          <w:rFonts w:hint="eastAsia"/>
          <w:rtl/>
        </w:rPr>
        <w:t>ישראל</w:t>
      </w:r>
      <w:r w:rsidRPr="005D48C2">
        <w:rPr>
          <w:rtl/>
        </w:rPr>
        <w:t xml:space="preserve"> </w:t>
      </w:r>
      <w:r w:rsidRPr="005D48C2">
        <w:rPr>
          <w:rFonts w:hint="eastAsia"/>
          <w:rtl/>
        </w:rPr>
        <w:t>מאיר</w:t>
      </w:r>
      <w:r w:rsidRPr="005D48C2">
        <w:rPr>
          <w:rtl/>
        </w:rPr>
        <w:t xml:space="preserve"> </w:t>
      </w:r>
      <w:r w:rsidRPr="005D48C2">
        <w:rPr>
          <w:rFonts w:hint="eastAsia"/>
          <w:rtl/>
        </w:rPr>
        <w:t>לוינגר</w:t>
      </w:r>
      <w:r w:rsidR="00F96A49">
        <w:rPr>
          <w:rFonts w:hint="cs"/>
          <w:rtl/>
        </w:rPr>
        <w:t>,</w:t>
      </w:r>
      <w:r w:rsidRPr="005D48C2">
        <w:rPr>
          <w:rtl/>
        </w:rPr>
        <w:t xml:space="preserve"> "</w:t>
      </w:r>
      <w:r w:rsidRPr="005D48C2">
        <w:rPr>
          <w:rFonts w:hint="eastAsia"/>
          <w:rtl/>
        </w:rPr>
        <w:t>מאור</w:t>
      </w:r>
      <w:r w:rsidRPr="005D48C2">
        <w:rPr>
          <w:rtl/>
        </w:rPr>
        <w:t xml:space="preserve"> </w:t>
      </w:r>
      <w:r w:rsidRPr="005D48C2">
        <w:rPr>
          <w:rFonts w:hint="eastAsia"/>
          <w:rtl/>
        </w:rPr>
        <w:t>לכשרות</w:t>
      </w:r>
      <w:r w:rsidRPr="005D48C2">
        <w:rPr>
          <w:rtl/>
        </w:rPr>
        <w:t>"</w:t>
      </w:r>
    </w:p>
  </w:footnote>
  <w:footnote w:id="17">
    <w:p w14:paraId="71EC6504" w14:textId="0604BC6E" w:rsidR="008801F2" w:rsidRDefault="008801F2">
      <w:pPr>
        <w:pStyle w:val="FootnoteText"/>
        <w:rPr>
          <w:rFonts w:hint="cs"/>
        </w:rPr>
      </w:pPr>
      <w:r>
        <w:rPr>
          <w:rStyle w:val="FootnoteReference"/>
        </w:rPr>
        <w:footnoteRef/>
      </w:r>
      <w:r>
        <w:rPr>
          <w:rtl/>
        </w:rPr>
        <w:t xml:space="preserve"> </w:t>
      </w:r>
      <w:r w:rsidR="005D521A">
        <w:rPr>
          <w:rtl/>
        </w:rPr>
        <w:tab/>
      </w:r>
      <w:r w:rsidRPr="008801F2">
        <w:rPr>
          <w:rFonts w:hint="eastAsia"/>
          <w:rtl/>
        </w:rPr>
        <w:t>רמב</w:t>
      </w:r>
      <w:r w:rsidRPr="008801F2">
        <w:rPr>
          <w:rtl/>
        </w:rPr>
        <w:t>"</w:t>
      </w:r>
      <w:r w:rsidRPr="008801F2">
        <w:rPr>
          <w:rFonts w:hint="eastAsia"/>
          <w:rtl/>
        </w:rPr>
        <w:t>ן</w:t>
      </w:r>
      <w:r w:rsidRPr="008801F2">
        <w:rPr>
          <w:rtl/>
        </w:rPr>
        <w:t xml:space="preserve"> </w:t>
      </w:r>
      <w:r w:rsidRPr="008801F2">
        <w:rPr>
          <w:rFonts w:hint="eastAsia"/>
          <w:rtl/>
        </w:rPr>
        <w:t>על</w:t>
      </w:r>
      <w:r w:rsidRPr="008801F2">
        <w:rPr>
          <w:rtl/>
        </w:rPr>
        <w:t xml:space="preserve"> </w:t>
      </w:r>
      <w:r w:rsidRPr="008801F2">
        <w:rPr>
          <w:rFonts w:hint="eastAsia"/>
          <w:rtl/>
        </w:rPr>
        <w:t>התורה</w:t>
      </w:r>
      <w:r w:rsidRPr="008801F2">
        <w:rPr>
          <w:rtl/>
        </w:rPr>
        <w:t xml:space="preserve">, </w:t>
      </w:r>
      <w:r w:rsidRPr="008801F2">
        <w:rPr>
          <w:rFonts w:hint="eastAsia"/>
          <w:rtl/>
        </w:rPr>
        <w:t>ויקרא</w:t>
      </w:r>
      <w:r w:rsidRPr="008801F2">
        <w:rPr>
          <w:rtl/>
        </w:rPr>
        <w:t xml:space="preserve"> </w:t>
      </w:r>
      <w:r w:rsidRPr="008801F2">
        <w:rPr>
          <w:rFonts w:hint="eastAsia"/>
          <w:rtl/>
        </w:rPr>
        <w:t>יא</w:t>
      </w:r>
      <w:r w:rsidRPr="008801F2">
        <w:rPr>
          <w:rtl/>
        </w:rPr>
        <w:t xml:space="preserve">, </w:t>
      </w:r>
      <w:r w:rsidRPr="008801F2">
        <w:rPr>
          <w:rFonts w:hint="eastAsia"/>
          <w:rtl/>
        </w:rPr>
        <w:t>ט</w:t>
      </w:r>
      <w:r w:rsidRPr="008801F2">
        <w:rPr>
          <w:rtl/>
        </w:rPr>
        <w:t>.</w:t>
      </w:r>
    </w:p>
  </w:footnote>
  <w:footnote w:id="18">
    <w:p w14:paraId="22FD497F" w14:textId="22180BE9" w:rsidR="00C60464" w:rsidRPr="008E1A33" w:rsidRDefault="00C60464" w:rsidP="008E1A33">
      <w:pPr>
        <w:pStyle w:val="FootnoteText"/>
        <w:rPr>
          <w:rFonts w:hint="cs"/>
          <w:rtl/>
          <w:lang w:val="en-GB"/>
        </w:rPr>
      </w:pPr>
      <w:r>
        <w:rPr>
          <w:rStyle w:val="FootnoteReference"/>
        </w:rPr>
        <w:footnoteRef/>
      </w:r>
      <w:r>
        <w:rPr>
          <w:rtl/>
        </w:rPr>
        <w:t xml:space="preserve"> </w:t>
      </w:r>
      <w:r>
        <w:rPr>
          <w:rFonts w:hint="cs"/>
          <w:rtl/>
          <w:lang w:val="en-GB"/>
        </w:rPr>
        <w:t xml:space="preserve">הרב ראובן נקאר, </w:t>
      </w:r>
      <w:r w:rsidR="008E1A33">
        <w:rPr>
          <w:rFonts w:hint="cs"/>
          <w:rtl/>
        </w:rPr>
        <w:t>"</w:t>
      </w:r>
      <w:r w:rsidR="008E1A33" w:rsidRPr="008E1A33">
        <w:rPr>
          <w:rtl/>
          <w:lang w:val="en-GB"/>
        </w:rPr>
        <w:t>לאכול דג חרב – מותר או אסור (בדיקה למעשה)</w:t>
      </w:r>
      <w:r w:rsidR="008E1A33">
        <w:rPr>
          <w:rFonts w:hint="cs"/>
          <w:rtl/>
        </w:rPr>
        <w:t xml:space="preserve">", </w:t>
      </w:r>
      <w:r w:rsidR="00E44CCF">
        <w:rPr>
          <w:lang w:val="en-GB"/>
        </w:rPr>
        <w:t>YouTube</w:t>
      </w:r>
      <w:r w:rsidR="008E1A33">
        <w:rPr>
          <w:rFonts w:hint="cs"/>
          <w:rtl/>
          <w:lang w:val="en-GB"/>
        </w:rPr>
        <w:t xml:space="preserve">; </w:t>
      </w:r>
      <w:r w:rsidR="00250D1F" w:rsidRPr="00250D1F">
        <w:rPr>
          <w:lang w:val="en-GB"/>
        </w:rPr>
        <w:t>https://youtu.be/eJiLEQenscc?si=pshA0iKkcAaIsy-7</w:t>
      </w:r>
    </w:p>
  </w:footnote>
  <w:footnote w:id="19">
    <w:p w14:paraId="6B95B04B" w14:textId="14E9DBFB" w:rsidR="00955196" w:rsidRDefault="00955196">
      <w:pPr>
        <w:pStyle w:val="FootnoteText"/>
        <w:rPr>
          <w:rFonts w:hint="cs"/>
          <w:rtl/>
        </w:rPr>
      </w:pPr>
      <w:r>
        <w:rPr>
          <w:rStyle w:val="FootnoteReference"/>
        </w:rPr>
        <w:footnoteRef/>
      </w:r>
      <w:r>
        <w:rPr>
          <w:rtl/>
        </w:rPr>
        <w:t xml:space="preserve"> </w:t>
      </w:r>
      <w:r w:rsidR="005D521A">
        <w:rPr>
          <w:rtl/>
        </w:rPr>
        <w:tab/>
      </w:r>
      <w:r w:rsidRPr="00955196">
        <w:rPr>
          <w:rFonts w:hint="eastAsia"/>
          <w:rtl/>
        </w:rPr>
        <w:t>ד</w:t>
      </w:r>
      <w:r w:rsidRPr="00955196">
        <w:rPr>
          <w:rtl/>
        </w:rPr>
        <w:t>"</w:t>
      </w:r>
      <w:r w:rsidRPr="00955196">
        <w:rPr>
          <w:rFonts w:hint="eastAsia"/>
          <w:rtl/>
        </w:rPr>
        <w:t>ר</w:t>
      </w:r>
      <w:r w:rsidRPr="00955196">
        <w:rPr>
          <w:rtl/>
        </w:rPr>
        <w:t xml:space="preserve"> </w:t>
      </w:r>
      <w:r w:rsidRPr="00955196">
        <w:rPr>
          <w:rFonts w:hint="eastAsia"/>
          <w:rtl/>
        </w:rPr>
        <w:t>משה</w:t>
      </w:r>
      <w:r w:rsidRPr="00955196">
        <w:rPr>
          <w:rtl/>
        </w:rPr>
        <w:t xml:space="preserve"> </w:t>
      </w:r>
      <w:r w:rsidRPr="00955196">
        <w:rPr>
          <w:rFonts w:hint="eastAsia"/>
          <w:rtl/>
        </w:rPr>
        <w:t>רענן</w:t>
      </w:r>
      <w:r w:rsidRPr="00955196">
        <w:rPr>
          <w:rtl/>
        </w:rPr>
        <w:t xml:space="preserve">, </w:t>
      </w:r>
      <w:r w:rsidRPr="00955196">
        <w:rPr>
          <w:rFonts w:hint="eastAsia"/>
          <w:rtl/>
        </w:rPr>
        <w:t>פורטל</w:t>
      </w:r>
      <w:r w:rsidRPr="00955196">
        <w:rPr>
          <w:rtl/>
        </w:rPr>
        <w:t xml:space="preserve"> </w:t>
      </w:r>
      <w:r w:rsidRPr="00955196">
        <w:rPr>
          <w:rFonts w:hint="eastAsia"/>
          <w:rtl/>
        </w:rPr>
        <w:t>הדף</w:t>
      </w:r>
      <w:r w:rsidRPr="00955196">
        <w:rPr>
          <w:rtl/>
        </w:rPr>
        <w:t xml:space="preserve"> </w:t>
      </w:r>
      <w:r w:rsidRPr="00955196">
        <w:rPr>
          <w:rFonts w:hint="eastAsia"/>
          <w:rtl/>
        </w:rPr>
        <w:t>היומי</w:t>
      </w:r>
    </w:p>
  </w:footnote>
  <w:footnote w:id="20">
    <w:p w14:paraId="3B6EC267" w14:textId="00E6106C" w:rsidR="00702591" w:rsidRDefault="00702591">
      <w:pPr>
        <w:pStyle w:val="FootnoteText"/>
        <w:rPr>
          <w:rFonts w:hint="cs"/>
        </w:rPr>
      </w:pPr>
      <w:r>
        <w:rPr>
          <w:rStyle w:val="FootnoteReference"/>
        </w:rPr>
        <w:footnoteRef/>
      </w:r>
      <w:r>
        <w:rPr>
          <w:rtl/>
        </w:rPr>
        <w:t xml:space="preserve"> </w:t>
      </w:r>
      <w:r w:rsidR="005D521A">
        <w:rPr>
          <w:rtl/>
        </w:rPr>
        <w:tab/>
      </w:r>
      <w:r w:rsidRPr="00702591">
        <w:rPr>
          <w:rFonts w:hint="eastAsia"/>
          <w:rtl/>
        </w:rPr>
        <w:t>ראש</w:t>
      </w:r>
      <w:r w:rsidRPr="00702591">
        <w:rPr>
          <w:rtl/>
        </w:rPr>
        <w:t xml:space="preserve"> </w:t>
      </w:r>
      <w:r w:rsidRPr="00702591">
        <w:rPr>
          <w:rFonts w:hint="eastAsia"/>
          <w:rtl/>
        </w:rPr>
        <w:t>אב</w:t>
      </w:r>
      <w:r w:rsidRPr="00702591">
        <w:rPr>
          <w:rtl/>
        </w:rPr>
        <w:t xml:space="preserve"> </w:t>
      </w:r>
      <w:r w:rsidRPr="00702591">
        <w:rPr>
          <w:rFonts w:hint="eastAsia"/>
          <w:rtl/>
        </w:rPr>
        <w:t>בית</w:t>
      </w:r>
      <w:r w:rsidRPr="00702591">
        <w:rPr>
          <w:rtl/>
        </w:rPr>
        <w:t xml:space="preserve"> </w:t>
      </w:r>
      <w:r w:rsidRPr="00702591">
        <w:rPr>
          <w:rFonts w:hint="eastAsia"/>
          <w:rtl/>
        </w:rPr>
        <w:t>דין</w:t>
      </w:r>
      <w:r w:rsidRPr="00702591">
        <w:rPr>
          <w:rtl/>
        </w:rPr>
        <w:t xml:space="preserve">, </w:t>
      </w:r>
      <w:r w:rsidRPr="00702591">
        <w:rPr>
          <w:rFonts w:hint="eastAsia"/>
          <w:rtl/>
        </w:rPr>
        <w:t>פוסק</w:t>
      </w:r>
      <w:r w:rsidRPr="00702591">
        <w:rPr>
          <w:rtl/>
        </w:rPr>
        <w:t xml:space="preserve"> </w:t>
      </w:r>
      <w:r w:rsidRPr="00702591">
        <w:rPr>
          <w:rFonts w:hint="eastAsia"/>
          <w:rtl/>
        </w:rPr>
        <w:t>הלכה</w:t>
      </w:r>
      <w:r w:rsidRPr="00702591">
        <w:rPr>
          <w:rtl/>
        </w:rPr>
        <w:t xml:space="preserve">, </w:t>
      </w:r>
      <w:r w:rsidRPr="00702591">
        <w:rPr>
          <w:rFonts w:hint="eastAsia"/>
          <w:rtl/>
        </w:rPr>
        <w:t>שוחט</w:t>
      </w:r>
      <w:r w:rsidRPr="00702591">
        <w:rPr>
          <w:rtl/>
        </w:rPr>
        <w:t xml:space="preserve"> </w:t>
      </w:r>
      <w:r w:rsidRPr="00702591">
        <w:rPr>
          <w:rFonts w:hint="eastAsia"/>
          <w:rtl/>
        </w:rPr>
        <w:t>ומוהל</w:t>
      </w:r>
      <w:r w:rsidRPr="00702591">
        <w:rPr>
          <w:rtl/>
        </w:rPr>
        <w:t xml:space="preserve">, </w:t>
      </w:r>
      <w:r w:rsidRPr="00702591">
        <w:rPr>
          <w:rFonts w:hint="eastAsia"/>
          <w:rtl/>
        </w:rPr>
        <w:t>חבר</w:t>
      </w:r>
      <w:r w:rsidRPr="00702591">
        <w:rPr>
          <w:rtl/>
        </w:rPr>
        <w:t xml:space="preserve"> </w:t>
      </w:r>
      <w:r w:rsidRPr="00702591">
        <w:rPr>
          <w:rFonts w:hint="eastAsia"/>
          <w:rtl/>
        </w:rPr>
        <w:t>מועצת</w:t>
      </w:r>
      <w:r w:rsidRPr="00702591">
        <w:rPr>
          <w:rtl/>
        </w:rPr>
        <w:t xml:space="preserve"> </w:t>
      </w:r>
      <w:r w:rsidRPr="00702591">
        <w:rPr>
          <w:rFonts w:hint="eastAsia"/>
          <w:rtl/>
        </w:rPr>
        <w:t>חכמי</w:t>
      </w:r>
      <w:r w:rsidRPr="00702591">
        <w:rPr>
          <w:rtl/>
        </w:rPr>
        <w:t xml:space="preserve"> </w:t>
      </w:r>
      <w:r w:rsidRPr="00702591">
        <w:rPr>
          <w:rFonts w:hint="eastAsia"/>
          <w:rtl/>
        </w:rPr>
        <w:t>התורה</w:t>
      </w:r>
      <w:r w:rsidRPr="00702591">
        <w:rPr>
          <w:rtl/>
        </w:rPr>
        <w:t xml:space="preserve">, </w:t>
      </w:r>
      <w:r w:rsidRPr="00702591">
        <w:rPr>
          <w:rFonts w:hint="eastAsia"/>
          <w:rtl/>
        </w:rPr>
        <w:t>מייסד</w:t>
      </w:r>
      <w:r w:rsidRPr="00702591">
        <w:rPr>
          <w:rtl/>
        </w:rPr>
        <w:t xml:space="preserve"> </w:t>
      </w:r>
      <w:r w:rsidRPr="00702591">
        <w:rPr>
          <w:rFonts w:hint="eastAsia"/>
          <w:rtl/>
        </w:rPr>
        <w:t>וראש</w:t>
      </w:r>
      <w:r w:rsidRPr="00702591">
        <w:rPr>
          <w:rtl/>
        </w:rPr>
        <w:t xml:space="preserve"> </w:t>
      </w:r>
      <w:r w:rsidRPr="00702591">
        <w:rPr>
          <w:rFonts w:hint="eastAsia"/>
          <w:rtl/>
        </w:rPr>
        <w:t>מערכת</w:t>
      </w:r>
      <w:r w:rsidRPr="00702591">
        <w:rPr>
          <w:rtl/>
        </w:rPr>
        <w:t xml:space="preserve"> </w:t>
      </w:r>
      <w:r w:rsidRPr="00702591">
        <w:rPr>
          <w:rFonts w:hint="eastAsia"/>
          <w:rtl/>
        </w:rPr>
        <w:t>הכשרות</w:t>
      </w:r>
      <w:r w:rsidRPr="00702591">
        <w:rPr>
          <w:rtl/>
        </w:rPr>
        <w:t xml:space="preserve"> </w:t>
      </w:r>
      <w:r w:rsidRPr="00702591">
        <w:rPr>
          <w:rFonts w:hint="eastAsia"/>
          <w:rtl/>
        </w:rPr>
        <w:t>של</w:t>
      </w:r>
      <w:r w:rsidRPr="00702591">
        <w:rPr>
          <w:rtl/>
        </w:rPr>
        <w:t xml:space="preserve"> "</w:t>
      </w:r>
      <w:r w:rsidRPr="00702591">
        <w:rPr>
          <w:rFonts w:hint="eastAsia"/>
          <w:rtl/>
        </w:rPr>
        <w:t>בד</w:t>
      </w:r>
      <w:r w:rsidRPr="00702591">
        <w:rPr>
          <w:rtl/>
        </w:rPr>
        <w:t>"</w:t>
      </w:r>
      <w:r w:rsidRPr="00702591">
        <w:rPr>
          <w:rFonts w:hint="eastAsia"/>
          <w:rtl/>
        </w:rPr>
        <w:t>ץ</w:t>
      </w:r>
      <w:r w:rsidRPr="00702591">
        <w:rPr>
          <w:rtl/>
        </w:rPr>
        <w:t xml:space="preserve"> </w:t>
      </w:r>
      <w:r w:rsidRPr="00702591">
        <w:rPr>
          <w:rFonts w:hint="eastAsia"/>
          <w:rtl/>
        </w:rPr>
        <w:t>יורה</w:t>
      </w:r>
      <w:r w:rsidRPr="00702591">
        <w:rPr>
          <w:rtl/>
        </w:rPr>
        <w:t xml:space="preserve"> </w:t>
      </w:r>
      <w:r w:rsidRPr="00702591">
        <w:rPr>
          <w:rFonts w:hint="eastAsia"/>
          <w:rtl/>
        </w:rPr>
        <w:t>דעה</w:t>
      </w:r>
      <w:r w:rsidRPr="00702591">
        <w:rPr>
          <w:rtl/>
        </w:rPr>
        <w:t>".</w:t>
      </w:r>
    </w:p>
  </w:footnote>
  <w:footnote w:id="21">
    <w:p w14:paraId="42352F55" w14:textId="07F7B257" w:rsidR="001D1C51" w:rsidRDefault="001D1C51">
      <w:pPr>
        <w:pStyle w:val="FootnoteText"/>
        <w:rPr>
          <w:rFonts w:hint="cs"/>
        </w:rPr>
      </w:pPr>
      <w:r>
        <w:rPr>
          <w:rStyle w:val="FootnoteReference"/>
        </w:rPr>
        <w:footnoteRef/>
      </w:r>
      <w:r>
        <w:rPr>
          <w:rtl/>
        </w:rPr>
        <w:t xml:space="preserve"> </w:t>
      </w:r>
      <w:r w:rsidR="005D521A">
        <w:rPr>
          <w:rtl/>
        </w:rPr>
        <w:tab/>
      </w:r>
      <w:r w:rsidRPr="001D1C51">
        <w:rPr>
          <w:rFonts w:hint="eastAsia"/>
          <w:rtl/>
        </w:rPr>
        <w:t>ראש</w:t>
      </w:r>
      <w:r w:rsidRPr="001D1C51">
        <w:rPr>
          <w:rtl/>
        </w:rPr>
        <w:t xml:space="preserve"> </w:t>
      </w:r>
      <w:r w:rsidRPr="001D1C51">
        <w:rPr>
          <w:rFonts w:hint="eastAsia"/>
          <w:rtl/>
        </w:rPr>
        <w:t>מחלקת</w:t>
      </w:r>
      <w:r w:rsidRPr="001D1C51">
        <w:rPr>
          <w:rtl/>
        </w:rPr>
        <w:t xml:space="preserve"> </w:t>
      </w:r>
      <w:r w:rsidRPr="001D1C51">
        <w:rPr>
          <w:rFonts w:hint="eastAsia"/>
          <w:rtl/>
        </w:rPr>
        <w:t>הכשרות</w:t>
      </w:r>
      <w:r w:rsidRPr="001D1C51">
        <w:rPr>
          <w:rtl/>
        </w:rPr>
        <w:t xml:space="preserve"> </w:t>
      </w:r>
      <w:r w:rsidRPr="001D1C51">
        <w:rPr>
          <w:rFonts w:hint="eastAsia"/>
          <w:rtl/>
        </w:rPr>
        <w:t>של</w:t>
      </w:r>
      <w:r w:rsidRPr="001D1C51">
        <w:rPr>
          <w:rtl/>
        </w:rPr>
        <w:t xml:space="preserve"> </w:t>
      </w:r>
      <w:r w:rsidRPr="001D1C51">
        <w:rPr>
          <w:rFonts w:hint="eastAsia"/>
          <w:rtl/>
        </w:rPr>
        <w:t>העיר</w:t>
      </w:r>
      <w:r w:rsidRPr="001D1C51">
        <w:rPr>
          <w:rtl/>
        </w:rPr>
        <w:t xml:space="preserve"> </w:t>
      </w:r>
      <w:r w:rsidRPr="001D1C51">
        <w:rPr>
          <w:rFonts w:hint="eastAsia"/>
          <w:rtl/>
        </w:rPr>
        <w:t>טבריה</w:t>
      </w:r>
      <w:r w:rsidRPr="001D1C51">
        <w:rPr>
          <w:rtl/>
        </w:rPr>
        <w:t>.</w:t>
      </w:r>
    </w:p>
  </w:footnote>
  <w:footnote w:id="22">
    <w:p w14:paraId="2E5F089B" w14:textId="30CE336F" w:rsidR="00575CB8" w:rsidRPr="004D208D" w:rsidRDefault="00FF75EE" w:rsidP="00575CB8">
      <w:pPr>
        <w:pStyle w:val="FootnoteText"/>
        <w:rPr>
          <w:rFonts w:hint="cs"/>
          <w:rtl/>
          <w:lang w:val="en-GB"/>
        </w:rPr>
      </w:pPr>
      <w:r>
        <w:rPr>
          <w:rStyle w:val="FootnoteReference"/>
        </w:rPr>
        <w:footnoteRef/>
      </w:r>
      <w:r>
        <w:rPr>
          <w:rtl/>
        </w:rPr>
        <w:t xml:space="preserve"> </w:t>
      </w:r>
      <w:r w:rsidR="005D521A">
        <w:rPr>
          <w:rtl/>
        </w:rPr>
        <w:tab/>
      </w:r>
      <w:r w:rsidRPr="00FF75EE">
        <w:rPr>
          <w:rFonts w:hint="eastAsia"/>
          <w:rtl/>
        </w:rPr>
        <w:t>אחד</w:t>
      </w:r>
      <w:r w:rsidRPr="00FF75EE">
        <w:rPr>
          <w:rtl/>
        </w:rPr>
        <w:t xml:space="preserve"> </w:t>
      </w:r>
      <w:r w:rsidRPr="00FF75EE">
        <w:rPr>
          <w:rFonts w:hint="eastAsia"/>
          <w:rtl/>
        </w:rPr>
        <w:t>מפוסקי</w:t>
      </w:r>
      <w:r w:rsidRPr="00FF75EE">
        <w:rPr>
          <w:rtl/>
        </w:rPr>
        <w:t xml:space="preserve"> </w:t>
      </w:r>
      <w:r w:rsidRPr="00FF75EE">
        <w:rPr>
          <w:rFonts w:hint="eastAsia"/>
          <w:rtl/>
        </w:rPr>
        <w:t>ההלכה</w:t>
      </w:r>
      <w:r w:rsidRPr="00FF75EE">
        <w:rPr>
          <w:rtl/>
        </w:rPr>
        <w:t xml:space="preserve"> </w:t>
      </w:r>
      <w:r w:rsidRPr="00FF75EE">
        <w:rPr>
          <w:rFonts w:hint="eastAsia"/>
          <w:rtl/>
        </w:rPr>
        <w:t>של</w:t>
      </w:r>
      <w:r w:rsidRPr="00FF75EE">
        <w:rPr>
          <w:rtl/>
        </w:rPr>
        <w:t xml:space="preserve"> </w:t>
      </w:r>
      <w:r w:rsidRPr="00FF75EE">
        <w:rPr>
          <w:rFonts w:hint="eastAsia"/>
          <w:rtl/>
        </w:rPr>
        <w:t>איגוד</w:t>
      </w:r>
      <w:r w:rsidRPr="00FF75EE">
        <w:rPr>
          <w:rtl/>
        </w:rPr>
        <w:t xml:space="preserve"> </w:t>
      </w:r>
      <w:r w:rsidRPr="00FF75EE">
        <w:rPr>
          <w:rFonts w:hint="eastAsia"/>
          <w:rtl/>
        </w:rPr>
        <w:t>הקהילות</w:t>
      </w:r>
      <w:r w:rsidRPr="00FF75EE">
        <w:rPr>
          <w:rtl/>
        </w:rPr>
        <w:t xml:space="preserve"> </w:t>
      </w:r>
      <w:r w:rsidRPr="00FF75EE">
        <w:rPr>
          <w:rFonts w:hint="eastAsia"/>
          <w:rtl/>
        </w:rPr>
        <w:t>האורתודוכסיות</w:t>
      </w:r>
      <w:r w:rsidRPr="00FF75EE">
        <w:rPr>
          <w:rtl/>
        </w:rPr>
        <w:t xml:space="preserve"> </w:t>
      </w:r>
      <w:r w:rsidRPr="00FF75EE">
        <w:rPr>
          <w:rFonts w:hint="eastAsia"/>
          <w:rtl/>
        </w:rPr>
        <w:t>בארה</w:t>
      </w:r>
      <w:r w:rsidRPr="00FF75EE">
        <w:rPr>
          <w:rtl/>
        </w:rPr>
        <w:t>"</w:t>
      </w:r>
      <w:r w:rsidRPr="00FF75EE">
        <w:rPr>
          <w:rFonts w:hint="eastAsia"/>
          <w:rtl/>
        </w:rPr>
        <w:t>ב</w:t>
      </w:r>
      <w:r w:rsidRPr="00FF75EE">
        <w:rPr>
          <w:rtl/>
        </w:rPr>
        <w:t xml:space="preserve"> </w:t>
      </w:r>
      <w:r w:rsidRPr="00FF75EE">
        <w:t>OU</w:t>
      </w:r>
      <w:r w:rsidR="004D208D">
        <w:rPr>
          <w:rFonts w:hint="cs"/>
          <w:rtl/>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CF44" w14:textId="0F0B7394"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7F17DD">
      <w:rPr>
        <w:rFonts w:ascii="Heebo Light" w:hAnsi="Heebo Light" w:cs="Heebo Light"/>
        <w:noProof/>
        <w:sz w:val="18"/>
        <w:szCs w:val="18"/>
        <w:rtl/>
      </w:rPr>
      <w:t>הלל כהן</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4652" w14:textId="3813E7E5"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7F17DD" w:rsidRPr="007F17DD">
      <w:rPr>
        <w:rFonts w:ascii="Heebo Light" w:hAnsi="Heebo Light" w:cs="Heebo Light"/>
        <w:b/>
        <w:bCs/>
        <w:noProof/>
        <w:sz w:val="18"/>
        <w:szCs w:val="18"/>
        <w:rtl/>
      </w:rPr>
      <w:t>פישי אישפאדה</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F304"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CC0CA838"/>
    <w:lvl w:ilvl="0" w:tplc="1696BA14">
      <w:start w:val="1"/>
      <w:numFmt w:val="hebrew1"/>
      <w:pStyle w:val="ListParagraph"/>
      <w:lvlText w:val="%1."/>
      <w:lvlJc w:val="left"/>
      <w:pPr>
        <w:ind w:left="360" w:hanging="360"/>
      </w:pPr>
      <w:rPr>
        <w:rFonts w:ascii="Gentium" w:hAnsi="Gentium" w:cs="Narkisim" w:hint="default"/>
        <w:b w:val="0"/>
        <w:bCs w:val="0"/>
        <w:i w:val="0"/>
        <w:iCs w:val="0"/>
        <w:color w:val="auto"/>
        <w:sz w:val="22"/>
        <w:szCs w:val="24"/>
        <w:u w:val="none"/>
        <w:lang w:val="en-I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1712183">
    <w:abstractNumId w:val="0"/>
  </w:num>
  <w:num w:numId="2" w16cid:durableId="692338145">
    <w:abstractNumId w:val="0"/>
    <w:lvlOverride w:ilvl="0">
      <w:startOverride w:val="1"/>
    </w:lvlOverride>
  </w:num>
  <w:num w:numId="3" w16cid:durableId="314454767">
    <w:abstractNumId w:val="0"/>
  </w:num>
  <w:num w:numId="4" w16cid:durableId="1707675973">
    <w:abstractNumId w:val="0"/>
    <w:lvlOverride w:ilvl="0">
      <w:startOverride w:val="1"/>
    </w:lvlOverride>
  </w:num>
  <w:num w:numId="5" w16cid:durableId="883759768">
    <w:abstractNumId w:val="0"/>
    <w:lvlOverride w:ilvl="0">
      <w:startOverride w:val="1"/>
    </w:lvlOverride>
  </w:num>
  <w:num w:numId="6" w16cid:durableId="516625842">
    <w:abstractNumId w:val="0"/>
    <w:lvlOverride w:ilvl="0">
      <w:startOverride w:val="1"/>
    </w:lvlOverride>
  </w:num>
  <w:num w:numId="7" w16cid:durableId="1520391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7A"/>
    <w:rsid w:val="0002278B"/>
    <w:rsid w:val="0002340E"/>
    <w:rsid w:val="00034BF9"/>
    <w:rsid w:val="0004043A"/>
    <w:rsid w:val="000409AA"/>
    <w:rsid w:val="00063B34"/>
    <w:rsid w:val="00070992"/>
    <w:rsid w:val="00082C7A"/>
    <w:rsid w:val="000872BB"/>
    <w:rsid w:val="0009361E"/>
    <w:rsid w:val="000A2278"/>
    <w:rsid w:val="000C532D"/>
    <w:rsid w:val="000C7944"/>
    <w:rsid w:val="00113FCB"/>
    <w:rsid w:val="00117507"/>
    <w:rsid w:val="001343AA"/>
    <w:rsid w:val="001437E5"/>
    <w:rsid w:val="00161C15"/>
    <w:rsid w:val="00187664"/>
    <w:rsid w:val="00195C7F"/>
    <w:rsid w:val="001A5BC2"/>
    <w:rsid w:val="001A6028"/>
    <w:rsid w:val="001C3D45"/>
    <w:rsid w:val="001C67F9"/>
    <w:rsid w:val="001D1C51"/>
    <w:rsid w:val="001F367F"/>
    <w:rsid w:val="00250D1F"/>
    <w:rsid w:val="00271B04"/>
    <w:rsid w:val="00287CE9"/>
    <w:rsid w:val="002D60F4"/>
    <w:rsid w:val="002F4E37"/>
    <w:rsid w:val="003711E9"/>
    <w:rsid w:val="003A25F5"/>
    <w:rsid w:val="003A2788"/>
    <w:rsid w:val="003D5576"/>
    <w:rsid w:val="003E3281"/>
    <w:rsid w:val="0040024F"/>
    <w:rsid w:val="00422A87"/>
    <w:rsid w:val="00424810"/>
    <w:rsid w:val="00441851"/>
    <w:rsid w:val="00454051"/>
    <w:rsid w:val="004545B2"/>
    <w:rsid w:val="00466C8B"/>
    <w:rsid w:val="00466DD9"/>
    <w:rsid w:val="00471539"/>
    <w:rsid w:val="00484CB7"/>
    <w:rsid w:val="004B1217"/>
    <w:rsid w:val="004B787A"/>
    <w:rsid w:val="004C3797"/>
    <w:rsid w:val="004C5599"/>
    <w:rsid w:val="004D208D"/>
    <w:rsid w:val="004D4620"/>
    <w:rsid w:val="004F3731"/>
    <w:rsid w:val="005201F4"/>
    <w:rsid w:val="005208F8"/>
    <w:rsid w:val="00533BC6"/>
    <w:rsid w:val="005540A0"/>
    <w:rsid w:val="00554EF6"/>
    <w:rsid w:val="00575CB8"/>
    <w:rsid w:val="005805DA"/>
    <w:rsid w:val="00584707"/>
    <w:rsid w:val="005D48C2"/>
    <w:rsid w:val="005D521A"/>
    <w:rsid w:val="005F33A2"/>
    <w:rsid w:val="006024AC"/>
    <w:rsid w:val="00606E5E"/>
    <w:rsid w:val="00612B20"/>
    <w:rsid w:val="0062232C"/>
    <w:rsid w:val="006273A7"/>
    <w:rsid w:val="00654F62"/>
    <w:rsid w:val="00660D5C"/>
    <w:rsid w:val="00662B22"/>
    <w:rsid w:val="00670C39"/>
    <w:rsid w:val="00676881"/>
    <w:rsid w:val="00685FA2"/>
    <w:rsid w:val="006E6632"/>
    <w:rsid w:val="00702591"/>
    <w:rsid w:val="00703411"/>
    <w:rsid w:val="00704B1C"/>
    <w:rsid w:val="0070526C"/>
    <w:rsid w:val="007358C5"/>
    <w:rsid w:val="00737F13"/>
    <w:rsid w:val="007546A7"/>
    <w:rsid w:val="00755E25"/>
    <w:rsid w:val="007810E6"/>
    <w:rsid w:val="00785412"/>
    <w:rsid w:val="007A671B"/>
    <w:rsid w:val="007D6473"/>
    <w:rsid w:val="007F17DD"/>
    <w:rsid w:val="00803980"/>
    <w:rsid w:val="00806AB8"/>
    <w:rsid w:val="00815249"/>
    <w:rsid w:val="00830EE4"/>
    <w:rsid w:val="00831B4D"/>
    <w:rsid w:val="0084597A"/>
    <w:rsid w:val="00847B50"/>
    <w:rsid w:val="00847FFA"/>
    <w:rsid w:val="00852DEB"/>
    <w:rsid w:val="00857BA4"/>
    <w:rsid w:val="008801F2"/>
    <w:rsid w:val="00882518"/>
    <w:rsid w:val="00885C6D"/>
    <w:rsid w:val="00897A6D"/>
    <w:rsid w:val="008A195F"/>
    <w:rsid w:val="008A460B"/>
    <w:rsid w:val="008D1F83"/>
    <w:rsid w:val="008D6718"/>
    <w:rsid w:val="008E1A33"/>
    <w:rsid w:val="008F49C5"/>
    <w:rsid w:val="00930EA9"/>
    <w:rsid w:val="00933B60"/>
    <w:rsid w:val="0094062E"/>
    <w:rsid w:val="00943324"/>
    <w:rsid w:val="00955196"/>
    <w:rsid w:val="00956477"/>
    <w:rsid w:val="00987353"/>
    <w:rsid w:val="00991A43"/>
    <w:rsid w:val="009B10C8"/>
    <w:rsid w:val="009D514E"/>
    <w:rsid w:val="009D7EE6"/>
    <w:rsid w:val="009E1844"/>
    <w:rsid w:val="009E31F6"/>
    <w:rsid w:val="009E7FBB"/>
    <w:rsid w:val="009F5B3A"/>
    <w:rsid w:val="00A256E4"/>
    <w:rsid w:val="00A31408"/>
    <w:rsid w:val="00A4199F"/>
    <w:rsid w:val="00A60C42"/>
    <w:rsid w:val="00A6659D"/>
    <w:rsid w:val="00A76B85"/>
    <w:rsid w:val="00A85D0D"/>
    <w:rsid w:val="00AA361C"/>
    <w:rsid w:val="00AA3FD6"/>
    <w:rsid w:val="00AB2BC4"/>
    <w:rsid w:val="00AF23AE"/>
    <w:rsid w:val="00AF559E"/>
    <w:rsid w:val="00B1141A"/>
    <w:rsid w:val="00B142C1"/>
    <w:rsid w:val="00B32378"/>
    <w:rsid w:val="00B37AB5"/>
    <w:rsid w:val="00B41A38"/>
    <w:rsid w:val="00B80364"/>
    <w:rsid w:val="00B94CDD"/>
    <w:rsid w:val="00BB3030"/>
    <w:rsid w:val="00BB325B"/>
    <w:rsid w:val="00BD2BF2"/>
    <w:rsid w:val="00BD7F2C"/>
    <w:rsid w:val="00C02286"/>
    <w:rsid w:val="00C10D32"/>
    <w:rsid w:val="00C15394"/>
    <w:rsid w:val="00C32744"/>
    <w:rsid w:val="00C32E31"/>
    <w:rsid w:val="00C547CB"/>
    <w:rsid w:val="00C56CAF"/>
    <w:rsid w:val="00C60464"/>
    <w:rsid w:val="00C62B01"/>
    <w:rsid w:val="00C87786"/>
    <w:rsid w:val="00C9026A"/>
    <w:rsid w:val="00C94D1C"/>
    <w:rsid w:val="00CA23F1"/>
    <w:rsid w:val="00CC5F11"/>
    <w:rsid w:val="00CE75DE"/>
    <w:rsid w:val="00CF3DFD"/>
    <w:rsid w:val="00D270CC"/>
    <w:rsid w:val="00D420C1"/>
    <w:rsid w:val="00D4503B"/>
    <w:rsid w:val="00D676EA"/>
    <w:rsid w:val="00D834D3"/>
    <w:rsid w:val="00DB175E"/>
    <w:rsid w:val="00DD25DD"/>
    <w:rsid w:val="00DE02A3"/>
    <w:rsid w:val="00DF3AD4"/>
    <w:rsid w:val="00E05934"/>
    <w:rsid w:val="00E07AB3"/>
    <w:rsid w:val="00E16C38"/>
    <w:rsid w:val="00E173CF"/>
    <w:rsid w:val="00E34842"/>
    <w:rsid w:val="00E42CF9"/>
    <w:rsid w:val="00E44CCF"/>
    <w:rsid w:val="00E6541C"/>
    <w:rsid w:val="00E668F6"/>
    <w:rsid w:val="00E770F8"/>
    <w:rsid w:val="00E92C74"/>
    <w:rsid w:val="00ED6843"/>
    <w:rsid w:val="00EE361A"/>
    <w:rsid w:val="00EF03A8"/>
    <w:rsid w:val="00F15862"/>
    <w:rsid w:val="00F30759"/>
    <w:rsid w:val="00F4348D"/>
    <w:rsid w:val="00F776D0"/>
    <w:rsid w:val="00F84A7D"/>
    <w:rsid w:val="00F938E7"/>
    <w:rsid w:val="00F96A49"/>
    <w:rsid w:val="00FA0D9E"/>
    <w:rsid w:val="00FA5C8F"/>
    <w:rsid w:val="00FB28D6"/>
    <w:rsid w:val="00FB42B1"/>
    <w:rsid w:val="00FD4660"/>
    <w:rsid w:val="00FD4F7B"/>
    <w:rsid w:val="00FE5984"/>
    <w:rsid w:val="00FF0274"/>
    <w:rsid w:val="00FF75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5F072"/>
  <w15:docId w15:val="{47E10615-75F0-49A5-8856-81E342F9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3"/>
      </w:numPr>
      <w:spacing w:before="120" w:after="120"/>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styleId="CommentReference">
    <w:name w:val="annotation reference"/>
    <w:basedOn w:val="DefaultParagraphFont"/>
    <w:uiPriority w:val="99"/>
    <w:semiHidden/>
    <w:unhideWhenUsed/>
    <w:rsid w:val="007546A7"/>
    <w:rPr>
      <w:sz w:val="16"/>
      <w:szCs w:val="16"/>
    </w:rPr>
  </w:style>
  <w:style w:type="paragraph" w:styleId="CommentText">
    <w:name w:val="annotation text"/>
    <w:basedOn w:val="Normal"/>
    <w:link w:val="CommentTextChar"/>
    <w:uiPriority w:val="99"/>
    <w:unhideWhenUsed/>
    <w:rsid w:val="007546A7"/>
    <w:pPr>
      <w:spacing w:line="240" w:lineRule="auto"/>
    </w:pPr>
    <w:rPr>
      <w:sz w:val="20"/>
      <w:szCs w:val="20"/>
    </w:rPr>
  </w:style>
  <w:style w:type="character" w:customStyle="1" w:styleId="CommentTextChar">
    <w:name w:val="Comment Text Char"/>
    <w:basedOn w:val="DefaultParagraphFont"/>
    <w:link w:val="CommentText"/>
    <w:uiPriority w:val="99"/>
    <w:rsid w:val="007546A7"/>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7546A7"/>
    <w:rPr>
      <w:b/>
      <w:bCs/>
    </w:rPr>
  </w:style>
  <w:style w:type="character" w:customStyle="1" w:styleId="CommentSubjectChar">
    <w:name w:val="Comment Subject Char"/>
    <w:basedOn w:val="CommentTextChar"/>
    <w:link w:val="CommentSubject"/>
    <w:uiPriority w:val="99"/>
    <w:semiHidden/>
    <w:rsid w:val="007546A7"/>
    <w:rPr>
      <w:rFonts w:ascii="Gentium" w:hAnsi="Gentium" w:cs="Narkisim"/>
      <w:b/>
      <w:bCs/>
      <w:sz w:val="20"/>
      <w:szCs w:val="20"/>
    </w:rPr>
  </w:style>
  <w:style w:type="paragraph" w:styleId="NormalWeb">
    <w:name w:val="Normal (Web)"/>
    <w:basedOn w:val="Normal"/>
    <w:uiPriority w:val="99"/>
    <w:semiHidden/>
    <w:unhideWhenUsed/>
    <w:rsid w:val="00CF3DF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39</TotalTime>
  <Pages>9</Pages>
  <Words>1751</Words>
  <Characters>9987</Characters>
  <Application>Microsoft Office Word</Application>
  <DocSecurity>0</DocSecurity>
  <Lines>83</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134</cp:revision>
  <dcterms:created xsi:type="dcterms:W3CDTF">2026-03-18T13:24:00Z</dcterms:created>
  <dcterms:modified xsi:type="dcterms:W3CDTF">2026-03-18T14:40:00Z</dcterms:modified>
</cp:coreProperties>
</file>