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E5A3" w14:textId="1F734972" w:rsidR="00FE5984" w:rsidRDefault="00D6686E" w:rsidP="00471539">
      <w:pPr>
        <w:pStyle w:val="a"/>
        <w:bidi w:val="0"/>
        <w:rPr>
          <w:rtl/>
          <w:lang w:val="en-GB"/>
        </w:rPr>
      </w:pPr>
      <w:r>
        <w:rPr>
          <w:rFonts w:hint="cs"/>
          <w:rtl/>
          <w:lang w:val="en-GB"/>
        </w:rPr>
        <w:t>ג'ואי זאב</w:t>
      </w:r>
    </w:p>
    <w:p w14:paraId="0D6F1130" w14:textId="77777777" w:rsidR="00065F92" w:rsidRDefault="00065F92" w:rsidP="00065F92">
      <w:pPr>
        <w:pStyle w:val="Title"/>
        <w:rPr>
          <w:rtl/>
          <w:lang w:val="en-GB"/>
        </w:rPr>
      </w:pPr>
      <w:r w:rsidRPr="00065F92">
        <w:rPr>
          <w:rFonts w:hint="eastAsia"/>
          <w:rtl/>
          <w:lang w:val="en-GB"/>
        </w:rPr>
        <w:t>עיון</w:t>
      </w:r>
      <w:r w:rsidRPr="00065F92">
        <w:rPr>
          <w:rtl/>
          <w:lang w:val="en-GB"/>
        </w:rPr>
        <w:t xml:space="preserve"> </w:t>
      </w:r>
      <w:r w:rsidRPr="00065F92">
        <w:rPr>
          <w:rFonts w:hint="eastAsia"/>
          <w:rtl/>
          <w:lang w:val="en-GB"/>
        </w:rPr>
        <w:t>מצומצם</w:t>
      </w:r>
      <w:r w:rsidRPr="00065F92">
        <w:rPr>
          <w:rtl/>
          <w:lang w:val="en-GB"/>
        </w:rPr>
        <w:t xml:space="preserve"> </w:t>
      </w:r>
      <w:r w:rsidRPr="00065F92">
        <w:rPr>
          <w:rFonts w:hint="eastAsia"/>
          <w:rtl/>
          <w:lang w:val="en-GB"/>
        </w:rPr>
        <w:t>בפסיקה</w:t>
      </w:r>
      <w:r w:rsidRPr="00065F92">
        <w:rPr>
          <w:rtl/>
          <w:lang w:val="en-GB"/>
        </w:rPr>
        <w:t xml:space="preserve"> </w:t>
      </w:r>
      <w:proofErr w:type="spellStart"/>
      <w:r w:rsidRPr="00065F92">
        <w:rPr>
          <w:rFonts w:hint="eastAsia"/>
          <w:rtl/>
          <w:lang w:val="en-GB"/>
        </w:rPr>
        <w:t>קונסרבטיבית</w:t>
      </w:r>
      <w:proofErr w:type="spellEnd"/>
    </w:p>
    <w:p w14:paraId="6A6F40A5" w14:textId="615ED06F" w:rsidR="00D6686E" w:rsidRPr="00065F92" w:rsidRDefault="00D6686E" w:rsidP="00065F92">
      <w:pPr>
        <w:spacing w:before="240"/>
        <w:ind w:firstLine="0"/>
        <w:rPr>
          <w:rFonts w:eastAsiaTheme="majorEastAsia" w:cs="Heebo Black"/>
          <w:bCs/>
          <w:sz w:val="44"/>
          <w:szCs w:val="40"/>
          <w:lang w:val="en-GB"/>
        </w:rPr>
      </w:pPr>
      <w:r w:rsidRPr="00D6686E">
        <w:rPr>
          <w:rtl/>
          <w:lang w:val="en-GB"/>
        </w:rPr>
        <w:t xml:space="preserve">כמה פעמים יצא לנו לשאול את עצמנו מהי המשמעות של ״הלכה״ </w:t>
      </w:r>
      <w:r w:rsidRPr="00D6686E">
        <w:rPr>
          <w:rFonts w:hint="cs"/>
          <w:rtl/>
          <w:lang w:val="en-GB"/>
        </w:rPr>
        <w:t>עבורנו</w:t>
      </w:r>
      <w:r w:rsidRPr="00D6686E">
        <w:rPr>
          <w:rtl/>
          <w:lang w:val="en-GB"/>
        </w:rPr>
        <w:t>? אני לא רב ולא פילוסוף, ואני בהחלט לא יכול להסביר במילים שלי מה המשמעות של ״הלכה״ שתתאים לכל אחד, אך אני יכול לנסות לענות על השאלה בדרך שלילה: ההלכה היא בטוח לא מערכת חוקים שמכבידה על האדם יתר על המידה עד כדי כך שהוא אינו יכול לעמוד בה, שאולי אפילו תגרום לו לפרוק עול לגמרי ולעזוב את הדת. אין סיכוי שההלכה יכולה להיות רלוונטית אליי אם היא לא מתייחסת ומתפתחת בהתאם לנושאים אקטואליים בחיי. ואני בטוח שההלכה היא לא מערכת חוקים שכל בן-אדם יכול להוסיף עליו על סמך שיקולים אישיים, דחוקים או מושפעים מבחוץ. </w:t>
      </w:r>
    </w:p>
    <w:p w14:paraId="490FE457" w14:textId="77777777" w:rsidR="00D6686E" w:rsidRPr="00D6686E" w:rsidRDefault="00D6686E" w:rsidP="00D6686E">
      <w:pPr>
        <w:rPr>
          <w:rtl/>
          <w:lang w:val="en-GB"/>
        </w:rPr>
      </w:pPr>
      <w:r w:rsidRPr="00D6686E">
        <w:rPr>
          <w:rtl/>
          <w:lang w:val="en-GB"/>
        </w:rPr>
        <w:t>אבקש להתחיל בהסבר קצר של ההבדלים בין שלושת הזרמים המרכזיים ביהדות כיום. נהוג להפריד בין האורתודוקסים, לבין הקונסרבטיבים והרפורמים ביחד. למרות שיש בזה מן האמת, אני חושב שצריך לבחון את זה מחדש:</w:t>
      </w:r>
    </w:p>
    <w:p w14:paraId="01B7B4C0" w14:textId="502E33CC" w:rsidR="00D6686E" w:rsidRPr="00D6686E" w:rsidRDefault="00D6686E" w:rsidP="00D6686E">
      <w:pPr>
        <w:rPr>
          <w:rtl/>
          <w:lang w:val="en-GB"/>
        </w:rPr>
      </w:pPr>
      <w:r w:rsidRPr="00D6686E">
        <w:rPr>
          <w:rtl/>
          <w:lang w:val="en-GB"/>
        </w:rPr>
        <w:t>הרב אדם פרנק</w:t>
      </w:r>
      <w:r w:rsidR="001E67F1">
        <w:rPr>
          <w:rStyle w:val="FootnoteReference"/>
          <w:rtl/>
          <w:lang w:val="en-GB"/>
        </w:rPr>
        <w:footnoteReference w:id="1"/>
      </w:r>
      <w:r w:rsidRPr="00D6686E">
        <w:rPr>
          <w:rtl/>
          <w:lang w:val="en-GB"/>
        </w:rPr>
        <w:t xml:space="preserve"> מסביר שהתנועה הקונסרבטיבית, ובדומה לה גם הרפורמים, אינם דורשים ממאמיניה לאמץ אמונה אחת משותפת ויחידה במקור של התורה. לא משנה </w:t>
      </w:r>
      <w:r w:rsidRPr="00D6686E">
        <w:rPr>
          <w:b/>
          <w:bCs/>
          <w:rtl/>
          <w:lang w:val="en-GB"/>
        </w:rPr>
        <w:t xml:space="preserve">כיצד </w:t>
      </w:r>
      <w:r w:rsidRPr="00D6686E">
        <w:rPr>
          <w:rtl/>
          <w:lang w:val="en-GB"/>
        </w:rPr>
        <w:t xml:space="preserve">אדם מוצא משמעות בתורה, העיקר הוא שהוא מוצא משמעות בה. במילים אחרות, חשוב ביותר שאדם יהיה מעורב ויקיים את המנהג היהודי ללא קשר למניע שלו לעשות זאת, בין אם מוטיבציה זו היא ציווי אלוהי; התחייבות כלל עמית יהודית, רצון להרגיש חלק מקהילה, משום שאדם רואה הגיון מבחינה פסיכולוגית, רגשית או פיזית, או אפילו משום שסביו וסבתותיו היו שומרי מצוות – לא משנה </w:t>
      </w:r>
      <w:r w:rsidRPr="00D6686E">
        <w:rPr>
          <w:b/>
          <w:bCs/>
          <w:rtl/>
          <w:lang w:val="en-GB"/>
        </w:rPr>
        <w:t>מדוע</w:t>
      </w:r>
      <w:r w:rsidRPr="00D6686E">
        <w:rPr>
          <w:rtl/>
          <w:lang w:val="en-GB"/>
        </w:rPr>
        <w:t xml:space="preserve"> אדם שומר מצוות, העיקר שהוא באמת שומר אותן. כמוהם, גם אדם ״רפורמי״ יכול לא להאמין בתורה מסיני, וכנראה שתהיה לו סיבות דומות לרצות להישאר חלק מהדת היהודית. ההבדל </w:t>
      </w:r>
      <w:r w:rsidRPr="00D6686E">
        <w:rPr>
          <w:rtl/>
          <w:lang w:val="en-GB"/>
        </w:rPr>
        <w:lastRenderedPageBreak/>
        <w:t>ביניהם הוא שהתנועה הרפורמית לא רואה את ההלכה כטקסט מחייב, וכל עוד הם מקבלים מהיהדות את השיקולים שהם רואים לנכון, לא צריך להיות מקור בכתובים, בתושב"ע או בהלכה שאנו מכירים כפי שהיא התפתחה לאורך הדורות, מה שאין כן בכלל בתנועה הקונסרבטיבית, שמאמינה בסמכות הלכתית מחייבת. בכך היא דומה הרבה יותר לתנועה האורתודוקסית. </w:t>
      </w:r>
    </w:p>
    <w:p w14:paraId="7F9DE6BD" w14:textId="77777777" w:rsidR="00D6686E" w:rsidRPr="00D6686E" w:rsidRDefault="00D6686E" w:rsidP="00D6686E">
      <w:pPr>
        <w:rPr>
          <w:rtl/>
          <w:lang w:val="en-GB"/>
        </w:rPr>
      </w:pPr>
      <w:r w:rsidRPr="00D6686E">
        <w:rPr>
          <w:rtl/>
          <w:lang w:val="en-GB"/>
        </w:rPr>
        <w:t>לכן, ראוי לחלק מחדש את הזרמים לצד של הרפורמים מחד, ומאידך הקונסרבטיזם והאורתודוקסיה. אך עדיין חייב להיות הבדל ביניהם! מהו ההבדל הזה? המילה באנגלית "</w:t>
      </w:r>
      <w:r w:rsidRPr="00D6686E">
        <w:rPr>
          <w:lang w:val="en-IL"/>
        </w:rPr>
        <w:t>conservative</w:t>
      </w:r>
      <w:r w:rsidRPr="00D6686E">
        <w:rPr>
          <w:rtl/>
          <w:lang w:val="en-GB"/>
        </w:rPr>
        <w:t>" מתרגם בעברית ל״שמרני״, וזה מבטא יפה את האידיאולוגיה שלהם: הקונסרבטיזם האידיאלי מחייב שמירת הלכה לא פחות מהאורתודוקסיה. הקונסרבטיזם מאפשר ממשק בין המסורת היהודית עם המודרניות ומשתמשת בגמישות ההלכה כדי להבטיח את ההתאמה – גמישות שהייתה סימן ההיכר של היהדות עד המאה ה-17, וכמעט נעלמה בעולם האורתודוקסי כיום. ממשק זה מתבטא בתחומים רלוונטיים לימינו כמו כשרות, מעמד האישה, בריאות האדם והסביבה, טכנולוגיה מודרנית, ערבוב והטמעה עם גויים, מדיניות פוליטית וחברתית, ועוד. אידיאולוגיה זו מבוסס על ההבנה שהתורה שבעל פה היא השותפות של חכמים עם תורת האל הכתובה, המשתמשים בכלים שנתן אלוהים לבני האדם – השכל, רגש, פסיכולוגיה, חוכמה, ניסיון, כישורי טיעון והתבוננות – ומיישמים אותם על ערכי התורה כדי לנסות להבין מה א-לוקים רוצה מאיתנו, וכיצד לחיות חיים בתור יהודי בעולם. </w:t>
      </w:r>
    </w:p>
    <w:p w14:paraId="67A9DB51" w14:textId="77777777" w:rsidR="00D6686E" w:rsidRPr="00D6686E" w:rsidRDefault="00D6686E" w:rsidP="00D6686E">
      <w:pPr>
        <w:rPr>
          <w:rtl/>
          <w:lang w:val="en-GB"/>
        </w:rPr>
      </w:pPr>
      <w:r w:rsidRPr="00D6686E">
        <w:rPr>
          <w:rtl/>
          <w:lang w:val="en-GB"/>
        </w:rPr>
        <w:t>אך עדיין, יכול לבוא אדם אורתודוקסי ולטעון שזהו בדיוק גם האידיאולוגיה שלו. אז מה ההבדל?</w:t>
      </w:r>
    </w:p>
    <w:p w14:paraId="7A4FB087" w14:textId="34CE9C5B" w:rsidR="00D6686E" w:rsidRPr="00D6686E" w:rsidRDefault="00D6686E" w:rsidP="00D6686E">
      <w:pPr>
        <w:rPr>
          <w:rtl/>
          <w:lang w:val="en-GB"/>
        </w:rPr>
      </w:pPr>
      <w:r w:rsidRPr="00D6686E">
        <w:rPr>
          <w:rtl/>
          <w:lang w:val="en-GB"/>
        </w:rPr>
        <w:t xml:space="preserve"> אני רוצה לטעון שההבדל בין התנועות הרבה יותר צר מאשר ההנחה הכללית של הציבור היהודי בכלל אך בעיקר האורתודוקסי. פסיקות הלכה קונסרבטיביות לא מתקבלות להלכה בעולם האורתודוקסי, ואני אבקש לטעון כי דחייה זו אינה נובעת מהיעדר לגיטימציה הלכתית של הכלים שבהם השתמשו הפוסקים הקונסרבטיביים, או ראייה שונה של כלים אלו, אלא משני גורמים מרכזיים: ראשית, פער עמוק בין המבנים החברתיים והקהילתיים שבתוכם פועלים שני הזרמים גורם לזלזול, אי הבנה ודחייה כללית של התנועה הקונסרבטיבית מהצד האורתודוקסי המודרני – ושנית, תהליך של היחלשות המחויבות ההלכתית בחלק מן הפסיקה הקונסרבטיבית המאוחרת, שהוביל </w:t>
      </w:r>
      <w:r w:rsidRPr="00D6686E">
        <w:rPr>
          <w:rtl/>
          <w:lang w:val="en-GB"/>
        </w:rPr>
        <w:lastRenderedPageBreak/>
        <w:t>לרתיעה גורפת כלפי התנועה כולה. </w:t>
      </w:r>
    </w:p>
    <w:p w14:paraId="6CE7A2D8" w14:textId="77777777" w:rsidR="000A42EB" w:rsidRPr="000A42EB" w:rsidRDefault="000A42EB" w:rsidP="000A42EB">
      <w:pPr>
        <w:pStyle w:val="Heading2"/>
        <w:rPr>
          <w:lang w:val="en-IL"/>
        </w:rPr>
      </w:pPr>
      <w:r w:rsidRPr="000A42EB">
        <w:rPr>
          <w:rtl/>
          <w:lang w:val="en-GB"/>
        </w:rPr>
        <w:t>כלי המשחק המשותפים</w:t>
      </w:r>
    </w:p>
    <w:p w14:paraId="0D5F2797" w14:textId="0CBF8C10" w:rsidR="000A42EB" w:rsidRPr="000A42EB" w:rsidRDefault="000A42EB" w:rsidP="000A42EB">
      <w:pPr>
        <w:ind w:firstLine="0"/>
        <w:rPr>
          <w:rtl/>
          <w:lang w:val="en-GB"/>
        </w:rPr>
      </w:pPr>
      <w:r w:rsidRPr="000A42EB">
        <w:rPr>
          <w:rtl/>
          <w:lang w:val="en-GB"/>
        </w:rPr>
        <w:t>עקרון הלכתי משמעותי ומקובל המאפשר לחדש הלכה הוא המושג "כבוד הבריות". הגמרא אומרת: "גדול כבוד הבריות שדוחה את לא תעשה שבתורה"</w:t>
      </w:r>
      <w:r w:rsidR="00EE3BF0">
        <w:rPr>
          <w:rStyle w:val="FootnoteReference"/>
          <w:rtl/>
          <w:lang w:val="en-GB"/>
        </w:rPr>
        <w:footnoteReference w:id="2"/>
      </w:r>
      <w:r w:rsidRPr="000A42EB">
        <w:rPr>
          <w:rtl/>
          <w:lang w:val="en-GB"/>
        </w:rPr>
        <w:t>. המושג ״כבוד הבריות״ מוצג ככבוד שמגיע לבן אדם בשל היותו צלם אלוקים. בהמשך הגמרא רב בר שבא מסביר שהמצווה שמותר לבטל על ידי הכלל הזה הוא מצוות ״לא תסור״, שבקצרה מחייבת את העם לשמוע לפסיקת הלכה של בית הדין, והרמב"ם מוסיף שקביעת חכמים כזו נחשבת בגדר ״דאורייתא״ שמותר לבטל. ״כבוד הבריות״ מאפשר לבטל תקנת חכמים שנבנתה על ידי הכלל של לא תסור – אם יש סיטואציה שבה תהיה פגיעה בכבוד האדם בגלל פסיקה אחרת. </w:t>
      </w:r>
    </w:p>
    <w:p w14:paraId="167E8DB8" w14:textId="77777777" w:rsidR="000A42EB" w:rsidRPr="000A42EB" w:rsidRDefault="000A42EB" w:rsidP="000A42EB">
      <w:pPr>
        <w:rPr>
          <w:rtl/>
          <w:lang w:val="en-GB"/>
        </w:rPr>
      </w:pPr>
      <w:r w:rsidRPr="000A42EB">
        <w:rPr>
          <w:rtl/>
          <w:lang w:val="en-GB"/>
        </w:rPr>
        <w:t>עיקרון זה מדגים כיצד כבוד האדם איננו שיקול מוסרי חיצוני למערכת ההלכה, אלא הוא בעצמו ערך הלכתי מרכזי ובעל תוקף מחייב, המסוגל להשפיע גם על מבנה הנורמות ובכללן גם הפסקים ההלכתיים. לכן, כאשר פוסקים מסתמכים על כבוד הבריות לשם שינוי או קולא של נורמה הלכתית כפי שאציג להלן, אין הם חורגים מן ההלכה – אלא פועלים מתוכה. חשוב מאוד להדגיש שכלל זה יכול רק לבטל או לשנות תקנות חכמים שנחשבים ״דאורייתא״ משום ״לא תסור״ ואין בסמכותם לעקור כלל דאורייתא לכשעצמו. </w:t>
      </w:r>
    </w:p>
    <w:p w14:paraId="100F98B9" w14:textId="4FDFA7D7" w:rsidR="000A42EB" w:rsidRPr="000A42EB" w:rsidRDefault="000A42EB" w:rsidP="000A42EB">
      <w:pPr>
        <w:rPr>
          <w:rtl/>
          <w:lang w:val="en-GB"/>
        </w:rPr>
      </w:pPr>
      <w:r w:rsidRPr="000A42EB">
        <w:rPr>
          <w:rtl/>
          <w:lang w:val="en-GB"/>
        </w:rPr>
        <w:t>דוגמא רלוונטית לימינו של יישום עקרון ״כבוד הבריות״ נדון בסוגיית עליית נשים לתורה: כתוב בגמרא: ״הכל עולין למניין שבעה, אפילו קטן ואפילו אישה; אבל אמרו חכמים: אישה לא תקרא בתורה מפני כבוד הציבור.”</w:t>
      </w:r>
      <w:r w:rsidR="006D797A">
        <w:rPr>
          <w:rStyle w:val="FootnoteReference"/>
          <w:rtl/>
          <w:lang w:val="en-GB"/>
        </w:rPr>
        <w:footnoteReference w:id="3"/>
      </w:r>
      <w:r w:rsidRPr="000A42EB">
        <w:rPr>
          <w:rtl/>
          <w:lang w:val="en-GB"/>
        </w:rPr>
        <w:t xml:space="preserve"> כלומר: מצד הדין הבסיסי גם אישה כשרה לעלות לתורה, אבל חז״ל קבעו תקנה: לא להעלות נשים משום “כבוד הציבור״.</w:t>
      </w:r>
      <w:r w:rsidR="00391E9D">
        <w:rPr>
          <w:rStyle w:val="FootnoteReference"/>
          <w:rtl/>
          <w:lang w:val="en-GB"/>
        </w:rPr>
        <w:footnoteReference w:id="4"/>
      </w:r>
    </w:p>
    <w:p w14:paraId="4162B29F" w14:textId="0F1FD53A" w:rsidR="000A42EB" w:rsidRPr="000A42EB" w:rsidRDefault="000A42EB" w:rsidP="000A42EB">
      <w:pPr>
        <w:rPr>
          <w:rtl/>
          <w:lang w:val="en-GB"/>
        </w:rPr>
      </w:pPr>
      <w:r w:rsidRPr="000A42EB">
        <w:rPr>
          <w:rtl/>
          <w:lang w:val="en-GB"/>
        </w:rPr>
        <w:t>הרמב</w:t>
      </w:r>
      <w:r>
        <w:rPr>
          <w:rFonts w:hint="cs"/>
          <w:rtl/>
          <w:lang w:val="en-GB"/>
        </w:rPr>
        <w:t>"</w:t>
      </w:r>
      <w:r w:rsidRPr="000A42EB">
        <w:rPr>
          <w:rtl/>
          <w:lang w:val="en-GB"/>
        </w:rPr>
        <w:t>ם</w:t>
      </w:r>
      <w:r w:rsidR="00BD7AC8">
        <w:rPr>
          <w:rStyle w:val="FootnoteReference"/>
          <w:rtl/>
          <w:lang w:val="en-GB"/>
        </w:rPr>
        <w:footnoteReference w:id="5"/>
      </w:r>
      <w:r w:rsidRPr="000A42EB">
        <w:rPr>
          <w:rtl/>
          <w:lang w:val="en-GB"/>
        </w:rPr>
        <w:t>, השו״ע</w:t>
      </w:r>
      <w:r w:rsidR="00F268C7">
        <w:rPr>
          <w:rStyle w:val="FootnoteReference"/>
          <w:rtl/>
          <w:lang w:val="en-GB"/>
        </w:rPr>
        <w:footnoteReference w:id="6"/>
      </w:r>
      <w:r w:rsidRPr="000A42EB">
        <w:rPr>
          <w:rtl/>
          <w:lang w:val="en-GB"/>
        </w:rPr>
        <w:t xml:space="preserve"> ועוד רבים פסקו להלכה שנשים לא יכולות לעלות </w:t>
      </w:r>
      <w:r w:rsidRPr="000A42EB">
        <w:rPr>
          <w:rtl/>
          <w:lang w:val="en-GB"/>
        </w:rPr>
        <w:lastRenderedPageBreak/>
        <w:t>לתורה, עם לוגיקה דומה לזו של הגמרא שהרי בקהילות שבהם גרו כנראה שבאמת הייתה פגיעה בכבודם של הגברים אם אישה הייתה קוראת. בשו״ת שכתבו צוות ישיבת צפת</w:t>
      </w:r>
      <w:r w:rsidR="00A0187E">
        <w:rPr>
          <w:rStyle w:val="FootnoteReference"/>
          <w:rtl/>
          <w:lang w:val="en-GB"/>
        </w:rPr>
        <w:footnoteReference w:id="7"/>
      </w:r>
      <w:r w:rsidRPr="000A42EB">
        <w:rPr>
          <w:rtl/>
          <w:lang w:val="en-GB"/>
        </w:rPr>
        <w:t xml:space="preserve"> נאמר ש״וגם מפני כבוד הציבור, במציאות הנוכחית יש בעליה של א</w:t>
      </w:r>
      <w:r w:rsidR="006C7F56">
        <w:rPr>
          <w:rFonts w:hint="cs"/>
          <w:rtl/>
          <w:lang w:val="en-GB"/>
        </w:rPr>
        <w:t>י</w:t>
      </w:r>
      <w:r w:rsidRPr="000A42EB">
        <w:rPr>
          <w:rtl/>
          <w:lang w:val="en-GB"/>
        </w:rPr>
        <w:t xml:space="preserve">שה לתורה הרבה התרסה ולעשות דווקא. הגברים הם עדיין המרכז של בית הכנסת, לפחות עד שהנשים תגענה גם מדי בוקר לתפילה או לפחות בשבתות בבוקר... ועל כן זכותם [של הגברים] גוברת […] למרות שאני חושב שהדרישה הנשית </w:t>
      </w:r>
      <w:r w:rsidRPr="000A42EB">
        <w:rPr>
          <w:u w:val="single"/>
          <w:rtl/>
          <w:lang w:val="en-GB"/>
        </w:rPr>
        <w:t>המוצדקת</w:t>
      </w:r>
      <w:r w:rsidRPr="000A42EB">
        <w:rPr>
          <w:rtl/>
          <w:lang w:val="en-GB"/>
        </w:rPr>
        <w:t xml:space="preserve"> לקבל יותר מקום בבית הכנסת ובבית המדרש היא ראויה ונכונה - אינני יכול להתעלם מטעם לוואי של התרסה״. למרות שמתייחסים למציאות האובייקטיבית של הקהילה, שבה כמו אצל הרמב״ם והשו״ע הייתה פגיעה בכבוד הגברים, זהו לדעתי עדיין לוגיקה מעגלית שלעולם לא ניתן לצאת ממנה, שהרי אם נחוץ שינוי כמו שהוא כתב, איך זה יקרה בלי השינוי עצמו? בהמשך השו״ת נאמר גם ״יש להוסיף גם את סכנת ההתדמות לרפורמים - שהינה טיעון הלכתי לכל דבר״, שלילה על הסף רעיון להתפתחות הלכתית רק כי הוא </w:t>
      </w:r>
      <w:r w:rsidRPr="000A42EB">
        <w:rPr>
          <w:i/>
          <w:iCs/>
          <w:rtl/>
          <w:lang w:val="en-GB"/>
        </w:rPr>
        <w:t>לא רוצה להידמות לזרם האחר.</w:t>
      </w:r>
      <w:r w:rsidR="00F02FFA">
        <w:rPr>
          <w:rStyle w:val="FootnoteReference"/>
          <w:i/>
          <w:iCs/>
          <w:rtl/>
          <w:lang w:val="en-GB"/>
        </w:rPr>
        <w:footnoteReference w:id="8"/>
      </w:r>
    </w:p>
    <w:p w14:paraId="026B4732" w14:textId="12DEEA78" w:rsidR="000A42EB" w:rsidRPr="000A42EB" w:rsidRDefault="000A42EB" w:rsidP="000A42EB">
      <w:pPr>
        <w:rPr>
          <w:rtl/>
          <w:lang w:val="en-GB"/>
        </w:rPr>
      </w:pPr>
      <w:r w:rsidRPr="000A42EB">
        <w:rPr>
          <w:rtl/>
          <w:lang w:val="en-GB"/>
        </w:rPr>
        <w:t>הרב שפרבר</w:t>
      </w:r>
      <w:r w:rsidR="004E47AE">
        <w:rPr>
          <w:rStyle w:val="FootnoteReference"/>
          <w:rtl/>
          <w:lang w:val="en-GB"/>
        </w:rPr>
        <w:footnoteReference w:id="9"/>
      </w:r>
      <w:r w:rsidRPr="000A42EB">
        <w:rPr>
          <w:rtl/>
          <w:lang w:val="en-GB"/>
        </w:rPr>
        <w:t xml:space="preserve"> גם מתייחס לבעיה הזו, ומנגד טוען ש״מצוקתן של נשים שמונעות מהן עלייה לתורה מהווה פגיעה בכבוד הבריות, ולכן יש לשקול לעקוף את המניע של כבוד הציבור שמבוסס על תקנת חז״ל […] במציאות של היום, </w:t>
      </w:r>
      <w:r w:rsidRPr="000A42EB">
        <w:rPr>
          <w:i/>
          <w:iCs/>
          <w:rtl/>
          <w:lang w:val="en-GB"/>
        </w:rPr>
        <w:t>כבוד הציבור</w:t>
      </w:r>
      <w:r w:rsidRPr="000A42EB">
        <w:rPr>
          <w:rtl/>
          <w:lang w:val="en-GB"/>
        </w:rPr>
        <w:t xml:space="preserve"> כפי שהיה מובן בתקופת חז״ל אינו בהכרח מותאם למציאות החברתית שבה נשים יודעות לקרוא תורה ובעלות ידע רב […] לכן, יש להעמיד את כבוד הבריות של הנשים כנגד כבוד הציבור, וההוצאות לפועל של איסור עליית נשים לתורה – אינם מחויבים באופן מוחלט.״ הרב ספרבר משתמש כאן </w:t>
      </w:r>
      <w:r w:rsidRPr="000A42EB">
        <w:rPr>
          <w:rtl/>
          <w:lang w:val="en-GB"/>
        </w:rPr>
        <w:lastRenderedPageBreak/>
        <w:t xml:space="preserve">ב״כללי המשחק״ ההלכתיים – </w:t>
      </w:r>
      <w:r w:rsidR="006C7F56" w:rsidRPr="000A42EB">
        <w:rPr>
          <w:rFonts w:hint="cs"/>
          <w:rtl/>
          <w:lang w:val="en-GB"/>
        </w:rPr>
        <w:t>והפסיקה</w:t>
      </w:r>
      <w:r w:rsidRPr="000A42EB">
        <w:rPr>
          <w:rtl/>
          <w:lang w:val="en-GB"/>
        </w:rPr>
        <w:t xml:space="preserve"> נסמכת על גבי עיון ובחינת המציאות שבה הוא חי, המבקשת צדק מתוך העולם ההלכתי. פסיקה זו לא נוגדת חד משמעית את הפסיקה של רבני צפת, אלא היא בוחנת את המקרה הנדון תוך שימוש ב</w:t>
      </w:r>
      <w:r w:rsidRPr="000A42EB">
        <w:rPr>
          <w:b/>
          <w:bCs/>
          <w:rtl/>
          <w:lang w:val="en-GB"/>
        </w:rPr>
        <w:t>אותם חישובים וכללים</w:t>
      </w:r>
      <w:r w:rsidRPr="000A42EB">
        <w:rPr>
          <w:rtl/>
          <w:lang w:val="en-GB"/>
        </w:rPr>
        <w:t>, ומשום שהמציאות שלהם שונה – ובהמשך אעמוד על התופעה הזו – לכן גם הפסק שונה. </w:t>
      </w:r>
    </w:p>
    <w:p w14:paraId="6896FCF0" w14:textId="77777777" w:rsidR="000A42EB" w:rsidRPr="000A42EB" w:rsidRDefault="000A42EB" w:rsidP="000A42EB">
      <w:pPr>
        <w:pStyle w:val="Heading2"/>
        <w:rPr>
          <w:rtl/>
          <w:lang w:val="en-GB"/>
        </w:rPr>
      </w:pPr>
      <w:r w:rsidRPr="000A42EB">
        <w:rPr>
          <w:rtl/>
          <w:lang w:val="en-GB"/>
        </w:rPr>
        <w:t>ההלכה ככלי חינוכי</w:t>
      </w:r>
    </w:p>
    <w:p w14:paraId="037270BD" w14:textId="10E7842F" w:rsidR="000A42EB" w:rsidRPr="000A42EB" w:rsidRDefault="000A42EB" w:rsidP="00AC33C1">
      <w:pPr>
        <w:ind w:firstLine="0"/>
        <w:rPr>
          <w:rtl/>
          <w:lang w:val="en-GB"/>
        </w:rPr>
      </w:pPr>
      <w:r w:rsidRPr="000A42EB">
        <w:rPr>
          <w:rtl/>
          <w:lang w:val="en-GB"/>
        </w:rPr>
        <w:t>עד כאן הוסבר ששני הזרמים פוסקים הלכה על סמך אותם עקרונות מנחים משותפים.</w:t>
      </w:r>
      <w:r w:rsidR="00166CF0">
        <w:rPr>
          <w:rStyle w:val="FootnoteReference"/>
          <w:rtl/>
          <w:lang w:val="en-GB"/>
        </w:rPr>
        <w:footnoteReference w:id="10"/>
      </w:r>
      <w:r w:rsidRPr="000A42EB">
        <w:rPr>
          <w:rtl/>
          <w:lang w:val="en-GB"/>
        </w:rPr>
        <w:t xml:space="preserve"> אך אבקש להתבונן בנושא גם מזווית אחרת: מה הפוסק חושב לעצמו כשהוא מחליט מה לפסוק? כיצד הוא רואה את ההלכה שאותה הוא פוסק? האם מקיימים את ההלכה כי זהו רצון הקב״ה, ואין מרחב תנועה ימינה או שמאלה, או שמא ההלכה דומה יותר למערכת משפטית שאכן ניתנה לנו על ידי הקב״ה, אך היא אמורה דווקא לשרת את האדם פרטי ואת האנשים שסובבים אותו? אני חושב שחקירת העניין תחדד את הסיבה שלדעתי פוסקים אורתודוקסים אינם מסכימים עם הרבה מהפסקים של הרבנים הקונסרבטיבים:</w:t>
      </w:r>
    </w:p>
    <w:p w14:paraId="585BBC34" w14:textId="77777777" w:rsidR="000A42EB" w:rsidRPr="000A42EB" w:rsidRDefault="000A42EB" w:rsidP="000A42EB">
      <w:pPr>
        <w:rPr>
          <w:rtl/>
          <w:lang w:val="en-GB"/>
        </w:rPr>
      </w:pPr>
      <w:r w:rsidRPr="000A42EB">
        <w:rPr>
          <w:rtl/>
          <w:lang w:val="en-GB"/>
        </w:rPr>
        <w:t xml:space="preserve">ישנם הרבה מקבילות בין ההלכה היהודית לבין מערכות משפטיות מקובלות, זהו הנחה ברורה ואיני מבקש לחקור אותה או להוכיח שזה נכון. אני רוצה להציע שיש גם קווי דמיון דווקא בין רב של קהילה יהודית, לבין שופט שמכריע בסוגיות משפטיות. שניהם עומדים בראש ההיררכיה החברתית של הקהילה שבה הם נמצאים (הקהילה היהודית של הרב לעומת עולם החוק של השופט). אבקש לעמוד על הבדל יסודי ביניהם: השופט פותר סכסוכים ובעיות שבני קהילתו נתקלים בו, מכורח הסמכות שהמדינה או גוף עליון אחר נותן לו. הוא אחראי לשמור על הנורמות החברתיות ותו לא. לעומתו, לרב קהילה (שלעיתים רבות פוסק גם הלכה) יש גם אחריות </w:t>
      </w:r>
      <w:r w:rsidRPr="000A42EB">
        <w:rPr>
          <w:b/>
          <w:bCs/>
          <w:rtl/>
          <w:lang w:val="en-GB"/>
        </w:rPr>
        <w:t xml:space="preserve">חינוכית </w:t>
      </w:r>
      <w:r w:rsidRPr="000A42EB">
        <w:rPr>
          <w:rtl/>
          <w:lang w:val="en-GB"/>
        </w:rPr>
        <w:t xml:space="preserve">בנוגע לקהילה שלו. בין הרב לקהילה יש קשר של מחנך לתלמידים, הם שומעים את לקחיו במסגרות ומקרים שונים, דורש להם דרשות, מתפלל איתם, מכיר את משפחותיהם ומלווה אותם באורח החיים, בין במקרים טובים ובין במקרים רעים. ניכר שיש לו </w:t>
      </w:r>
      <w:r w:rsidRPr="000A42EB">
        <w:rPr>
          <w:rtl/>
          <w:lang w:val="en-GB"/>
        </w:rPr>
        <w:lastRenderedPageBreak/>
        <w:t>אחריות קולקטיבית הרבה יותר משמעותית כלפי אנשי הקהילה מאשר השופט. </w:t>
      </w:r>
    </w:p>
    <w:p w14:paraId="525003E9" w14:textId="1E52035E" w:rsidR="000A42EB" w:rsidRPr="000A42EB" w:rsidRDefault="000A42EB" w:rsidP="000A42EB">
      <w:pPr>
        <w:rPr>
          <w:rtl/>
          <w:lang w:val="en-GB"/>
        </w:rPr>
      </w:pPr>
      <w:r w:rsidRPr="000A42EB">
        <w:rPr>
          <w:rtl/>
          <w:lang w:val="en-GB"/>
        </w:rPr>
        <w:t xml:space="preserve">חלק חשוב נוסף הוא שהשופט שואב את סמכותו מתוך קוד או מערכת שאותה בונה לו המדינה והוא מחויב להישמע לו. הפוסק ההלכתי לעומת זאת, במילותיו של אבינעם רוזנק: ״אינו מוצנח לתוך מערכת המקנה לו סמכות … אלא צומח בתוך מערכת קהילתית המכתירה אותו כמורה ההוראה שלה מכוח אישיותו תבונתו ומעשיו. הפוסק אינו רק חושב על החומר ההלכתי הנדון, </w:t>
      </w:r>
      <w:r w:rsidRPr="000A42EB">
        <w:rPr>
          <w:b/>
          <w:bCs/>
          <w:rtl/>
          <w:lang w:val="en-GB"/>
        </w:rPr>
        <w:t>אלא נדרש למיומנות חינוכית והוראתית המאפשרת את קיומה של ההוראה הלכה למעשה</w:t>
      </w:r>
      <w:r w:rsidRPr="000A42EB">
        <w:rPr>
          <w:rtl/>
          <w:lang w:val="en-GB"/>
        </w:rPr>
        <w:t>״.</w:t>
      </w:r>
      <w:r w:rsidR="00637728">
        <w:rPr>
          <w:rStyle w:val="FootnoteReference"/>
          <w:rtl/>
          <w:lang w:val="en-GB"/>
        </w:rPr>
        <w:footnoteReference w:id="11"/>
      </w:r>
    </w:p>
    <w:p w14:paraId="62B2E67F" w14:textId="77777777" w:rsidR="000A42EB" w:rsidRPr="000A42EB" w:rsidRDefault="000A42EB" w:rsidP="000A42EB">
      <w:pPr>
        <w:rPr>
          <w:rtl/>
          <w:lang w:val="en-GB"/>
        </w:rPr>
      </w:pPr>
      <w:r w:rsidRPr="000A42EB">
        <w:rPr>
          <w:rtl/>
          <w:lang w:val="en-GB"/>
        </w:rPr>
        <w:t> לפוסק ההלכה, לעומת השופט, יש מרחב הרבה יותר משמעותי לקביעות שהוא פוסק, שהרי הוא צריך להבין את הסיטואציה שבה הקהילה נמצאת, הקשיים שאנשיו חווים, וממילא הפסיקה שלו צריכה להתבסס על סברה חינוכית רלוונטית כדי שתהיה לגיטימית. אמנם ניתן לטעון שגם השופט נתון לאותה ההתחייבות, אך השופט קובע במקרים על סמך החוק עצמו ורק אם החוק מתיר לו הוא יכול להתחשב בהשלכות החינוכיות. לרב ההתחשבות החינוכית היא חלק אינהרנטי מהחקירה של המקרה שעליו הוא נדרש לקבוע, ולא רובד מאוחר שלו. </w:t>
      </w:r>
    </w:p>
    <w:p w14:paraId="044182B6" w14:textId="77777777" w:rsidR="000A42EB" w:rsidRPr="000A42EB" w:rsidRDefault="000A42EB" w:rsidP="000A42EB">
      <w:pPr>
        <w:rPr>
          <w:rtl/>
          <w:lang w:val="en-GB"/>
        </w:rPr>
      </w:pPr>
      <w:r w:rsidRPr="000A42EB">
        <w:rPr>
          <w:rtl/>
          <w:lang w:val="en-GB"/>
        </w:rPr>
        <w:t>חידוד זה על ההבדל בין פוסק הלכה לשופט הוא חשוב, אך עדיין לא מסביר לנו למה פסיקת ההלכה הקונסרבטיבית שונה כל כך מהקודקס האורתודוקסי. כפוסק הלכה פוסק, הוא מתחשב במציאות הנתונה בפניו כדי שיוכל לחנך בצורה המתאימה לדעתו. לכן יש לנתח את ההבדלים החברתיים בין שני הזרמים, שלטענתי זהו המקור להבדלים במסקנות של פוסקי ההלכה.</w:t>
      </w:r>
    </w:p>
    <w:p w14:paraId="60403B29" w14:textId="77777777" w:rsidR="000A42EB" w:rsidRPr="000A42EB" w:rsidRDefault="000A42EB" w:rsidP="000A42EB">
      <w:pPr>
        <w:rPr>
          <w:rtl/>
          <w:lang w:val="en-GB"/>
        </w:rPr>
      </w:pPr>
    </w:p>
    <w:p w14:paraId="1B2A72D5" w14:textId="58A1D997" w:rsidR="000A42EB" w:rsidRPr="000A42EB" w:rsidRDefault="000A42EB" w:rsidP="00AC33C1">
      <w:pPr>
        <w:ind w:firstLine="0"/>
        <w:rPr>
          <w:lang w:val="en-IL"/>
        </w:rPr>
      </w:pPr>
      <w:r w:rsidRPr="000A42EB">
        <w:rPr>
          <w:b/>
          <w:bCs/>
          <w:rtl/>
          <w:lang w:val="en-GB"/>
        </w:rPr>
        <w:t>ניתוח המרחבים החברתיים</w:t>
      </w:r>
    </w:p>
    <w:p w14:paraId="46840E2D" w14:textId="77777777" w:rsidR="000A42EB" w:rsidRPr="000A42EB" w:rsidRDefault="000A42EB" w:rsidP="00AC33C1">
      <w:pPr>
        <w:ind w:firstLine="0"/>
        <w:rPr>
          <w:rtl/>
          <w:lang w:val="en-GB"/>
        </w:rPr>
      </w:pPr>
      <w:r w:rsidRPr="000A42EB">
        <w:rPr>
          <w:rtl/>
          <w:lang w:val="en-GB"/>
        </w:rPr>
        <w:t>ההבדל האינהרנטי שבין המבנים החברתיים בהם נתונים הקהילות הוא משמעותי בהרבה מההנחות המקובלות בשיח בימינו:</w:t>
      </w:r>
    </w:p>
    <w:p w14:paraId="5320A20C" w14:textId="7BC544D4" w:rsidR="000A42EB" w:rsidRPr="000A42EB" w:rsidRDefault="000A42EB" w:rsidP="000A42EB">
      <w:pPr>
        <w:rPr>
          <w:rtl/>
          <w:lang w:val="en-GB"/>
        </w:rPr>
      </w:pPr>
      <w:r w:rsidRPr="000A42EB">
        <w:rPr>
          <w:rtl/>
          <w:lang w:val="en-GB"/>
        </w:rPr>
        <w:t xml:space="preserve">קהילות יהודיות קונסרבטיביות מתקיימות בדרך כלל </w:t>
      </w:r>
      <w:r w:rsidRPr="000A42EB">
        <w:rPr>
          <w:b/>
          <w:bCs/>
          <w:rtl/>
          <w:lang w:val="en-GB"/>
        </w:rPr>
        <w:t>כחלק אינטגרלי מהמרחב החברתי הכללי</w:t>
      </w:r>
      <w:r w:rsidRPr="000A42EB">
        <w:rPr>
          <w:rtl/>
          <w:lang w:val="en-GB"/>
        </w:rPr>
        <w:t xml:space="preserve"> של המקום בו הן פועלות, ורובם נמצאים בארצות הברית ושאר מדינות חו״ל. חברי הקהילה גרים בשכונות מעורבות לצד לא־יהודים, ובחירת מקום המגורים שלהם מתבצע בעיקר משיקולים אזרחיים </w:t>
      </w:r>
      <w:r w:rsidRPr="000A42EB">
        <w:rPr>
          <w:rtl/>
          <w:lang w:val="en-GB"/>
        </w:rPr>
        <w:lastRenderedPageBreak/>
        <w:t xml:space="preserve">כלליים כגון תעסוקה, מערכת החינוך, יוקר מחיה ואיכות חיים. החיים הקהילתיים מתרכזים במוסדות מרכזיים – בעיקר בתי כנסת, מרכזים קהילתיים ובתי ספר – אך מוסדות אלו אינם </w:t>
      </w:r>
      <w:r w:rsidR="006C7F56" w:rsidRPr="000A42EB">
        <w:rPr>
          <w:rFonts w:hint="cs"/>
          <w:rtl/>
          <w:lang w:val="en-GB"/>
        </w:rPr>
        <w:t>דומיננטיי</w:t>
      </w:r>
      <w:r w:rsidR="006C7F56" w:rsidRPr="000A42EB">
        <w:rPr>
          <w:rFonts w:hint="eastAsia"/>
          <w:rtl/>
          <w:lang w:val="en-GB"/>
        </w:rPr>
        <w:t>ם</w:t>
      </w:r>
      <w:r w:rsidRPr="000A42EB">
        <w:rPr>
          <w:rtl/>
          <w:lang w:val="en-GB"/>
        </w:rPr>
        <w:t xml:space="preserve"> במרחב היומיומי של האנשים והם לא מקור בלעדי בחייהם. כתוצאה מכך, הזהות הקהילתית מתקיימת במקביל להשתייכות אזרחית רחבה שלא קשורה ליהדות. האינטראקציה עם החברה הכללית הלא </w:t>
      </w:r>
      <w:r w:rsidR="006C7F56" w:rsidRPr="000A42EB">
        <w:rPr>
          <w:rFonts w:hint="cs"/>
          <w:rtl/>
          <w:lang w:val="en-GB"/>
        </w:rPr>
        <w:t>יהודית</w:t>
      </w:r>
      <w:r w:rsidRPr="000A42EB">
        <w:rPr>
          <w:rtl/>
          <w:lang w:val="en-GB"/>
        </w:rPr>
        <w:t xml:space="preserve"> היא רציפה, יומיומית ואינה חריגה.</w:t>
      </w:r>
    </w:p>
    <w:p w14:paraId="25F58E10" w14:textId="77777777" w:rsidR="000A42EB" w:rsidRPr="000A42EB" w:rsidRDefault="000A42EB" w:rsidP="000A42EB">
      <w:pPr>
        <w:rPr>
          <w:rtl/>
          <w:lang w:val="en-GB"/>
        </w:rPr>
      </w:pPr>
      <w:r w:rsidRPr="000A42EB">
        <w:rPr>
          <w:rtl/>
          <w:lang w:val="en-GB"/>
        </w:rPr>
        <w:t>לעומת זאת, קהילות אורתודוקסיות נוטות להתארגן כ</w:t>
      </w:r>
      <w:r w:rsidRPr="000A42EB">
        <w:rPr>
          <w:b/>
          <w:bCs/>
          <w:rtl/>
          <w:lang w:val="en-GB"/>
        </w:rPr>
        <w:t>מרחבים חברתיים צפופים ובעלי מבנה פנימי חזק</w:t>
      </w:r>
      <w:r w:rsidRPr="000A42EB">
        <w:rPr>
          <w:rtl/>
          <w:lang w:val="en-GB"/>
        </w:rPr>
        <w:t xml:space="preserve"> המושפעים לרוב מהגיאוגרפיה הקיימת. אנשים דתיים רבים שגרים באזור אחד ״מתחברים״ זה לזה, ומתפתחת מערכת חברתית עצמאית יחסית, הכוללת מוסדות חינוך, מסחר, שירותים ופעילות חברתית, אשר מאפשרים לחברי הקהילה לנהל את מרבית חייהם בתוך תחום גאוגרפי מצומצם. זה מתבטא כמובן בקהילות בארץ, אך גם היה המציאות ברוב הקהילות היהודיות באירופה כבר מאות שנים. </w:t>
      </w:r>
    </w:p>
    <w:p w14:paraId="5857BE46" w14:textId="77777777" w:rsidR="000A42EB" w:rsidRPr="000A42EB" w:rsidRDefault="000A42EB" w:rsidP="000A42EB">
      <w:pPr>
        <w:rPr>
          <w:rtl/>
          <w:lang w:val="en-GB"/>
        </w:rPr>
      </w:pPr>
      <w:r w:rsidRPr="000A42EB">
        <w:rPr>
          <w:rtl/>
          <w:lang w:val="en-GB"/>
        </w:rPr>
        <w:t>היחסים עם מי שאינם חלק מן הקהילה שונים גם הם מבחינה מבנית. בקהילות קונסרבטיביות, אנשים מחוץ לקהילה הם חלק בלתי נפרד מן המרחב החברתי: שכנים, עמיתים לעבודה, חברים ובמקרים מסוימים גם בני משפחה. הגבולות החברתיים מאוד גמישים, וההשתייכות הקהילתית אינה מכתיבה את המעגלים החברתיים של הפרט. </w:t>
      </w:r>
    </w:p>
    <w:p w14:paraId="392B61B1" w14:textId="77777777" w:rsidR="000A42EB" w:rsidRPr="000A42EB" w:rsidRDefault="000A42EB" w:rsidP="000A42EB">
      <w:pPr>
        <w:rPr>
          <w:rtl/>
          <w:lang w:val="en-GB"/>
        </w:rPr>
      </w:pPr>
      <w:r w:rsidRPr="000A42EB">
        <w:rPr>
          <w:rtl/>
          <w:lang w:val="en-GB"/>
        </w:rPr>
        <w:t>לעומת זאת בקהילות אורתודוקסיות, הקשר עם החברה הכללית מתקיים (אם בכלל) לרוב רק במישור פונקציונלי – תעסוקה, מסחר, ושירותים – אך הקשרים החברתיים המשמעותיים נשמרים בתוך הקהילה. כך נוצר גבול ברור בין “פנים” ל“חוץ”, המשפיע על תחושת השייכות והדיאלוג שמנהלת עם אנשים שאינם בני הקהילה.</w:t>
      </w:r>
    </w:p>
    <w:p w14:paraId="504F8A1B" w14:textId="5B7496FD" w:rsidR="000A42EB" w:rsidRPr="000A42EB" w:rsidRDefault="000A42EB" w:rsidP="000A42EB">
      <w:pPr>
        <w:rPr>
          <w:rtl/>
          <w:lang w:val="en-GB"/>
        </w:rPr>
      </w:pPr>
      <w:r w:rsidRPr="000A42EB">
        <w:rPr>
          <w:rtl/>
          <w:lang w:val="en-GB"/>
        </w:rPr>
        <w:t>גם ההקשר הלאומי ממלא תפקיד שונה בכל אחד מן המודלים. קהילות קונסרבטיביות מתפתחות בעיקר במדינות המאופיינות בפלורליזם וחופש דת – ובראשן ארצות הברית. המבנה שלהן נשען על בחירה אישית, השתתפות כללית וזכויות האדם. קהילות אורתודוקסיות, לעומת זאת, מתקיימות במגוון רחב של הקשרים לאומיים, כולל מדינות בעלות ריכוז אוכלוסייה גבוה או קשר הדוק יותר בין דת למדינה, כמו בישראל. יכולתן של קהילות אלו להישען על נורמות פנימיות חזקות מאפשרת להן לשמר זהות קהילתית גם בסביבות פחות פתוחות, ולכן גם התמורות החברתיות מעטות. </w:t>
      </w:r>
    </w:p>
    <w:p w14:paraId="1672209A" w14:textId="184C2FA4" w:rsidR="000A42EB" w:rsidRPr="000A42EB" w:rsidRDefault="000A42EB" w:rsidP="000A42EB">
      <w:pPr>
        <w:rPr>
          <w:rtl/>
          <w:lang w:val="en-GB"/>
        </w:rPr>
      </w:pPr>
      <w:r w:rsidRPr="000A42EB">
        <w:rPr>
          <w:rtl/>
          <w:lang w:val="en-GB"/>
        </w:rPr>
        <w:lastRenderedPageBreak/>
        <w:t xml:space="preserve">הנתון הכי חשוב בהקשר לשינויים הללו הוא שבשנים האחרונות חלה ירידה חדה ביהודים – בארצות הברית בפרט, ובעולם בכלל – החברים </w:t>
      </w:r>
      <w:r w:rsidR="006C7F56" w:rsidRPr="000A42EB">
        <w:rPr>
          <w:rFonts w:hint="cs"/>
          <w:rtl/>
          <w:lang w:val="en-GB"/>
        </w:rPr>
        <w:t>בקהילות</w:t>
      </w:r>
      <w:r w:rsidRPr="000A42EB">
        <w:rPr>
          <w:rtl/>
          <w:lang w:val="en-GB"/>
        </w:rPr>
        <w:t xml:space="preserve"> אורתודוקסיות </w:t>
      </w:r>
      <w:r w:rsidRPr="000A42EB">
        <w:rPr>
          <w:b/>
          <w:bCs/>
          <w:rtl/>
          <w:lang w:val="en-GB"/>
        </w:rPr>
        <w:t>וגם</w:t>
      </w:r>
      <w:r w:rsidRPr="000A42EB">
        <w:rPr>
          <w:rtl/>
          <w:lang w:val="en-GB"/>
        </w:rPr>
        <w:t xml:space="preserve"> קונסרבטיביות. הרבה מאוד יהודים מחליטים לבחור במסלולים שאינם </w:t>
      </w:r>
      <w:r w:rsidR="006C7F56" w:rsidRPr="000A42EB">
        <w:rPr>
          <w:rFonts w:hint="cs"/>
          <w:rtl/>
          <w:lang w:val="en-GB"/>
        </w:rPr>
        <w:t>מחויבים</w:t>
      </w:r>
      <w:r w:rsidRPr="000A42EB">
        <w:rPr>
          <w:rtl/>
          <w:lang w:val="en-GB"/>
        </w:rPr>
        <w:t xml:space="preserve"> להלכה כמו הרפורמה, או שהם בכלל מנתקים כל קשר עם היהדות. לפי מחקרים</w:t>
      </w:r>
      <w:r w:rsidR="00C728AB">
        <w:rPr>
          <w:rStyle w:val="FootnoteReference"/>
          <w:rtl/>
          <w:lang w:val="en-GB"/>
        </w:rPr>
        <w:footnoteReference w:id="12"/>
      </w:r>
      <w:r w:rsidRPr="000A42EB">
        <w:rPr>
          <w:rtl/>
          <w:lang w:val="en-GB"/>
        </w:rPr>
        <w:t xml:space="preserve">, בשנת 1900 היו כ90 אחוז מיהודי </w:t>
      </w:r>
      <w:r w:rsidR="006C7F56" w:rsidRPr="000A42EB">
        <w:rPr>
          <w:rFonts w:hint="cs"/>
          <w:rtl/>
          <w:lang w:val="en-GB"/>
        </w:rPr>
        <w:t>ארה"</w:t>
      </w:r>
      <w:r w:rsidR="006C7F56" w:rsidRPr="000A42EB">
        <w:rPr>
          <w:rFonts w:hint="eastAsia"/>
          <w:rtl/>
          <w:lang w:val="en-GB"/>
        </w:rPr>
        <w:t>ב</w:t>
      </w:r>
      <w:r w:rsidRPr="000A42EB">
        <w:rPr>
          <w:rtl/>
          <w:lang w:val="en-GB"/>
        </w:rPr>
        <w:t xml:space="preserve"> אורתודוקסים, וכיום מספר זה נפל לכ10 אחוז. גם התנועה הקונסרבטיבית נפגעה, מכ40 אחוז ב1975 לכ15 אחוז היום. </w:t>
      </w:r>
      <w:r w:rsidRPr="000A42EB">
        <w:rPr>
          <w:b/>
          <w:bCs/>
          <w:rtl/>
          <w:lang w:val="en-GB"/>
        </w:rPr>
        <w:t>כל שאר ~75 אחוזי היהודים האמריקאים לא מכירים בסמכות הלכתית כלל. </w:t>
      </w:r>
    </w:p>
    <w:p w14:paraId="335971EA" w14:textId="0CE3CD1F" w:rsidR="000A42EB" w:rsidRPr="000A42EB" w:rsidRDefault="000A42EB" w:rsidP="000A42EB">
      <w:pPr>
        <w:rPr>
          <w:rtl/>
          <w:lang w:val="en-GB"/>
        </w:rPr>
      </w:pPr>
      <w:r w:rsidRPr="000A42EB">
        <w:rPr>
          <w:rtl/>
          <w:lang w:val="en-GB"/>
        </w:rPr>
        <w:t xml:space="preserve">ההלכה </w:t>
      </w:r>
      <w:r w:rsidRPr="000A42EB">
        <w:rPr>
          <w:b/>
          <w:bCs/>
          <w:rtl/>
          <w:lang w:val="en-GB"/>
        </w:rPr>
        <w:t>חייבת</w:t>
      </w:r>
      <w:r w:rsidRPr="000A42EB">
        <w:rPr>
          <w:rtl/>
          <w:lang w:val="en-GB"/>
        </w:rPr>
        <w:t xml:space="preserve"> להיות רלוונטית לכל תקופה ולכל מציאות שבה יהודים נמצאים. לכן, אם היא לא פונה לאנשי הציבור במרחב החברתי שבו הם נמצאים, בלי להתחשב בשינויים תרבותיים, פסיכולוגיים או מוסריים, היא כבר נהיית לא רלוונטית לאותה קהילה.</w:t>
      </w:r>
      <w:r w:rsidR="003B1D57">
        <w:rPr>
          <w:rStyle w:val="FootnoteReference"/>
          <w:rtl/>
          <w:lang w:val="en-GB"/>
        </w:rPr>
        <w:footnoteReference w:id="13"/>
      </w:r>
    </w:p>
    <w:p w14:paraId="0973D9CE" w14:textId="77777777" w:rsidR="000A42EB" w:rsidRPr="000A42EB" w:rsidRDefault="000A42EB" w:rsidP="000A42EB">
      <w:pPr>
        <w:rPr>
          <w:rtl/>
          <w:lang w:val="en-GB"/>
        </w:rPr>
      </w:pPr>
      <w:r w:rsidRPr="000A42EB">
        <w:rPr>
          <w:rtl/>
          <w:lang w:val="en-GB"/>
        </w:rPr>
        <w:t>ניתן ללמוד שדחייה של פסקים קונסרבטיבים על ידי רבנים בעולם האורתודוקסי לא נובע מאי הסכמה על העקרונות שעליהם מסתמכים הפוסקים הקונסרבטיבים, שהרי אלו אותם חוקים וגדרים לשני הצדדים כפי שהסברתי – אלא פשוט העולמות שהם חיים בהם שונים לגמרי מהעולמות המקבילים, המצב החברתי והתרבותי שהם חיים בו שונה משמעותית – והם לא מבינים או לא מתייחסים לסיטואציה שבה נמצא הפוסק הקונסרבטיבי. </w:t>
      </w:r>
    </w:p>
    <w:p w14:paraId="3C77655D" w14:textId="77777777" w:rsidR="000A42EB" w:rsidRPr="000A42EB" w:rsidRDefault="000A42EB" w:rsidP="00AC33C1">
      <w:pPr>
        <w:pStyle w:val="Heading2"/>
        <w:rPr>
          <w:rtl/>
          <w:lang w:val="en-GB"/>
        </w:rPr>
      </w:pPr>
      <w:r w:rsidRPr="000A42EB">
        <w:rPr>
          <w:rtl/>
          <w:lang w:val="en-GB"/>
        </w:rPr>
        <w:t>עיון בפסיקות קונסרבטיביות </w:t>
      </w:r>
    </w:p>
    <w:p w14:paraId="4B787D19" w14:textId="77777777" w:rsidR="000A42EB" w:rsidRPr="000A42EB" w:rsidRDefault="000A42EB" w:rsidP="00AC33C1">
      <w:pPr>
        <w:ind w:firstLine="0"/>
        <w:rPr>
          <w:b/>
          <w:bCs/>
          <w:rtl/>
          <w:lang w:val="en-GB"/>
        </w:rPr>
      </w:pPr>
      <w:r w:rsidRPr="000A42EB">
        <w:rPr>
          <w:rtl/>
          <w:lang w:val="en-GB"/>
        </w:rPr>
        <w:t>לאור ההתחשבויות המוסברות, אבקש לעיין בכמה פסקים מהתנועה הקונסרבטיבית, ולנתח אותם לפי האנקדוטות שהסברתי (התחייבות להלכה, חינוך והבדלים מרחביים): </w:t>
      </w:r>
    </w:p>
    <w:p w14:paraId="6863F987" w14:textId="588D6ADE" w:rsidR="000A42EB" w:rsidRPr="000A42EB" w:rsidRDefault="000A42EB" w:rsidP="000A42EB">
      <w:pPr>
        <w:rPr>
          <w:b/>
          <w:bCs/>
          <w:rtl/>
          <w:lang w:val="en-GB"/>
        </w:rPr>
      </w:pPr>
      <w:r w:rsidRPr="000A42EB">
        <w:rPr>
          <w:rtl/>
          <w:lang w:val="en-GB"/>
        </w:rPr>
        <w:t xml:space="preserve">במשנה כתוב: ״שבועת העדות נוהגת באנשים ולא בנשים … בכשרים ולא בפסולין, ואינה נוהגת אלא בראויין להעיד. בפני בית דין ושלא בפני בית דין - </w:t>
      </w:r>
      <w:r w:rsidRPr="000A42EB">
        <w:rPr>
          <w:rtl/>
          <w:lang w:val="en-GB"/>
        </w:rPr>
        <w:lastRenderedPageBreak/>
        <w:t>מפי עצמו. ומפי אחרים אין חייבין עד שיכפרו בהן בבית דין, דברי רבי מאיר. וחכמים אומרים: בין מפי עצמו ובין מפי אחרים אינן חייבין עד שיכפרו בהן בבית דין.״</w:t>
      </w:r>
      <w:r w:rsidR="00F0278E">
        <w:rPr>
          <w:rStyle w:val="FootnoteReference"/>
          <w:rtl/>
          <w:lang w:val="en-GB"/>
        </w:rPr>
        <w:footnoteReference w:id="14"/>
      </w:r>
      <w:r w:rsidRPr="000A42EB">
        <w:rPr>
          <w:rtl/>
          <w:lang w:val="en-GB"/>
        </w:rPr>
        <w:t xml:space="preserve"> המשנה יוצאת מנקודת הנחה שאשה פסולה להעיד, אך אינה מביאה את המקור לכך. הגמרא</w:t>
      </w:r>
      <w:r w:rsidR="00E47371">
        <w:rPr>
          <w:rStyle w:val="FootnoteReference"/>
          <w:rtl/>
          <w:lang w:val="en-GB"/>
        </w:rPr>
        <w:footnoteReference w:id="15"/>
      </w:r>
      <w:r w:rsidRPr="000A42EB">
        <w:rPr>
          <w:rtl/>
          <w:lang w:val="en-GB"/>
        </w:rPr>
        <w:t xml:space="preserve"> מביאה גם היא מדרש שממנו ברור שאשה פסולה להעיד, אך גם שם לא ברור המקור לכך. </w:t>
      </w:r>
    </w:p>
    <w:p w14:paraId="5E689AE4" w14:textId="3FA229EF" w:rsidR="000A42EB" w:rsidRPr="000A42EB" w:rsidRDefault="000A42EB" w:rsidP="000A42EB">
      <w:pPr>
        <w:rPr>
          <w:rtl/>
          <w:lang w:val="en-GB"/>
        </w:rPr>
      </w:pPr>
      <w:r w:rsidRPr="000A42EB">
        <w:rPr>
          <w:rtl/>
          <w:lang w:val="en-GB"/>
        </w:rPr>
        <w:t>כשנשאל בנושא, הרב יואל רות'</w:t>
      </w:r>
      <w:r w:rsidR="00B90D4E">
        <w:rPr>
          <w:rStyle w:val="FootnoteReference"/>
          <w:rtl/>
          <w:lang w:val="en-GB"/>
        </w:rPr>
        <w:footnoteReference w:id="16"/>
      </w:r>
      <w:r w:rsidRPr="000A42EB">
        <w:rPr>
          <w:rtl/>
          <w:lang w:val="en-GB"/>
        </w:rPr>
        <w:t xml:space="preserve"> הסביר שפסילת נשים מעדות נשענה מלכתחילה על תפיסה חברתית־אנתרופולוגית מסוימת על האישה, ולא על פגם מהותי או הלכתי בכשירותה. רות׳ טען כי ההלכה הניחה שמעמדן החברתי של נשים, כמו גם תפקידן המרכזי במסגרת הבית והמשפחה, משפיעים על יכולתן לשמש כעדות אמינות במרחב המשפטי. תפיסה זו הייתה כרוכה בהבנה מסוימת של ״טבע האישה״, כמי שפועלת בעיקר בזירה הפרטית, כפופה ללחצים רגשיים וחברתיים, ואינה שותפה מלאה לחיים האזרחיים והמשפטיים שבהם נדרשת עדות.</w:t>
      </w:r>
    </w:p>
    <w:p w14:paraId="6E0AF76A" w14:textId="77777777" w:rsidR="000A42EB" w:rsidRPr="000A42EB" w:rsidRDefault="000A42EB" w:rsidP="000A42EB">
      <w:pPr>
        <w:rPr>
          <w:rtl/>
          <w:lang w:val="en-GB"/>
        </w:rPr>
      </w:pPr>
      <w:r w:rsidRPr="000A42EB">
        <w:rPr>
          <w:rtl/>
          <w:lang w:val="en-GB"/>
        </w:rPr>
        <w:t>לשיטתו של רות׳, הנחות אלו אינן מוצגות במקורות כקביעות ביולוגיות, אלא כהערכות תלויות הקשר של המציאות החברתית שבה פעלה ההלכה באותם הימים. ולכן, פסילת נשים מעדות אינה צריכה להיתפס כנורמה שרירותית או כגזירת הכתוב שאין לה טעם, אלא כהסדר הלכתי שנועד להתאים למצב החברתי הקיים. רות מדגיש כי במקורות אין מוצעת הצדקה חלופית משמעותית לפסילה, כגון טענה לפגם אינהרנטי בכושר השיפוט או באמינותן של נשים, מה שמחזק את ההבנה שמדובר בנורמה המבוססת כמעט כולה על תפיסת מעמדן החברתי של נשים.</w:t>
      </w:r>
    </w:p>
    <w:p w14:paraId="35C28E80" w14:textId="77777777" w:rsidR="000A42EB" w:rsidRPr="000A42EB" w:rsidRDefault="000A42EB" w:rsidP="000A42EB">
      <w:pPr>
        <w:rPr>
          <w:rtl/>
          <w:lang w:val="en-GB"/>
        </w:rPr>
      </w:pPr>
      <w:r w:rsidRPr="000A42EB">
        <w:rPr>
          <w:rtl/>
          <w:lang w:val="en-GB"/>
        </w:rPr>
        <w:t>בהתאם לכך, רות׳ מסיק כי כאשר התנאים החברתיים וההנחות בדבר ״טבע האישה״ משתנים באופן יסודי, כפי שקורה בימינו בעקבות המודרניזציה (ועוד כל מיני דברים), מתערער הבסיס ההלכתי שעליו נשענת הפסילה מלכתחילה. מאחר שהנורמה הוצדקה על יסוד מציאות ספציפית ולא כעיקרון כללי, אין לראות בה נימוק משני או טכני, אלא את ההצדקה המרכזית, ואולי היחידה, לקיומה. </w:t>
      </w:r>
    </w:p>
    <w:p w14:paraId="03E19B0C" w14:textId="1C681958" w:rsidR="000A42EB" w:rsidRPr="000A42EB" w:rsidRDefault="000A42EB" w:rsidP="000A42EB">
      <w:pPr>
        <w:rPr>
          <w:rtl/>
          <w:lang w:val="en-GB"/>
        </w:rPr>
      </w:pPr>
      <w:r w:rsidRPr="000A42EB">
        <w:rPr>
          <w:rtl/>
          <w:lang w:val="en-GB"/>
        </w:rPr>
        <w:lastRenderedPageBreak/>
        <w:t>מעמדן של נשים בחברה השתנתה באופן משמעותי מאז התקופה שבה נפסק כלל זה להלכה. הרב טען כי הימנעות מעיסוק הלכתי רציני בסוגייה זו אינה מבטאת נאמנות להלכה, אלא דווקא קיפאון וחוסר נכונות להתמודד עם מציאות משתנה. מכאן עולה הצורך לנסות לנסח פתרון הניתן להצדיק בתוך המסגרת ההלכתית, שתינתן על ידי עיון בסוגייה מקרוב ושיקול המציאות בהתחשב בפאן החינוכי של הנושא. </w:t>
      </w:r>
    </w:p>
    <w:p w14:paraId="0105C6F9" w14:textId="77777777" w:rsidR="000A42EB" w:rsidRPr="000A42EB" w:rsidRDefault="000A42EB" w:rsidP="000A42EB">
      <w:pPr>
        <w:rPr>
          <w:rtl/>
          <w:lang w:val="en-GB"/>
        </w:rPr>
      </w:pPr>
      <w:r w:rsidRPr="000A42EB">
        <w:rPr>
          <w:rtl/>
          <w:lang w:val="en-GB"/>
        </w:rPr>
        <w:t>אחד הטיעונים המרכזיים לחיזוק עמדה זו הוא קיומם של חריגים הלכתיים שכבר היום מאפשרים עדות נשים. ההכרה בזכותה של אישה להעיד על מות בעלה (משנה יבמות טז ב) היא דוגמה בולטת לכך, שכן מדובר בסטייה ברורה מן הכלל הפוסל נשים מכל עדות. חריגה זו נתפסה בעיניי הרב רות, והתנועה הקונסרבטיבית בשעתו, כהוכחה לכך שההלכה מסוגלת להתאים את עצמה למצבים שבהם קיים צורך ממשי, וכי לעיתים המציאות החברתית מחייבת בחינה מחודשת של נורמות קיימות. לפי גישה זו, דבקות בנורמה שהלגיטימיות שלה הפסיקה להתקיים אינה מחזקת את ההלכה, אלא עלולה לפגוע במשמעותה ובאמינותה.</w:t>
      </w:r>
    </w:p>
    <w:p w14:paraId="55AEE6FE" w14:textId="77777777" w:rsidR="000A42EB" w:rsidRPr="000A42EB" w:rsidRDefault="000A42EB" w:rsidP="000A42EB">
      <w:pPr>
        <w:rPr>
          <w:rtl/>
          <w:lang w:val="en-GB"/>
        </w:rPr>
      </w:pPr>
      <w:r w:rsidRPr="000A42EB">
        <w:rPr>
          <w:rtl/>
          <w:lang w:val="en-GB"/>
        </w:rPr>
        <w:t xml:space="preserve">הרב סיים עם הבחנה חשובה מאוד שהטיעון שלו אינו מבוסס על דרישה </w:t>
      </w:r>
      <w:r w:rsidRPr="000A42EB">
        <w:rPr>
          <w:b/>
          <w:bCs/>
          <w:rtl/>
          <w:lang w:val="en-GB"/>
        </w:rPr>
        <w:t>עקרונית</w:t>
      </w:r>
      <w:r w:rsidRPr="000A42EB">
        <w:rPr>
          <w:rtl/>
          <w:lang w:val="en-GB"/>
        </w:rPr>
        <w:t xml:space="preserve"> לשוויון בין גברים לנשים. אין כאן שלילה גורפת של הבחנה או אפליה, כל עוד יש לכך הצדקה ברורה. הקושי מתעורר כאשר ההנחות שעליהן נשענה הפסילה, ובראשן ההנחה שנשים אינן נאמנות להעיד, אינן עומדות בימינו במבחן המציאות. במצב כזה, עצם המשך קיומה של הנורמה מעורר בעיה הלכתית קשה, הנובעת מן הפער בין ההצדקה המקורית שלה לבין המציאות החברתית והאנושית שבה היא מיושמת.</w:t>
      </w:r>
    </w:p>
    <w:p w14:paraId="31E08261" w14:textId="3ACAC7DD" w:rsidR="000A42EB" w:rsidRPr="000A42EB" w:rsidRDefault="000A42EB" w:rsidP="000A42EB">
      <w:pPr>
        <w:rPr>
          <w:rtl/>
          <w:lang w:val="en-GB"/>
        </w:rPr>
      </w:pPr>
      <w:r w:rsidRPr="000A42EB">
        <w:rPr>
          <w:rtl/>
          <w:lang w:val="en-GB"/>
        </w:rPr>
        <w:t xml:space="preserve">ניכר שיש כאן פסיקת הלכה שנבנית בהקפדה אך ורק על כללים הלכתיים ברורים. הוא מגיע למסקנה שלו על ידי שילוב של מקורות פנים הלכתיים, ביחד עם ניתוח של המציאות שבה הוא נתון, והחיבור שלהם מוביל אותו למסקנה. הוא פוסק בסופו של דבר שצריך לתת לנשים את הזכות להעיד, ואני חושב שאפשר להציע שהרב הסתמך בין היתר על הכלל ״כבוד הבריות״, שהרי ברגע שאין מניע לתת לאישה להעיד, חייב לתת לה את הכבוד שמגיע לה בתור בן-אדם, אם הוא ניתן גם לגברים. הוא גם יודע שיש מקום לטעון שההחלטה שלו נובעת מעקרונות חיצוניים לא רלוונטיים (כפי שנטען פעמים רבות על פסיקות מהתנועה הקונסרבטיבית, כמו האלה מצפת) ולכן הוא מדגיש זאת בסוף </w:t>
      </w:r>
      <w:r w:rsidRPr="000A42EB">
        <w:rPr>
          <w:rtl/>
          <w:lang w:val="en-GB"/>
        </w:rPr>
        <w:lastRenderedPageBreak/>
        <w:t>פסיקתו ומסביר למה זוהי טענה שגוייה.</w:t>
      </w:r>
      <w:r w:rsidR="00FE3ABF">
        <w:rPr>
          <w:rStyle w:val="FootnoteReference"/>
          <w:rtl/>
          <w:lang w:val="en-GB"/>
        </w:rPr>
        <w:footnoteReference w:id="17"/>
      </w:r>
    </w:p>
    <w:p w14:paraId="0CF69BF5" w14:textId="279B8774" w:rsidR="000A42EB" w:rsidRPr="000A42EB" w:rsidRDefault="000A42EB" w:rsidP="000A42EB">
      <w:pPr>
        <w:rPr>
          <w:rtl/>
          <w:lang w:val="en-GB"/>
        </w:rPr>
      </w:pPr>
      <w:r w:rsidRPr="000A42EB">
        <w:rPr>
          <w:rtl/>
          <w:lang w:val="en-GB"/>
        </w:rPr>
        <w:t>אבקש לעיין בעוד פסק הלכתי קונסרבטיבי: הרבנית פמלה ברמש נשאלה לגבי תרומת גופות לצורך מדעי, והיא נתנה היתר לתרומת כאלו,</w:t>
      </w:r>
      <w:r w:rsidR="008B4A99">
        <w:rPr>
          <w:rStyle w:val="FootnoteReference"/>
          <w:rtl/>
          <w:lang w:val="en-GB"/>
        </w:rPr>
        <w:footnoteReference w:id="18"/>
      </w:r>
      <w:r w:rsidRPr="000A42EB">
        <w:rPr>
          <w:rtl/>
          <w:lang w:val="en-GB"/>
        </w:rPr>
        <w:t xml:space="preserve"> גם במקרה שבו הוא לא יוחזר ויובא לקבורה ראויה – חריגה משמעותית מ״כבוד המת״ שמחייב אותנו ההלכה. היא טוענת ש״כאשר שאלו אם מותר לתרום את גופם למחקר רפואי אחרי שהם מתים, הרבנים ענו מיד שלא, אך לאחר מחשבה נוספת תהו האם תרומה למען חינוך ומחקר רפואי הוא מעשה של </w:t>
      </w:r>
      <w:r w:rsidRPr="000A42EB">
        <w:rPr>
          <w:i/>
          <w:iCs/>
          <w:rtl/>
          <w:lang w:val="en-GB"/>
        </w:rPr>
        <w:t>חסד</w:t>
      </w:r>
      <w:r w:rsidRPr="000A42EB">
        <w:rPr>
          <w:rtl/>
          <w:lang w:val="en-GB"/>
        </w:rPr>
        <w:t xml:space="preserve"> שיש לאפשר״. היא סמכה את טענתה על שני עקרונות הלכתיים: פיקוח נפש, ו״כבוד המת״.</w:t>
      </w:r>
      <w:r w:rsidR="009551CF">
        <w:rPr>
          <w:rStyle w:val="FootnoteReference"/>
          <w:rtl/>
          <w:lang w:val="en-GB"/>
        </w:rPr>
        <w:footnoteReference w:id="19"/>
      </w:r>
      <w:r w:rsidR="009551CF">
        <w:rPr>
          <w:rFonts w:hint="cs"/>
          <w:rtl/>
          <w:lang w:val="en-GB"/>
        </w:rPr>
        <w:t xml:space="preserve"> </w:t>
      </w:r>
      <w:r w:rsidRPr="000A42EB">
        <w:rPr>
          <w:rtl/>
          <w:lang w:val="en-GB"/>
        </w:rPr>
        <w:t>היא טוענת בסוף הפסיקה שלה שיש מקום להתיר תרומות מעין אלו אפילו אם יש מקרים בהם הגופה לא תוחזר שלמה או אפילו שרופה, וזה לדעתי נוגד לגמרי את עקרון ״כבוד המת״ שהיא הביאה, אך ההסבר של פיקוח נפש צריך עיון.</w:t>
      </w:r>
    </w:p>
    <w:p w14:paraId="6BC9BBE0" w14:textId="3CA048C6" w:rsidR="000A42EB" w:rsidRPr="000A42EB" w:rsidRDefault="000A42EB" w:rsidP="000A42EB">
      <w:pPr>
        <w:rPr>
          <w:rtl/>
          <w:lang w:val="en-GB"/>
        </w:rPr>
      </w:pPr>
      <w:r w:rsidRPr="000A42EB">
        <w:rPr>
          <w:rtl/>
          <w:lang w:val="en-GB"/>
        </w:rPr>
        <w:t xml:space="preserve"> הרב מאיר סזאמס, רב קונסרבטיבי מארגנטינה שחבר </w:t>
      </w:r>
      <w:r w:rsidR="006C7F56" w:rsidRPr="000A42EB">
        <w:rPr>
          <w:rFonts w:hint="cs"/>
          <w:rtl/>
          <w:lang w:val="en-GB"/>
        </w:rPr>
        <w:t>בווע</w:t>
      </w:r>
      <w:r w:rsidR="006C7F56" w:rsidRPr="000A42EB">
        <w:rPr>
          <w:rFonts w:hint="eastAsia"/>
          <w:rtl/>
          <w:lang w:val="en-GB"/>
        </w:rPr>
        <w:t>ד</w:t>
      </w:r>
      <w:r w:rsidRPr="000A42EB">
        <w:rPr>
          <w:rtl/>
          <w:lang w:val="en-GB"/>
        </w:rPr>
        <w:t xml:space="preserve"> ההלכה </w:t>
      </w:r>
      <w:r w:rsidRPr="000A42EB">
        <w:rPr>
          <w:lang w:val="en-IL"/>
        </w:rPr>
        <w:t>CJLS</w:t>
      </w:r>
      <w:r w:rsidRPr="000A42EB">
        <w:rPr>
          <w:rtl/>
          <w:lang w:val="en-GB"/>
        </w:rPr>
        <w:t>, טוען במאמר שכתב כנגד פסיקה זו</w:t>
      </w:r>
      <w:r w:rsidR="0059484E">
        <w:rPr>
          <w:rStyle w:val="FootnoteReference"/>
          <w:rtl/>
          <w:lang w:val="en-GB"/>
        </w:rPr>
        <w:footnoteReference w:id="20"/>
      </w:r>
      <w:r w:rsidRPr="000A42EB">
        <w:rPr>
          <w:rtl/>
          <w:lang w:val="en-GB"/>
        </w:rPr>
        <w:t xml:space="preserve"> ש״בניו ובנותיו של אדם יהודי המעוניין להישרף במותו, אינם מחויבים להיענות לבקשה זו, שכן זוהי הפרה ברורה וגלויה של ההלכה. הגוף האקדמי (הלא הוא ועד ההלכה הקונסרבטיבי, ה</w:t>
      </w:r>
      <w:r w:rsidRPr="000A42EB">
        <w:rPr>
          <w:lang w:val="en-IL"/>
        </w:rPr>
        <w:t>CJLS</w:t>
      </w:r>
      <w:r w:rsidRPr="000A42EB">
        <w:rPr>
          <w:rtl/>
          <w:lang w:val="en-GB"/>
        </w:rPr>
        <w:t xml:space="preserve">) כבר הציג פתרון לבעיה זו. הועד קבע בשנת 1994 כי אחד התנאים הספציפיים לתרומת גופה למדע הוא התנאי המפורש שלאחר זמן מוקצב (למשל, שנה) יש </w:t>
      </w:r>
      <w:r w:rsidRPr="000A42EB">
        <w:rPr>
          <w:rtl/>
          <w:lang w:val="en-GB"/>
        </w:rPr>
        <w:lastRenderedPageBreak/>
        <w:t>להחזיר את הגופה בשלמותה כדי שיוכלו לקבור אותם קבורה ראויה.״ הוא מוסיף ואומר: ״אלא אם כן תרומה זו תסייע לבירור מחלה או מצב רפואי נדיר מאוד, איני רואה צורך להתיר״. </w:t>
      </w:r>
    </w:p>
    <w:p w14:paraId="35397138" w14:textId="27C96EC1" w:rsidR="000A42EB" w:rsidRPr="000A42EB" w:rsidRDefault="000A42EB" w:rsidP="000A42EB">
      <w:pPr>
        <w:rPr>
          <w:rtl/>
          <w:lang w:val="en-GB"/>
        </w:rPr>
      </w:pPr>
      <w:r w:rsidRPr="000A42EB">
        <w:rPr>
          <w:rtl/>
          <w:lang w:val="en-GB"/>
        </w:rPr>
        <w:t xml:space="preserve">לטענתו, גם העיקרון של פיקוח נפש הוא לא לגיטימי, שהרי אין כל צורך לבזות את גופת המת ולשרוף אותה, – שזה בבירור נוגד את ההלכה הכתובה – שהרי אלפי גויים תורמים גם את </w:t>
      </w:r>
      <w:r w:rsidR="006C7F56" w:rsidRPr="000A42EB">
        <w:rPr>
          <w:rFonts w:hint="cs"/>
          <w:rtl/>
          <w:lang w:val="en-GB"/>
        </w:rPr>
        <w:t>גופתם</w:t>
      </w:r>
      <w:r w:rsidRPr="000A42EB">
        <w:rPr>
          <w:rtl/>
          <w:lang w:val="en-GB"/>
        </w:rPr>
        <w:t xml:space="preserve"> למדע ולהם אין איסור לשרוף אותה ולחלל אותה, ולכן ליהודי אין צורך לעשות זאת. הוא ממשיך ונותן מעין ״אוקימתא״ משמעותית על אותה התשובה, ואמר שבמקרים מאוד נדירים שבהם יש מחלה נדירה ולא מוכרת מספיק, שמעט מאוד אנשים חולים בה וצריך את הגופה כדי שיהיה דרך להציל את האנשים האחרים שאין פתרונות על מחלותיהם, רק אז ניתן לתת היתר לתרום את הגופה, וגם זה במקרה שבו היא תוחזר לא מחולל ולא שרופה בתוך שנה לקבורה ראויה. </w:t>
      </w:r>
    </w:p>
    <w:p w14:paraId="77B93A19" w14:textId="2DDE4941" w:rsidR="000A42EB" w:rsidRPr="000A42EB" w:rsidRDefault="000A42EB" w:rsidP="000A42EB">
      <w:pPr>
        <w:rPr>
          <w:rtl/>
          <w:lang w:val="en-GB"/>
        </w:rPr>
      </w:pPr>
      <w:r w:rsidRPr="000A42EB">
        <w:rPr>
          <w:rtl/>
          <w:lang w:val="en-GB"/>
        </w:rPr>
        <w:t xml:space="preserve">הרב מתמודד עם פסיקה בתוך התנועה שלו עצמה, שהתקבלה ברוב מכריע (15 בעד לעומת 3 נגד!), ומתנגד אליה כי הוא סובר שלמרות שהיתר כזה יקדם את המדע הכללי, זה נוגד הלכה ברורה ולכן אין מקום להתיר, ומותר רק להקל בחלקים </w:t>
      </w:r>
      <w:r w:rsidR="006C7F56" w:rsidRPr="000A42EB">
        <w:rPr>
          <w:rFonts w:hint="cs"/>
          <w:rtl/>
          <w:lang w:val="en-GB"/>
        </w:rPr>
        <w:t>מסוימים</w:t>
      </w:r>
      <w:r w:rsidRPr="000A42EB">
        <w:rPr>
          <w:rtl/>
          <w:lang w:val="en-GB"/>
        </w:rPr>
        <w:t xml:space="preserve"> אך ורק כאשר יש לכך מקור בתוך כללי ההלכה. </w:t>
      </w:r>
    </w:p>
    <w:p w14:paraId="17F6B93C" w14:textId="2E2A2A9C" w:rsidR="000A42EB" w:rsidRPr="000A42EB" w:rsidRDefault="000A42EB" w:rsidP="000A42EB">
      <w:pPr>
        <w:rPr>
          <w:rtl/>
          <w:lang w:val="en-GB"/>
        </w:rPr>
      </w:pPr>
      <w:r w:rsidRPr="000A42EB">
        <w:rPr>
          <w:rtl/>
          <w:lang w:val="en-GB"/>
        </w:rPr>
        <w:t xml:space="preserve">חשוב לבטא שישנם פסקים כמו אלו של הרבנית פמלה (ועוד) שקשה מאוד לתת להם לגיטימציה הלכתית, שניתנים משום </w:t>
      </w:r>
      <w:r w:rsidR="006C7F56" w:rsidRPr="000A42EB">
        <w:rPr>
          <w:rFonts w:hint="cs"/>
          <w:rtl/>
          <w:lang w:val="en-GB"/>
        </w:rPr>
        <w:t>שיקולים</w:t>
      </w:r>
      <w:r w:rsidRPr="000A42EB">
        <w:rPr>
          <w:rtl/>
          <w:lang w:val="en-GB"/>
        </w:rPr>
        <w:t xml:space="preserve"> חיצוניים, ואולי אפילו אנטי הלכתיים. זה מבטא את ״הידרדרות״ או היחלשות </w:t>
      </w:r>
      <w:r w:rsidR="006C7F56">
        <w:rPr>
          <w:rFonts w:hint="cs"/>
          <w:rtl/>
          <w:lang w:val="en-GB"/>
        </w:rPr>
        <w:t>פסיקותיהם</w:t>
      </w:r>
      <w:r w:rsidRPr="000A42EB">
        <w:rPr>
          <w:rtl/>
          <w:lang w:val="en-GB"/>
        </w:rPr>
        <w:t xml:space="preserve"> של התנועה הקונסרבטיבית בימינו, שנוגדת את ההלכה, ומתנגדים אליה מקימי התנועה וגם רבנים בימינו </w:t>
      </w:r>
      <w:r w:rsidR="006C7F56" w:rsidRPr="000A42EB">
        <w:rPr>
          <w:rFonts w:hint="cs"/>
          <w:rtl/>
          <w:lang w:val="en-GB"/>
        </w:rPr>
        <w:t>שמתחייבים</w:t>
      </w:r>
      <w:r w:rsidRPr="000A42EB">
        <w:rPr>
          <w:rtl/>
          <w:lang w:val="en-GB"/>
        </w:rPr>
        <w:t xml:space="preserve"> לכללי ההלכה (כמו הרב רות' והרב סזאמס) גם כאשר זה בא על חשבון פיתוח המדע הכללי או כל התחשבות לא רלוונטית אחרת.</w:t>
      </w:r>
    </w:p>
    <w:p w14:paraId="2B53BD08" w14:textId="77777777" w:rsidR="000A42EB" w:rsidRPr="000A42EB" w:rsidRDefault="000A42EB" w:rsidP="000A42EB">
      <w:pPr>
        <w:rPr>
          <w:lang w:val="en-IL"/>
        </w:rPr>
      </w:pPr>
      <w:r w:rsidRPr="000A42EB">
        <w:rPr>
          <w:rtl/>
          <w:lang w:val="en-GB"/>
        </w:rPr>
        <w:t xml:space="preserve">מן הדוגמאות והעקרונות שנידונו לעיל עולה כי פסיקות קונסרבטיביות מסוימות אינן מבוססות על חריגה ממסגרת ההלכה או על החלפתה במערכת ערכית חיצונית, אלא על הפעלה מודעת וזהירה של כלים הלכתיים פנימיים, מוכרים ומוגדרים. עקרונות כגון ״כבוד הבריות״ ו״ועשית הישר והטוב בעיני ה׳״ אינם משמשים כאן כרטוריקה מוסרית כללית, אלא ככללים הלכתיים בעלי תוקף נורמטיבי, המכוונות את אופן יישום ההלכה במציאות חברתית משתנה. במסגרת זו, תפקידו של הפוסק אינו מתמצה בנאמנות לדין הפורמלי בלבד, אלא כולל גם אחריות חינוכית וקיומית כלפי הקהילה שבתוכה הוא פועל. ממילא, המחלוקת בין פוסקים קונסרבטיביים לאורתודוקסיים ביחס לפסיקות כמו זו </w:t>
      </w:r>
      <w:r w:rsidRPr="000A42EB">
        <w:rPr>
          <w:rtl/>
          <w:lang w:val="en-GB"/>
        </w:rPr>
        <w:lastRenderedPageBreak/>
        <w:t>של רות', ואחרים, אינה נובעת מהיעדר לגיטימציה הלכתית של הכלים המופעלים, אלא מן ההבדלים העמוקים שבין ההקשרים החברתיים, התרבותיים והקהילתיים שבתוכם ההלכה מיושמת.</w:t>
      </w:r>
    </w:p>
    <w:p w14:paraId="46879CDE" w14:textId="77777777" w:rsidR="000A42EB" w:rsidRPr="000A42EB" w:rsidRDefault="000A42EB" w:rsidP="003B2C8F">
      <w:pPr>
        <w:pStyle w:val="Heading2"/>
        <w:rPr>
          <w:rtl/>
          <w:lang w:val="en-GB"/>
        </w:rPr>
      </w:pPr>
      <w:r w:rsidRPr="000A42EB">
        <w:rPr>
          <w:rtl/>
          <w:lang w:val="en-GB"/>
        </w:rPr>
        <w:t>מסקנות</w:t>
      </w:r>
    </w:p>
    <w:p w14:paraId="5B99DCFE" w14:textId="77777777" w:rsidR="000A42EB" w:rsidRPr="000A42EB" w:rsidRDefault="000A42EB" w:rsidP="003B2C8F">
      <w:pPr>
        <w:ind w:firstLine="0"/>
        <w:rPr>
          <w:rtl/>
          <w:lang w:val="en-GB"/>
        </w:rPr>
      </w:pPr>
      <w:r w:rsidRPr="000A42EB">
        <w:rPr>
          <w:rtl/>
          <w:lang w:val="en-GB"/>
        </w:rPr>
        <w:t>השאלה שעליה ניסיתי לעמוד לא הייתה ״מי צודק הלכתית״, אלא שאלה רחבה יותר: מהי הלכה רלוונטית בתוך מציאות אנושית. דרך העיון בזרמים השונים ביהדות, ובעיקר דרך ההבחנה בין רפורמה לבין קונסרבטיביות ואורתודוקסיה, ביקשתי לטעון שההלכה אינה יכולה להיות מערכת נוקשה שאינה קשובה לעולם שבו היא נמצאת, אך גם לא מנגנון פתוח שכל אחד מעצב כרצונו. הלכה שמבקשת להחזיק לאורך זמן חייבת להיות מחויבת למסורת, אך גם מסוגלת לדבר עם ההווה – עם האנשים, הקהילות ושאלות ומצוקות רלוונטיות.</w:t>
      </w:r>
    </w:p>
    <w:p w14:paraId="38BFEF24" w14:textId="77777777" w:rsidR="000A42EB" w:rsidRPr="000A42EB" w:rsidRDefault="000A42EB" w:rsidP="000A42EB">
      <w:pPr>
        <w:rPr>
          <w:rtl/>
          <w:lang w:val="en-GB"/>
        </w:rPr>
      </w:pPr>
      <w:r w:rsidRPr="000A42EB">
        <w:rPr>
          <w:rtl/>
          <w:lang w:val="en-GB"/>
        </w:rPr>
        <w:t>הדוגמאות ההלכתיות שנידונו לאורך המאמר ממחישות שהכלים לכך קיימים בתוך ההלכה עצמה. עקרונות כמו ״כבוד הבריות״ ו״ועשית הישר והטוב בעיני ה׳״ וביניהם גם רבים אחרים הם חלק אינטגרלי מהשפה ההלכתית לדורותיה. רבנים שפעלו לאור עקרונות אלו – בין בעולם האורתודוקסי ובין בעולם הקונסרבטיבי – לא ״שברו את הכלים״, אלא השתמשו בהם בדיוק כפי שנועדו לשמש: לגשר בין הטקסט למציאות, ובין נאמנות למסורת לאחריות כלפי בני אדם.</w:t>
      </w:r>
    </w:p>
    <w:p w14:paraId="3645FD03" w14:textId="324D1DB5" w:rsidR="000A42EB" w:rsidRPr="000A42EB" w:rsidRDefault="000A42EB" w:rsidP="000A42EB">
      <w:pPr>
        <w:rPr>
          <w:rtl/>
          <w:lang w:val="en-GB"/>
        </w:rPr>
      </w:pPr>
      <w:r w:rsidRPr="000A42EB">
        <w:rPr>
          <w:rtl/>
          <w:lang w:val="en-GB"/>
        </w:rPr>
        <w:t xml:space="preserve">מכאן מתברר שהמחלוקת העמוקה בין פסיקה קונסרבטיבית לפסיקה אורתודוקסית אינה נובעת מהבדל בכללי המשחק ההלכתיים, אלא </w:t>
      </w:r>
      <w:r w:rsidR="006C7F56" w:rsidRPr="000A42EB">
        <w:rPr>
          <w:rFonts w:hint="cs"/>
          <w:rtl/>
          <w:lang w:val="en-GB"/>
        </w:rPr>
        <w:t>מהמגרשים</w:t>
      </w:r>
      <w:r w:rsidRPr="000A42EB">
        <w:rPr>
          <w:rtl/>
          <w:lang w:val="en-GB"/>
        </w:rPr>
        <w:t xml:space="preserve"> השונים שבהם המשחק הזה מתנהל. פוסק הלכה אינו פועל בוואקום: הוא חי בתוך קהילה מסוימת, נושא באחריות חינוכית, תרבותית וקיומית כלפיה. קהילה שחיה בתוך מרחב פתוח, פלורליסטי ומעורב תציב שאלות שונות לגמרי מקהילה סגורה ומובחנת – וגם ההלכה שתצמח בתוכה תיראה אחרת, גם אם הכלים זהים.</w:t>
      </w:r>
    </w:p>
    <w:p w14:paraId="36083A20" w14:textId="654CC8CF" w:rsidR="000A42EB" w:rsidRPr="000A42EB" w:rsidRDefault="000A42EB" w:rsidP="000A42EB">
      <w:pPr>
        <w:rPr>
          <w:rtl/>
          <w:lang w:val="en-GB"/>
        </w:rPr>
      </w:pPr>
      <w:r w:rsidRPr="000A42EB">
        <w:rPr>
          <w:rtl/>
          <w:lang w:val="en-GB"/>
        </w:rPr>
        <w:t xml:space="preserve">המתח הזה מסביר הן את הדחייה האורתודוקסית של פסיקות קונסרבטיביות רבות, והן את חוסר האמון שנוצר לעיתים כלפי התנועה הקונסרבטיבית כולה, במיוחד כשפסיקות רבות בימינו אכן חורגות ממסגרת הלכתית מחייבת (כמו זו של הרבנית פמלה). אין בעיה אמיתית שרב </w:t>
      </w:r>
      <w:r w:rsidRPr="000A42EB">
        <w:rPr>
          <w:rtl/>
          <w:lang w:val="en-GB"/>
        </w:rPr>
        <w:lastRenderedPageBreak/>
        <w:t xml:space="preserve">אורתודוקסי ידחה את פסיקות כאלו שהרי כמו שהסברתי הם ניתנים בעולמות שונים עם מודלים חברתיים הפוכים ומציאות שדורשת שינויים פחותים או שונים מאשר בקהילה הקונסרבטיבית, והוא דוחה את הפסיקה כי היא פשוט לא רלוונטית או מוצרכת לקהילתו שלו. אין מקום לייחס לפסיקות קונסרבטיביות מעמד ״מופחת״, אלא צריך להבין אותם כמו מה שהם באמת – התפתחות הלכתית הכרחית הנובעת ממציאות שונה לגמרי. לדעתי יש גם אספקט של רצון לבנות חומה בצורה אל מול הקונסרבטיזם – במיוחד מגרסתם של פוסקים מודרניים יותר שאינם מחויבים להלכה כפי המקובל ולא נותנים סברות לגיטימיות – אך ברור שפסקים של רבנים קונסרבטיבים אינם </w:t>
      </w:r>
      <w:r w:rsidR="006C7F56" w:rsidRPr="000A42EB">
        <w:rPr>
          <w:rFonts w:hint="cs"/>
          <w:rtl/>
          <w:lang w:val="en-GB"/>
        </w:rPr>
        <w:t>רלוונטיי</w:t>
      </w:r>
      <w:r w:rsidR="006C7F56" w:rsidRPr="000A42EB">
        <w:rPr>
          <w:rFonts w:hint="eastAsia"/>
          <w:rtl/>
          <w:lang w:val="en-GB"/>
        </w:rPr>
        <w:t>ם</w:t>
      </w:r>
      <w:r w:rsidRPr="000A42EB">
        <w:rPr>
          <w:rtl/>
          <w:lang w:val="en-GB"/>
        </w:rPr>
        <w:t xml:space="preserve"> ל</w:t>
      </w:r>
      <w:r w:rsidRPr="000A42EB">
        <w:rPr>
          <w:b/>
          <w:bCs/>
          <w:rtl/>
          <w:lang w:val="en-GB"/>
        </w:rPr>
        <w:t>כל</w:t>
      </w:r>
      <w:r w:rsidRPr="000A42EB">
        <w:rPr>
          <w:rtl/>
          <w:lang w:val="en-GB"/>
        </w:rPr>
        <w:t xml:space="preserve"> קהילה יהודית ולכן ברור שזה לא יתקבל להלכה על ידי רב אורתודוקסי! </w:t>
      </w:r>
    </w:p>
    <w:p w14:paraId="74AAB5E3" w14:textId="77777777" w:rsidR="000A42EB" w:rsidRPr="000A42EB" w:rsidRDefault="000A42EB" w:rsidP="000A42EB">
      <w:pPr>
        <w:rPr>
          <w:rtl/>
          <w:lang w:val="en-GB"/>
        </w:rPr>
      </w:pPr>
      <w:r w:rsidRPr="000A42EB">
        <w:rPr>
          <w:rtl/>
          <w:lang w:val="en-GB"/>
        </w:rPr>
        <w:t>כדי שנוכל להתמודד בכלל עם המחלוקת האינהרנטית שבין שני התנועות, אני חושב ששני הצדדים צריכים לקחת צעד משמעותי: </w:t>
      </w:r>
    </w:p>
    <w:p w14:paraId="5410C49E" w14:textId="5B6179DB" w:rsidR="000A42EB" w:rsidRPr="000A42EB" w:rsidRDefault="000A42EB" w:rsidP="000A42EB">
      <w:pPr>
        <w:rPr>
          <w:rtl/>
          <w:lang w:val="en-GB"/>
        </w:rPr>
      </w:pPr>
      <w:r w:rsidRPr="000A42EB">
        <w:rPr>
          <w:rtl/>
          <w:lang w:val="en-GB"/>
        </w:rPr>
        <w:t xml:space="preserve">לקהילה הקונסרבטיבית יש שני אופציות: הראשונה היא פתיחת דף חדש, או דווקא יותר ראוי להגיד ״דף ישן״, ולקבל על עצמה לחזור לפסיקת הלכה נרחבת כפי שהיה מקובל בתחילת ימי התנועה: אך ורק לפי גדרי ההלכה המקובלים, בבחינת ״השיבה שופטינו כבראשונה״ תנועה לא יכולה להתיימר לקבל את סמכותה של ההלכה היהודית, ובאותו זמן לא לפסוק לפיה ולחדש חידושים בלתי </w:t>
      </w:r>
      <w:r w:rsidR="006C7F56" w:rsidRPr="000A42EB">
        <w:rPr>
          <w:rFonts w:hint="cs"/>
          <w:rtl/>
          <w:lang w:val="en-GB"/>
        </w:rPr>
        <w:t>לגיטימיים</w:t>
      </w:r>
      <w:r w:rsidRPr="000A42EB">
        <w:rPr>
          <w:rtl/>
          <w:lang w:val="en-GB"/>
        </w:rPr>
        <w:t xml:space="preserve"> שאין להם ביסוס. אני חושב שהאופציה השנייה שיש לתנועה, שמותירה תחושת החמצה כלשהי, היא שהתנועה אכן תפסיק להגדיר את עצמה </w:t>
      </w:r>
      <w:r w:rsidR="006C7F56" w:rsidRPr="000A42EB">
        <w:rPr>
          <w:rFonts w:hint="cs"/>
          <w:rtl/>
          <w:lang w:val="en-GB"/>
        </w:rPr>
        <w:t>כמחויבת</w:t>
      </w:r>
      <w:r w:rsidRPr="000A42EB">
        <w:rPr>
          <w:rtl/>
          <w:lang w:val="en-GB"/>
        </w:rPr>
        <w:t xml:space="preserve"> להלכה, שרואה את העולם המודרני וקשייה כמציאות שההלכה היהודית לא מסוגלת להתמודד איתה (ויש מקום לטעון אמירה כזו שהרי כמו שאמרנו 80 אחוז מיהדות </w:t>
      </w:r>
      <w:r w:rsidR="006C7F56" w:rsidRPr="000A42EB">
        <w:rPr>
          <w:rFonts w:hint="cs"/>
          <w:rtl/>
          <w:lang w:val="en-GB"/>
        </w:rPr>
        <w:t>ארה"</w:t>
      </w:r>
      <w:r w:rsidR="006C7F56" w:rsidRPr="000A42EB">
        <w:rPr>
          <w:rFonts w:hint="eastAsia"/>
          <w:rtl/>
          <w:lang w:val="en-GB"/>
        </w:rPr>
        <w:t>ב</w:t>
      </w:r>
      <w:r w:rsidRPr="000A42EB">
        <w:rPr>
          <w:rtl/>
          <w:lang w:val="en-GB"/>
        </w:rPr>
        <w:t xml:space="preserve"> עזבה את הדת). במקרה כזה באמת יהיה ניתן לחלק את העולם היהודי לצד של הרפורמה והקונסרבטיזם מחד, והאורתודוקסיה מאידך, אך זו תהיה החמצה אדירה ליהדות התפוצות – שרואה מחויבות הלכתית ורוצה שההלכה תתאים עם ערכיהם </w:t>
      </w:r>
      <w:r w:rsidR="006C7F56" w:rsidRPr="000A42EB">
        <w:rPr>
          <w:rFonts w:hint="cs"/>
          <w:rtl/>
          <w:lang w:val="en-GB"/>
        </w:rPr>
        <w:t>המודרניי</w:t>
      </w:r>
      <w:r w:rsidR="006C7F56" w:rsidRPr="000A42EB">
        <w:rPr>
          <w:rFonts w:hint="eastAsia"/>
          <w:rtl/>
          <w:lang w:val="en-GB"/>
        </w:rPr>
        <w:t>ם</w:t>
      </w:r>
      <w:r w:rsidRPr="000A42EB">
        <w:rPr>
          <w:rtl/>
          <w:lang w:val="en-GB"/>
        </w:rPr>
        <w:t xml:space="preserve"> – שכבר לא תהיה להם תנועה שירגישו בה חלק. </w:t>
      </w:r>
    </w:p>
    <w:p w14:paraId="2253C4AE" w14:textId="77777777" w:rsidR="000A42EB" w:rsidRPr="000A42EB" w:rsidRDefault="000A42EB" w:rsidP="000A42EB">
      <w:pPr>
        <w:rPr>
          <w:rtl/>
          <w:lang w:val="en-GB"/>
        </w:rPr>
      </w:pPr>
      <w:r w:rsidRPr="000A42EB">
        <w:rPr>
          <w:rtl/>
          <w:lang w:val="en-GB"/>
        </w:rPr>
        <w:t xml:space="preserve">אם אכן התנועה הקונסרבטיבית תקבל על עצמה רף מוגדר לפסיקה הלכתית גרידא, מקביליהם האורתודוקסים יצטרכו לקבל על עצמם להכיר יותר לעומק את ההבדלים האינהרנטיים שבין הקהילות שלהם לשל מקביליהם. יהיה עליהם להבין ממה נובע ההבדלים שיש ביניהם, ולקבל את זה שהבדלי הגרסאות קורות דווקא מתוך עולם תורני הלכתי מקובל, ולא כמקבילה אליה. </w:t>
      </w:r>
      <w:r w:rsidRPr="000A42EB">
        <w:rPr>
          <w:rtl/>
          <w:lang w:val="en-GB"/>
        </w:rPr>
        <w:lastRenderedPageBreak/>
        <w:t>אותם רבנים יצטרכו גם הם ״לחזור״ לעולם שבו הם פוקחים עיניים למציאות שמסביבם, בבחינת ״השיבה שופטינו כבראשונה״ ומקביליהם יצטרכו להשלים את הברכה ולהיות ״יועצינו כבתחילה״. </w:t>
      </w:r>
    </w:p>
    <w:p w14:paraId="7FA5484B" w14:textId="117F4D42" w:rsidR="00D6686E" w:rsidRPr="00D6686E" w:rsidRDefault="00D6686E" w:rsidP="00D6686E">
      <w:pPr>
        <w:rPr>
          <w:rtl/>
          <w:lang w:val="en-GB"/>
        </w:rPr>
      </w:pPr>
    </w:p>
    <w:sectPr w:rsidR="00D6686E" w:rsidRPr="00D6686E"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78024" w14:textId="77777777" w:rsidR="00CE34F8" w:rsidRDefault="00CE34F8" w:rsidP="00612B20">
      <w:pPr>
        <w:spacing w:line="240" w:lineRule="auto"/>
      </w:pPr>
      <w:r>
        <w:separator/>
      </w:r>
    </w:p>
  </w:endnote>
  <w:endnote w:type="continuationSeparator" w:id="0">
    <w:p w14:paraId="467DC462" w14:textId="77777777" w:rsidR="00CE34F8" w:rsidRDefault="00CE34F8"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CDD4"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037EA" w14:textId="77777777" w:rsidR="00CE34F8" w:rsidRDefault="00CE34F8" w:rsidP="008D6718">
      <w:pPr>
        <w:spacing w:line="240" w:lineRule="auto"/>
        <w:ind w:firstLine="0"/>
        <w:rPr>
          <w:rtl/>
        </w:rPr>
      </w:pPr>
    </w:p>
  </w:footnote>
  <w:footnote w:type="continuationSeparator" w:id="0">
    <w:p w14:paraId="74223396" w14:textId="77777777" w:rsidR="00CE34F8" w:rsidRPr="00187664" w:rsidRDefault="00CE34F8" w:rsidP="00187664">
      <w:pPr>
        <w:pStyle w:val="Footer"/>
        <w:rPr>
          <w:szCs w:val="22"/>
          <w:rtl/>
        </w:rPr>
      </w:pPr>
    </w:p>
  </w:footnote>
  <w:footnote w:id="1">
    <w:p w14:paraId="1785E9A9" w14:textId="2718197F" w:rsidR="001E67F1" w:rsidRDefault="001E67F1">
      <w:pPr>
        <w:pStyle w:val="FootnoteText"/>
        <w:rPr>
          <w:rtl/>
        </w:rPr>
      </w:pPr>
      <w:r>
        <w:rPr>
          <w:rStyle w:val="FootnoteReference"/>
        </w:rPr>
        <w:footnoteRef/>
      </w:r>
      <w:r w:rsidR="006C7F56">
        <w:rPr>
          <w:rtl/>
        </w:rPr>
        <w:t xml:space="preserve"> </w:t>
      </w:r>
      <w:r w:rsidR="000F1F03">
        <w:rPr>
          <w:rtl/>
        </w:rPr>
        <w:tab/>
      </w:r>
      <w:r w:rsidRPr="001E67F1">
        <w:rPr>
          <w:rtl/>
        </w:rPr>
        <w:t>(</w:t>
      </w:r>
      <w:r w:rsidRPr="001E67F1">
        <w:t xml:space="preserve">Orthodox or Conservative?" The Jerusalem Post: Rabbi Adam </w:t>
      </w:r>
      <w:r w:rsidR="006C7F56" w:rsidRPr="001E67F1">
        <w:t>Frank (</w:t>
      </w:r>
      <w:r w:rsidRPr="001E67F1">
        <w:t>2012</w:t>
      </w:r>
      <w:r w:rsidRPr="001E67F1">
        <w:rPr>
          <w:rFonts w:hint="eastAsia"/>
          <w:rtl/>
        </w:rPr>
        <w:t>״</w:t>
      </w:r>
    </w:p>
  </w:footnote>
  <w:footnote w:id="2">
    <w:p w14:paraId="2B6CEAE0" w14:textId="7153693D" w:rsidR="00EE3BF0" w:rsidRDefault="00EE3BF0">
      <w:pPr>
        <w:pStyle w:val="FootnoteText"/>
      </w:pPr>
      <w:r>
        <w:rPr>
          <w:rStyle w:val="FootnoteReference"/>
        </w:rPr>
        <w:footnoteRef/>
      </w:r>
      <w:r>
        <w:rPr>
          <w:rtl/>
        </w:rPr>
        <w:t xml:space="preserve"> </w:t>
      </w:r>
      <w:r w:rsidR="000F1F03">
        <w:rPr>
          <w:rtl/>
        </w:rPr>
        <w:tab/>
      </w:r>
      <w:r w:rsidRPr="00EE3BF0">
        <w:rPr>
          <w:rFonts w:hint="eastAsia"/>
          <w:rtl/>
        </w:rPr>
        <w:t>בבלי</w:t>
      </w:r>
      <w:r w:rsidRPr="00EE3BF0">
        <w:rPr>
          <w:rtl/>
        </w:rPr>
        <w:t xml:space="preserve">, </w:t>
      </w:r>
      <w:r w:rsidRPr="00EE3BF0">
        <w:rPr>
          <w:rFonts w:hint="eastAsia"/>
          <w:rtl/>
        </w:rPr>
        <w:t>ברכות</w:t>
      </w:r>
      <w:r w:rsidRPr="00EE3BF0">
        <w:rPr>
          <w:rtl/>
        </w:rPr>
        <w:t xml:space="preserve"> </w:t>
      </w:r>
      <w:proofErr w:type="spellStart"/>
      <w:r w:rsidRPr="00EE3BF0">
        <w:rPr>
          <w:rFonts w:hint="eastAsia"/>
          <w:rtl/>
        </w:rPr>
        <w:t>יט</w:t>
      </w:r>
      <w:proofErr w:type="spellEnd"/>
      <w:r w:rsidRPr="00EE3BF0">
        <w:rPr>
          <w:rtl/>
        </w:rPr>
        <w:t>:</w:t>
      </w:r>
    </w:p>
  </w:footnote>
  <w:footnote w:id="3">
    <w:p w14:paraId="198A92C4" w14:textId="19744F0F" w:rsidR="006D797A" w:rsidRDefault="006D797A">
      <w:pPr>
        <w:pStyle w:val="FootnoteText"/>
      </w:pPr>
      <w:r>
        <w:rPr>
          <w:rStyle w:val="FootnoteReference"/>
        </w:rPr>
        <w:footnoteRef/>
      </w:r>
      <w:r>
        <w:rPr>
          <w:rtl/>
        </w:rPr>
        <w:t xml:space="preserve"> </w:t>
      </w:r>
      <w:r w:rsidR="000F1F03">
        <w:rPr>
          <w:rtl/>
        </w:rPr>
        <w:tab/>
      </w:r>
      <w:r w:rsidRPr="006D797A">
        <w:rPr>
          <w:rFonts w:hint="eastAsia"/>
          <w:rtl/>
        </w:rPr>
        <w:t>בבלי</w:t>
      </w:r>
      <w:r w:rsidRPr="006D797A">
        <w:rPr>
          <w:rtl/>
        </w:rPr>
        <w:t xml:space="preserve">, </w:t>
      </w:r>
      <w:r w:rsidRPr="006D797A">
        <w:rPr>
          <w:rFonts w:hint="eastAsia"/>
          <w:rtl/>
        </w:rPr>
        <w:t>מגילה</w:t>
      </w:r>
      <w:r w:rsidRPr="006D797A">
        <w:rPr>
          <w:rtl/>
        </w:rPr>
        <w:t xml:space="preserve"> </w:t>
      </w:r>
      <w:proofErr w:type="spellStart"/>
      <w:r w:rsidRPr="006D797A">
        <w:rPr>
          <w:rFonts w:hint="eastAsia"/>
          <w:rtl/>
        </w:rPr>
        <w:t>כג</w:t>
      </w:r>
      <w:proofErr w:type="spellEnd"/>
      <w:r w:rsidRPr="006D797A">
        <w:rPr>
          <w:rtl/>
        </w:rPr>
        <w:t>.</w:t>
      </w:r>
    </w:p>
  </w:footnote>
  <w:footnote w:id="4">
    <w:p w14:paraId="5236D31F" w14:textId="772F8FDE" w:rsidR="00391E9D" w:rsidRDefault="00391E9D">
      <w:pPr>
        <w:pStyle w:val="FootnoteText"/>
      </w:pPr>
      <w:r>
        <w:rPr>
          <w:rStyle w:val="FootnoteReference"/>
        </w:rPr>
        <w:footnoteRef/>
      </w:r>
      <w:r w:rsidR="006C7F56">
        <w:rPr>
          <w:rtl/>
        </w:rPr>
        <w:t xml:space="preserve"> </w:t>
      </w:r>
      <w:r w:rsidR="000F1F03">
        <w:rPr>
          <w:rtl/>
        </w:rPr>
        <w:tab/>
      </w:r>
      <w:r w:rsidRPr="00391E9D">
        <w:rPr>
          <w:rFonts w:hint="eastAsia"/>
          <w:rtl/>
        </w:rPr>
        <w:t>כבוד</w:t>
      </w:r>
      <w:r w:rsidRPr="00391E9D">
        <w:rPr>
          <w:rtl/>
        </w:rPr>
        <w:t xml:space="preserve"> </w:t>
      </w:r>
      <w:r w:rsidRPr="00391E9D">
        <w:rPr>
          <w:rFonts w:hint="eastAsia"/>
          <w:rtl/>
        </w:rPr>
        <w:t>הציבור</w:t>
      </w:r>
      <w:r w:rsidRPr="00391E9D">
        <w:rPr>
          <w:rtl/>
        </w:rPr>
        <w:t xml:space="preserve"> </w:t>
      </w:r>
      <w:r w:rsidRPr="00391E9D">
        <w:rPr>
          <w:rFonts w:hint="eastAsia"/>
          <w:rtl/>
        </w:rPr>
        <w:t>הוא</w:t>
      </w:r>
      <w:r w:rsidRPr="00391E9D">
        <w:rPr>
          <w:rtl/>
        </w:rPr>
        <w:t xml:space="preserve"> </w:t>
      </w:r>
      <w:r w:rsidRPr="00391E9D">
        <w:rPr>
          <w:rFonts w:hint="eastAsia"/>
          <w:rtl/>
        </w:rPr>
        <w:t>החובה</w:t>
      </w:r>
      <w:r w:rsidRPr="00391E9D">
        <w:rPr>
          <w:rtl/>
        </w:rPr>
        <w:t xml:space="preserve"> </w:t>
      </w:r>
      <w:r w:rsidRPr="00391E9D">
        <w:rPr>
          <w:rFonts w:hint="eastAsia"/>
          <w:rtl/>
        </w:rPr>
        <w:t>להיזהר</w:t>
      </w:r>
      <w:r w:rsidRPr="00391E9D">
        <w:rPr>
          <w:rtl/>
        </w:rPr>
        <w:t xml:space="preserve"> </w:t>
      </w:r>
      <w:r w:rsidRPr="00391E9D">
        <w:rPr>
          <w:rFonts w:hint="eastAsia"/>
          <w:rtl/>
        </w:rPr>
        <w:t>בכבוד</w:t>
      </w:r>
      <w:r w:rsidRPr="00391E9D">
        <w:rPr>
          <w:rtl/>
        </w:rPr>
        <w:t xml:space="preserve"> </w:t>
      </w:r>
      <w:r w:rsidRPr="00391E9D">
        <w:rPr>
          <w:rFonts w:hint="eastAsia"/>
          <w:rtl/>
        </w:rPr>
        <w:t>ציבור</w:t>
      </w:r>
      <w:r w:rsidRPr="00391E9D">
        <w:rPr>
          <w:rtl/>
        </w:rPr>
        <w:t xml:space="preserve"> </w:t>
      </w:r>
      <w:r w:rsidRPr="00391E9D">
        <w:rPr>
          <w:rFonts w:hint="eastAsia"/>
          <w:rtl/>
        </w:rPr>
        <w:t>של</w:t>
      </w:r>
      <w:r w:rsidRPr="00391E9D">
        <w:rPr>
          <w:rtl/>
        </w:rPr>
        <w:t xml:space="preserve"> </w:t>
      </w:r>
      <w:r w:rsidRPr="00391E9D">
        <w:rPr>
          <w:rFonts w:hint="eastAsia"/>
          <w:rtl/>
        </w:rPr>
        <w:t>מתפללים</w:t>
      </w:r>
      <w:r w:rsidRPr="00391E9D">
        <w:rPr>
          <w:rtl/>
        </w:rPr>
        <w:t xml:space="preserve">, </w:t>
      </w:r>
      <w:r w:rsidRPr="00391E9D">
        <w:rPr>
          <w:rFonts w:hint="eastAsia"/>
          <w:rtl/>
        </w:rPr>
        <w:t>או</w:t>
      </w:r>
      <w:r w:rsidRPr="00391E9D">
        <w:rPr>
          <w:rtl/>
        </w:rPr>
        <w:t xml:space="preserve"> </w:t>
      </w:r>
      <w:r w:rsidRPr="00391E9D">
        <w:rPr>
          <w:rFonts w:hint="eastAsia"/>
          <w:rtl/>
        </w:rPr>
        <w:t>ציבור</w:t>
      </w:r>
      <w:r w:rsidRPr="00391E9D">
        <w:rPr>
          <w:rtl/>
        </w:rPr>
        <w:t xml:space="preserve"> </w:t>
      </w:r>
      <w:r w:rsidRPr="00391E9D">
        <w:rPr>
          <w:rFonts w:hint="eastAsia"/>
          <w:rtl/>
        </w:rPr>
        <w:t>של</w:t>
      </w:r>
      <w:r w:rsidRPr="00391E9D">
        <w:rPr>
          <w:rtl/>
        </w:rPr>
        <w:t xml:space="preserve"> </w:t>
      </w:r>
      <w:r w:rsidRPr="00391E9D">
        <w:rPr>
          <w:rFonts w:hint="eastAsia"/>
          <w:rtl/>
        </w:rPr>
        <w:t>עושי</w:t>
      </w:r>
      <w:r w:rsidRPr="00391E9D">
        <w:rPr>
          <w:rtl/>
        </w:rPr>
        <w:t xml:space="preserve"> </w:t>
      </w:r>
      <w:r w:rsidRPr="00391E9D">
        <w:rPr>
          <w:rFonts w:hint="eastAsia"/>
          <w:rtl/>
        </w:rPr>
        <w:t>מצווה</w:t>
      </w:r>
      <w:r w:rsidRPr="00391E9D">
        <w:rPr>
          <w:rtl/>
        </w:rPr>
        <w:t xml:space="preserve">, </w:t>
      </w:r>
      <w:r w:rsidRPr="00391E9D">
        <w:rPr>
          <w:rFonts w:hint="eastAsia"/>
          <w:rtl/>
        </w:rPr>
        <w:t>שהסברה</w:t>
      </w:r>
      <w:r w:rsidRPr="00391E9D">
        <w:rPr>
          <w:rtl/>
        </w:rPr>
        <w:t xml:space="preserve"> </w:t>
      </w:r>
      <w:r w:rsidRPr="00391E9D">
        <w:rPr>
          <w:rFonts w:hint="eastAsia"/>
          <w:rtl/>
        </w:rPr>
        <w:t>בגמרא</w:t>
      </w:r>
      <w:r w:rsidRPr="00391E9D">
        <w:rPr>
          <w:rtl/>
        </w:rPr>
        <w:t xml:space="preserve"> </w:t>
      </w:r>
      <w:r w:rsidRPr="00391E9D">
        <w:rPr>
          <w:rFonts w:hint="eastAsia"/>
          <w:rtl/>
        </w:rPr>
        <w:t>היא</w:t>
      </w:r>
      <w:r w:rsidRPr="00391E9D">
        <w:rPr>
          <w:rtl/>
        </w:rPr>
        <w:t xml:space="preserve"> </w:t>
      </w:r>
      <w:r w:rsidRPr="00391E9D">
        <w:rPr>
          <w:rFonts w:hint="eastAsia"/>
          <w:rtl/>
        </w:rPr>
        <w:t>שכאשר</w:t>
      </w:r>
      <w:r w:rsidRPr="00391E9D">
        <w:rPr>
          <w:rtl/>
        </w:rPr>
        <w:t xml:space="preserve"> </w:t>
      </w:r>
      <w:r w:rsidRPr="00391E9D">
        <w:rPr>
          <w:rFonts w:hint="eastAsia"/>
          <w:rtl/>
        </w:rPr>
        <w:t>אישה</w:t>
      </w:r>
      <w:r w:rsidRPr="00391E9D">
        <w:rPr>
          <w:rtl/>
        </w:rPr>
        <w:t xml:space="preserve"> </w:t>
      </w:r>
      <w:r w:rsidRPr="00391E9D">
        <w:rPr>
          <w:rFonts w:hint="eastAsia"/>
          <w:rtl/>
        </w:rPr>
        <w:t>קוראת</w:t>
      </w:r>
      <w:r w:rsidRPr="00391E9D">
        <w:rPr>
          <w:rtl/>
        </w:rPr>
        <w:t xml:space="preserve"> </w:t>
      </w:r>
      <w:r w:rsidRPr="00391E9D">
        <w:rPr>
          <w:rFonts w:hint="eastAsia"/>
          <w:rtl/>
        </w:rPr>
        <w:t>בתורה</w:t>
      </w:r>
      <w:r w:rsidRPr="00391E9D">
        <w:rPr>
          <w:rtl/>
        </w:rPr>
        <w:t xml:space="preserve"> </w:t>
      </w:r>
      <w:r w:rsidRPr="00391E9D">
        <w:rPr>
          <w:rFonts w:hint="eastAsia"/>
          <w:rtl/>
        </w:rPr>
        <w:t>הגברים</w:t>
      </w:r>
      <w:r w:rsidRPr="00391E9D">
        <w:rPr>
          <w:rtl/>
        </w:rPr>
        <w:t xml:space="preserve"> </w:t>
      </w:r>
      <w:r w:rsidRPr="00391E9D">
        <w:rPr>
          <w:rFonts w:hint="eastAsia"/>
          <w:rtl/>
        </w:rPr>
        <w:t>ירגישו</w:t>
      </w:r>
      <w:r w:rsidRPr="00391E9D">
        <w:rPr>
          <w:rtl/>
        </w:rPr>
        <w:t xml:space="preserve"> </w:t>
      </w:r>
      <w:r w:rsidRPr="00391E9D">
        <w:rPr>
          <w:rFonts w:hint="eastAsia"/>
          <w:rtl/>
        </w:rPr>
        <w:t>פגיעה</w:t>
      </w:r>
      <w:r w:rsidRPr="00391E9D">
        <w:rPr>
          <w:rtl/>
        </w:rPr>
        <w:t xml:space="preserve"> </w:t>
      </w:r>
      <w:r w:rsidRPr="00391E9D">
        <w:rPr>
          <w:rFonts w:hint="eastAsia"/>
          <w:rtl/>
        </w:rPr>
        <w:t>בכבודם</w:t>
      </w:r>
      <w:r w:rsidRPr="00391E9D">
        <w:rPr>
          <w:rtl/>
        </w:rPr>
        <w:t xml:space="preserve"> </w:t>
      </w:r>
      <w:r w:rsidRPr="00391E9D">
        <w:rPr>
          <w:rFonts w:hint="eastAsia"/>
          <w:rtl/>
        </w:rPr>
        <w:t>האישי</w:t>
      </w:r>
      <w:r w:rsidRPr="00391E9D">
        <w:rPr>
          <w:rtl/>
        </w:rPr>
        <w:t>.</w:t>
      </w:r>
    </w:p>
  </w:footnote>
  <w:footnote w:id="5">
    <w:p w14:paraId="621CD51F" w14:textId="47EEE2F1" w:rsidR="00BD7AC8" w:rsidRDefault="00BD7AC8">
      <w:pPr>
        <w:pStyle w:val="FootnoteText"/>
      </w:pPr>
      <w:r>
        <w:rPr>
          <w:rStyle w:val="FootnoteReference"/>
        </w:rPr>
        <w:footnoteRef/>
      </w:r>
      <w:r w:rsidR="006C7F56">
        <w:rPr>
          <w:rtl/>
        </w:rPr>
        <w:t xml:space="preserve"> </w:t>
      </w:r>
      <w:r w:rsidR="000F1F03">
        <w:rPr>
          <w:rtl/>
        </w:rPr>
        <w:tab/>
      </w:r>
      <w:r w:rsidRPr="00BD7AC8">
        <w:rPr>
          <w:rFonts w:hint="eastAsia"/>
          <w:rtl/>
        </w:rPr>
        <w:t>הלכות</w:t>
      </w:r>
      <w:r w:rsidRPr="00BD7AC8">
        <w:rPr>
          <w:rtl/>
        </w:rPr>
        <w:t xml:space="preserve"> </w:t>
      </w:r>
      <w:r w:rsidRPr="00BD7AC8">
        <w:rPr>
          <w:rFonts w:hint="eastAsia"/>
          <w:rtl/>
        </w:rPr>
        <w:t>תפילה</w:t>
      </w:r>
      <w:r w:rsidRPr="00BD7AC8">
        <w:rPr>
          <w:rtl/>
        </w:rPr>
        <w:t xml:space="preserve"> </w:t>
      </w:r>
      <w:r w:rsidRPr="00BD7AC8">
        <w:rPr>
          <w:rFonts w:hint="eastAsia"/>
          <w:rtl/>
        </w:rPr>
        <w:t>פרק</w:t>
      </w:r>
      <w:r w:rsidRPr="00BD7AC8">
        <w:rPr>
          <w:rtl/>
        </w:rPr>
        <w:t xml:space="preserve"> </w:t>
      </w:r>
      <w:proofErr w:type="spellStart"/>
      <w:r w:rsidRPr="00BD7AC8">
        <w:rPr>
          <w:rFonts w:hint="eastAsia"/>
          <w:rtl/>
        </w:rPr>
        <w:t>יב</w:t>
      </w:r>
      <w:proofErr w:type="spellEnd"/>
      <w:r w:rsidRPr="00BD7AC8">
        <w:rPr>
          <w:rtl/>
        </w:rPr>
        <w:t xml:space="preserve"> </w:t>
      </w:r>
      <w:r w:rsidRPr="00BD7AC8">
        <w:rPr>
          <w:rFonts w:hint="eastAsia"/>
          <w:rtl/>
        </w:rPr>
        <w:t>הלכה</w:t>
      </w:r>
      <w:r w:rsidRPr="00BD7AC8">
        <w:rPr>
          <w:rtl/>
        </w:rPr>
        <w:t xml:space="preserve"> </w:t>
      </w:r>
      <w:proofErr w:type="spellStart"/>
      <w:r w:rsidRPr="00BD7AC8">
        <w:rPr>
          <w:rFonts w:hint="eastAsia"/>
          <w:rtl/>
        </w:rPr>
        <w:t>יז</w:t>
      </w:r>
      <w:proofErr w:type="spellEnd"/>
      <w:r w:rsidRPr="00BD7AC8">
        <w:rPr>
          <w:rtl/>
        </w:rPr>
        <w:t>.</w:t>
      </w:r>
    </w:p>
  </w:footnote>
  <w:footnote w:id="6">
    <w:p w14:paraId="591E9508" w14:textId="6C3FF66B" w:rsidR="00F268C7" w:rsidRDefault="00F268C7">
      <w:pPr>
        <w:pStyle w:val="FootnoteText"/>
      </w:pPr>
      <w:r>
        <w:rPr>
          <w:rStyle w:val="FootnoteReference"/>
        </w:rPr>
        <w:footnoteRef/>
      </w:r>
      <w:r w:rsidR="006C7F56">
        <w:rPr>
          <w:rtl/>
        </w:rPr>
        <w:t xml:space="preserve"> </w:t>
      </w:r>
      <w:r w:rsidR="000F1F03">
        <w:rPr>
          <w:rtl/>
        </w:rPr>
        <w:tab/>
      </w:r>
      <w:proofErr w:type="spellStart"/>
      <w:r w:rsidRPr="00F268C7">
        <w:rPr>
          <w:rFonts w:hint="eastAsia"/>
          <w:rtl/>
        </w:rPr>
        <w:t>שו</w:t>
      </w:r>
      <w:r w:rsidRPr="00F268C7">
        <w:rPr>
          <w:rtl/>
        </w:rPr>
        <w:t>"</w:t>
      </w:r>
      <w:r w:rsidRPr="00F268C7">
        <w:rPr>
          <w:rFonts w:hint="eastAsia"/>
          <w:rtl/>
        </w:rPr>
        <w:t>ע</w:t>
      </w:r>
      <w:proofErr w:type="spellEnd"/>
      <w:r w:rsidRPr="00F268C7">
        <w:rPr>
          <w:rtl/>
        </w:rPr>
        <w:t xml:space="preserve"> </w:t>
      </w:r>
      <w:r w:rsidRPr="00F268C7">
        <w:rPr>
          <w:rFonts w:hint="eastAsia"/>
          <w:rtl/>
        </w:rPr>
        <w:t>סימן</w:t>
      </w:r>
      <w:r w:rsidRPr="00F268C7">
        <w:rPr>
          <w:rtl/>
        </w:rPr>
        <w:t xml:space="preserve"> </w:t>
      </w:r>
      <w:proofErr w:type="spellStart"/>
      <w:r w:rsidRPr="00F268C7">
        <w:rPr>
          <w:rFonts w:hint="eastAsia"/>
          <w:rtl/>
        </w:rPr>
        <w:t>רפב</w:t>
      </w:r>
      <w:proofErr w:type="spellEnd"/>
    </w:p>
  </w:footnote>
  <w:footnote w:id="7">
    <w:p w14:paraId="24D71C33" w14:textId="001C5BC8" w:rsidR="00A0187E" w:rsidRDefault="00A0187E">
      <w:pPr>
        <w:pStyle w:val="FootnoteText"/>
      </w:pPr>
      <w:r>
        <w:rPr>
          <w:rStyle w:val="FootnoteReference"/>
        </w:rPr>
        <w:footnoteRef/>
      </w:r>
      <w:r w:rsidR="006C7F56">
        <w:rPr>
          <w:rtl/>
        </w:rPr>
        <w:t xml:space="preserve"> </w:t>
      </w:r>
      <w:r w:rsidR="000F1F03">
        <w:rPr>
          <w:rtl/>
        </w:rPr>
        <w:tab/>
      </w:r>
      <w:r w:rsidRPr="00A0187E">
        <w:rPr>
          <w:rFonts w:hint="eastAsia"/>
          <w:rtl/>
        </w:rPr>
        <w:t>עליית</w:t>
      </w:r>
      <w:r w:rsidRPr="00A0187E">
        <w:rPr>
          <w:rtl/>
        </w:rPr>
        <w:t xml:space="preserve"> </w:t>
      </w:r>
      <w:r w:rsidRPr="00A0187E">
        <w:rPr>
          <w:rFonts w:hint="eastAsia"/>
          <w:rtl/>
        </w:rPr>
        <w:t>נשים</w:t>
      </w:r>
      <w:r w:rsidRPr="00A0187E">
        <w:rPr>
          <w:rtl/>
        </w:rPr>
        <w:t xml:space="preserve"> </w:t>
      </w:r>
      <w:r w:rsidRPr="00A0187E">
        <w:rPr>
          <w:rFonts w:hint="eastAsia"/>
          <w:rtl/>
        </w:rPr>
        <w:t>לתורה</w:t>
      </w:r>
      <w:r w:rsidRPr="00A0187E">
        <w:rPr>
          <w:rtl/>
        </w:rPr>
        <w:t xml:space="preserve">, </w:t>
      </w:r>
      <w:r w:rsidRPr="00A0187E">
        <w:rPr>
          <w:rFonts w:hint="eastAsia"/>
          <w:rtl/>
        </w:rPr>
        <w:t>״שאל</w:t>
      </w:r>
      <w:r w:rsidRPr="00A0187E">
        <w:rPr>
          <w:rtl/>
        </w:rPr>
        <w:t xml:space="preserve"> </w:t>
      </w:r>
      <w:r w:rsidRPr="00A0187E">
        <w:rPr>
          <w:rFonts w:hint="eastAsia"/>
          <w:rtl/>
        </w:rPr>
        <w:t>את</w:t>
      </w:r>
      <w:r w:rsidRPr="00A0187E">
        <w:rPr>
          <w:rtl/>
        </w:rPr>
        <w:t xml:space="preserve"> </w:t>
      </w:r>
      <w:r w:rsidRPr="00A0187E">
        <w:rPr>
          <w:rFonts w:hint="eastAsia"/>
          <w:rtl/>
        </w:rPr>
        <w:t>הרב״</w:t>
      </w:r>
      <w:r w:rsidRPr="00A0187E">
        <w:rPr>
          <w:rtl/>
        </w:rPr>
        <w:t xml:space="preserve"> </w:t>
      </w:r>
      <w:r w:rsidRPr="00A0187E">
        <w:rPr>
          <w:rFonts w:hint="eastAsia"/>
          <w:rtl/>
        </w:rPr>
        <w:t>צוות</w:t>
      </w:r>
      <w:r w:rsidRPr="00A0187E">
        <w:rPr>
          <w:rtl/>
        </w:rPr>
        <w:t xml:space="preserve"> </w:t>
      </w:r>
      <w:r w:rsidRPr="00A0187E">
        <w:rPr>
          <w:rFonts w:hint="eastAsia"/>
          <w:rtl/>
        </w:rPr>
        <w:t>ישיבת</w:t>
      </w:r>
      <w:r w:rsidRPr="00A0187E">
        <w:rPr>
          <w:rtl/>
        </w:rPr>
        <w:t xml:space="preserve"> </w:t>
      </w:r>
      <w:r w:rsidRPr="00A0187E">
        <w:rPr>
          <w:rFonts w:hint="eastAsia"/>
          <w:rtl/>
        </w:rPr>
        <w:t>צפת</w:t>
      </w:r>
      <w:r w:rsidRPr="00A0187E">
        <w:rPr>
          <w:rtl/>
        </w:rPr>
        <w:t xml:space="preserve"> (</w:t>
      </w:r>
      <w:r w:rsidRPr="00A0187E">
        <w:rPr>
          <w:rFonts w:hint="eastAsia"/>
          <w:rtl/>
        </w:rPr>
        <w:t>התשס״ו</w:t>
      </w:r>
      <w:r w:rsidRPr="00A0187E">
        <w:rPr>
          <w:rtl/>
        </w:rPr>
        <w:t>).</w:t>
      </w:r>
    </w:p>
  </w:footnote>
  <w:footnote w:id="8">
    <w:p w14:paraId="0CE14050" w14:textId="53C22671" w:rsidR="00F02FFA" w:rsidRDefault="00F02FFA">
      <w:pPr>
        <w:pStyle w:val="FootnoteText"/>
      </w:pPr>
      <w:r>
        <w:rPr>
          <w:rStyle w:val="FootnoteReference"/>
        </w:rPr>
        <w:footnoteRef/>
      </w:r>
      <w:r w:rsidR="006C7F56">
        <w:rPr>
          <w:rtl/>
        </w:rPr>
        <w:t xml:space="preserve"> </w:t>
      </w:r>
      <w:r w:rsidR="000F1F03">
        <w:rPr>
          <w:rtl/>
        </w:rPr>
        <w:tab/>
      </w:r>
      <w:r w:rsidRPr="00F02FFA">
        <w:rPr>
          <w:rFonts w:hint="eastAsia"/>
          <w:rtl/>
        </w:rPr>
        <w:t>בנושא</w:t>
      </w:r>
      <w:r w:rsidRPr="00F02FFA">
        <w:rPr>
          <w:rtl/>
        </w:rPr>
        <w:t xml:space="preserve"> </w:t>
      </w:r>
      <w:r w:rsidRPr="00F02FFA">
        <w:rPr>
          <w:rFonts w:hint="eastAsia"/>
          <w:rtl/>
        </w:rPr>
        <w:t>זה</w:t>
      </w:r>
      <w:r w:rsidRPr="00F02FFA">
        <w:rPr>
          <w:rtl/>
        </w:rPr>
        <w:t xml:space="preserve"> </w:t>
      </w:r>
      <w:r w:rsidRPr="00F02FFA">
        <w:rPr>
          <w:rFonts w:hint="eastAsia"/>
          <w:rtl/>
        </w:rPr>
        <w:t>דנו</w:t>
      </w:r>
      <w:r w:rsidRPr="00F02FFA">
        <w:rPr>
          <w:rtl/>
        </w:rPr>
        <w:t xml:space="preserve"> </w:t>
      </w:r>
      <w:r w:rsidRPr="00F02FFA">
        <w:rPr>
          <w:rFonts w:hint="eastAsia"/>
          <w:rtl/>
        </w:rPr>
        <w:t>רבים</w:t>
      </w:r>
      <w:r w:rsidRPr="00F02FFA">
        <w:rPr>
          <w:rtl/>
        </w:rPr>
        <w:t xml:space="preserve"> </w:t>
      </w:r>
      <w:r w:rsidRPr="00F02FFA">
        <w:rPr>
          <w:rFonts w:hint="eastAsia"/>
          <w:rtl/>
        </w:rPr>
        <w:t>מאחרוני</w:t>
      </w:r>
      <w:r w:rsidRPr="00F02FFA">
        <w:rPr>
          <w:rtl/>
        </w:rPr>
        <w:t xml:space="preserve"> </w:t>
      </w:r>
      <w:r w:rsidRPr="00F02FFA">
        <w:rPr>
          <w:rFonts w:hint="eastAsia"/>
          <w:rtl/>
        </w:rPr>
        <w:t>האחרונים</w:t>
      </w:r>
      <w:r w:rsidRPr="00F02FFA">
        <w:rPr>
          <w:rtl/>
        </w:rPr>
        <w:t xml:space="preserve">, </w:t>
      </w:r>
      <w:r w:rsidRPr="00F02FFA">
        <w:rPr>
          <w:rFonts w:hint="eastAsia"/>
          <w:rtl/>
        </w:rPr>
        <w:t>מנחת</w:t>
      </w:r>
      <w:r w:rsidRPr="00F02FFA">
        <w:rPr>
          <w:rtl/>
        </w:rPr>
        <w:t xml:space="preserve"> </w:t>
      </w:r>
      <w:r w:rsidRPr="00F02FFA">
        <w:rPr>
          <w:rFonts w:hint="eastAsia"/>
          <w:rtl/>
        </w:rPr>
        <w:t>אשר</w:t>
      </w:r>
      <w:r w:rsidRPr="00F02FFA">
        <w:rPr>
          <w:rtl/>
        </w:rPr>
        <w:t xml:space="preserve"> (</w:t>
      </w:r>
      <w:r w:rsidRPr="00F02FFA">
        <w:rPr>
          <w:rFonts w:hint="eastAsia"/>
          <w:rtl/>
        </w:rPr>
        <w:t>פ״ש</w:t>
      </w:r>
      <w:r w:rsidRPr="00F02FFA">
        <w:rPr>
          <w:rtl/>
        </w:rPr>
        <w:t xml:space="preserve"> </w:t>
      </w:r>
      <w:r w:rsidRPr="00F02FFA">
        <w:rPr>
          <w:rFonts w:hint="eastAsia"/>
          <w:rtl/>
        </w:rPr>
        <w:t>אחרי</w:t>
      </w:r>
      <w:r w:rsidRPr="00F02FFA">
        <w:rPr>
          <w:rtl/>
        </w:rPr>
        <w:t xml:space="preserve"> </w:t>
      </w:r>
      <w:r w:rsidRPr="00F02FFA">
        <w:rPr>
          <w:rFonts w:hint="eastAsia"/>
          <w:rtl/>
        </w:rPr>
        <w:t>מות</w:t>
      </w:r>
      <w:r w:rsidRPr="00F02FFA">
        <w:rPr>
          <w:rtl/>
        </w:rPr>
        <w:t xml:space="preserve">: </w:t>
      </w:r>
      <w:r w:rsidRPr="00F02FFA">
        <w:rPr>
          <w:rFonts w:hint="eastAsia"/>
          <w:rtl/>
        </w:rPr>
        <w:t>ובחוקותיהם</w:t>
      </w:r>
      <w:r w:rsidRPr="00F02FFA">
        <w:rPr>
          <w:rtl/>
        </w:rPr>
        <w:t xml:space="preserve"> </w:t>
      </w:r>
      <w:r w:rsidRPr="00F02FFA">
        <w:rPr>
          <w:rFonts w:hint="eastAsia"/>
          <w:rtl/>
        </w:rPr>
        <w:t>לא</w:t>
      </w:r>
      <w:r w:rsidRPr="00F02FFA">
        <w:rPr>
          <w:rtl/>
        </w:rPr>
        <w:t xml:space="preserve"> </w:t>
      </w:r>
      <w:r w:rsidRPr="00F02FFA">
        <w:rPr>
          <w:rFonts w:hint="eastAsia"/>
          <w:rtl/>
        </w:rPr>
        <w:t>תלכו</w:t>
      </w:r>
      <w:r w:rsidRPr="00F02FFA">
        <w:rPr>
          <w:rtl/>
        </w:rPr>
        <w:t xml:space="preserve">), </w:t>
      </w:r>
      <w:r w:rsidRPr="00F02FFA">
        <w:rPr>
          <w:rFonts w:hint="eastAsia"/>
          <w:rtl/>
        </w:rPr>
        <w:t>פניני</w:t>
      </w:r>
      <w:r w:rsidRPr="00F02FFA">
        <w:rPr>
          <w:rtl/>
        </w:rPr>
        <w:t xml:space="preserve"> </w:t>
      </w:r>
      <w:r w:rsidRPr="00F02FFA">
        <w:rPr>
          <w:rFonts w:hint="eastAsia"/>
          <w:rtl/>
        </w:rPr>
        <w:t>הלכה</w:t>
      </w:r>
      <w:r w:rsidRPr="00F02FFA">
        <w:rPr>
          <w:rtl/>
        </w:rPr>
        <w:t xml:space="preserve">: </w:t>
      </w:r>
      <w:r w:rsidRPr="00F02FFA">
        <w:rPr>
          <w:rFonts w:hint="eastAsia"/>
          <w:rtl/>
        </w:rPr>
        <w:t>חוקות</w:t>
      </w:r>
      <w:r w:rsidRPr="00F02FFA">
        <w:rPr>
          <w:rtl/>
        </w:rPr>
        <w:t xml:space="preserve"> </w:t>
      </w:r>
      <w:r w:rsidRPr="00F02FFA">
        <w:rPr>
          <w:rFonts w:hint="eastAsia"/>
          <w:rtl/>
        </w:rPr>
        <w:t>הגויים</w:t>
      </w:r>
      <w:r w:rsidRPr="00F02FFA">
        <w:rPr>
          <w:rtl/>
        </w:rPr>
        <w:t xml:space="preserve"> </w:t>
      </w:r>
      <w:r w:rsidRPr="00F02FFA">
        <w:rPr>
          <w:rFonts w:hint="eastAsia"/>
          <w:rtl/>
        </w:rPr>
        <w:t>פרק</w:t>
      </w:r>
      <w:r w:rsidRPr="00F02FFA">
        <w:rPr>
          <w:rtl/>
        </w:rPr>
        <w:t xml:space="preserve"> </w:t>
      </w:r>
      <w:r w:rsidRPr="00F02FFA">
        <w:rPr>
          <w:rFonts w:hint="eastAsia"/>
          <w:rtl/>
        </w:rPr>
        <w:t>כח</w:t>
      </w:r>
      <w:r w:rsidRPr="00F02FFA">
        <w:rPr>
          <w:rtl/>
        </w:rPr>
        <w:t xml:space="preserve">, </w:t>
      </w:r>
      <w:r w:rsidRPr="00F02FFA">
        <w:rPr>
          <w:rFonts w:hint="eastAsia"/>
          <w:rtl/>
        </w:rPr>
        <w:t>ועוד</w:t>
      </w:r>
      <w:r w:rsidRPr="00F02FFA">
        <w:rPr>
          <w:rtl/>
        </w:rPr>
        <w:t xml:space="preserve">. </w:t>
      </w:r>
      <w:r w:rsidRPr="00F02FFA">
        <w:rPr>
          <w:rFonts w:hint="eastAsia"/>
          <w:rtl/>
        </w:rPr>
        <w:t>הבעיה</w:t>
      </w:r>
      <w:r w:rsidRPr="00F02FFA">
        <w:rPr>
          <w:rtl/>
        </w:rPr>
        <w:t xml:space="preserve"> </w:t>
      </w:r>
      <w:r w:rsidRPr="00F02FFA">
        <w:rPr>
          <w:rFonts w:hint="eastAsia"/>
          <w:rtl/>
        </w:rPr>
        <w:t>העיקרית</w:t>
      </w:r>
      <w:r w:rsidRPr="00F02FFA">
        <w:rPr>
          <w:rtl/>
        </w:rPr>
        <w:t xml:space="preserve"> </w:t>
      </w:r>
      <w:r w:rsidRPr="00F02FFA">
        <w:rPr>
          <w:rFonts w:hint="eastAsia"/>
          <w:rtl/>
        </w:rPr>
        <w:t>היא</w:t>
      </w:r>
      <w:r w:rsidRPr="00F02FFA">
        <w:rPr>
          <w:rtl/>
        </w:rPr>
        <w:t xml:space="preserve"> </w:t>
      </w:r>
      <w:r w:rsidRPr="00F02FFA">
        <w:rPr>
          <w:rFonts w:hint="eastAsia"/>
          <w:rtl/>
        </w:rPr>
        <w:t>שאיסור</w:t>
      </w:r>
      <w:r w:rsidRPr="00F02FFA">
        <w:rPr>
          <w:rtl/>
        </w:rPr>
        <w:t xml:space="preserve"> </w:t>
      </w:r>
      <w:r w:rsidRPr="00F02FFA">
        <w:rPr>
          <w:rFonts w:hint="eastAsia"/>
          <w:rtl/>
        </w:rPr>
        <w:t>זה</w:t>
      </w:r>
      <w:r w:rsidRPr="00F02FFA">
        <w:rPr>
          <w:rtl/>
        </w:rPr>
        <w:t xml:space="preserve"> </w:t>
      </w:r>
      <w:r w:rsidRPr="00F02FFA">
        <w:rPr>
          <w:rFonts w:hint="eastAsia"/>
          <w:rtl/>
        </w:rPr>
        <w:t>נאמר</w:t>
      </w:r>
      <w:r w:rsidRPr="00F02FFA">
        <w:rPr>
          <w:rtl/>
        </w:rPr>
        <w:t xml:space="preserve"> </w:t>
      </w:r>
      <w:r w:rsidRPr="00F02FFA">
        <w:rPr>
          <w:rFonts w:hint="eastAsia"/>
          <w:rtl/>
        </w:rPr>
        <w:t>רק</w:t>
      </w:r>
      <w:r w:rsidRPr="00F02FFA">
        <w:rPr>
          <w:rtl/>
        </w:rPr>
        <w:t xml:space="preserve"> </w:t>
      </w:r>
      <w:r w:rsidRPr="00F02FFA">
        <w:rPr>
          <w:rFonts w:hint="eastAsia"/>
          <w:rtl/>
        </w:rPr>
        <w:t>בהקשר</w:t>
      </w:r>
      <w:r w:rsidRPr="00F02FFA">
        <w:rPr>
          <w:rtl/>
        </w:rPr>
        <w:t xml:space="preserve"> </w:t>
      </w:r>
      <w:r w:rsidRPr="00F02FFA">
        <w:rPr>
          <w:rFonts w:hint="eastAsia"/>
          <w:rtl/>
        </w:rPr>
        <w:t>של</w:t>
      </w:r>
      <w:r w:rsidRPr="00F02FFA">
        <w:rPr>
          <w:rtl/>
        </w:rPr>
        <w:t xml:space="preserve"> </w:t>
      </w:r>
      <w:r w:rsidRPr="00F02FFA">
        <w:rPr>
          <w:rFonts w:hint="eastAsia"/>
          <w:rtl/>
        </w:rPr>
        <w:t>גויים</w:t>
      </w:r>
      <w:r w:rsidRPr="00F02FFA">
        <w:rPr>
          <w:rtl/>
        </w:rPr>
        <w:t xml:space="preserve"> </w:t>
      </w:r>
      <w:r w:rsidRPr="00F02FFA">
        <w:rPr>
          <w:rFonts w:hint="eastAsia"/>
          <w:rtl/>
        </w:rPr>
        <w:t>של</w:t>
      </w:r>
      <w:r w:rsidRPr="00F02FFA">
        <w:rPr>
          <w:rtl/>
        </w:rPr>
        <w:t xml:space="preserve"> </w:t>
      </w:r>
      <w:r w:rsidRPr="00F02FFA">
        <w:rPr>
          <w:rFonts w:hint="eastAsia"/>
          <w:rtl/>
        </w:rPr>
        <w:t>ממש</w:t>
      </w:r>
      <w:r w:rsidRPr="00F02FFA">
        <w:rPr>
          <w:rtl/>
        </w:rPr>
        <w:t xml:space="preserve">, </w:t>
      </w:r>
      <w:r w:rsidRPr="00F02FFA">
        <w:rPr>
          <w:rFonts w:hint="eastAsia"/>
          <w:rtl/>
        </w:rPr>
        <w:t>ומשום</w:t>
      </w:r>
      <w:r w:rsidRPr="00F02FFA">
        <w:rPr>
          <w:rtl/>
        </w:rPr>
        <w:t xml:space="preserve"> </w:t>
      </w:r>
      <w:r w:rsidRPr="00F02FFA">
        <w:rPr>
          <w:rFonts w:hint="eastAsia"/>
          <w:rtl/>
        </w:rPr>
        <w:t>שאיני</w:t>
      </w:r>
      <w:r w:rsidRPr="00F02FFA">
        <w:rPr>
          <w:rtl/>
        </w:rPr>
        <w:t xml:space="preserve"> </w:t>
      </w:r>
      <w:r w:rsidRPr="00F02FFA">
        <w:rPr>
          <w:rFonts w:hint="eastAsia"/>
          <w:rtl/>
        </w:rPr>
        <w:t>רואה</w:t>
      </w:r>
      <w:r w:rsidRPr="00F02FFA">
        <w:rPr>
          <w:rtl/>
        </w:rPr>
        <w:t xml:space="preserve"> </w:t>
      </w:r>
      <w:r w:rsidRPr="00F02FFA">
        <w:rPr>
          <w:rFonts w:hint="eastAsia"/>
          <w:rtl/>
        </w:rPr>
        <w:t>בתנועה</w:t>
      </w:r>
      <w:r w:rsidRPr="00F02FFA">
        <w:rPr>
          <w:rtl/>
        </w:rPr>
        <w:t xml:space="preserve"> </w:t>
      </w:r>
      <w:r w:rsidRPr="00F02FFA">
        <w:rPr>
          <w:rFonts w:hint="eastAsia"/>
          <w:rtl/>
        </w:rPr>
        <w:t>הקונסרבטיבית</w:t>
      </w:r>
      <w:r w:rsidRPr="00F02FFA">
        <w:rPr>
          <w:rtl/>
        </w:rPr>
        <w:t xml:space="preserve"> </w:t>
      </w:r>
      <w:r w:rsidRPr="00F02FFA">
        <w:rPr>
          <w:rFonts w:hint="eastAsia"/>
          <w:rtl/>
        </w:rPr>
        <w:t>כגויים</w:t>
      </w:r>
      <w:r w:rsidRPr="00F02FFA">
        <w:rPr>
          <w:rtl/>
        </w:rPr>
        <w:t xml:space="preserve"> (</w:t>
      </w:r>
      <w:r w:rsidRPr="00F02FFA">
        <w:rPr>
          <w:rFonts w:hint="eastAsia"/>
          <w:rtl/>
        </w:rPr>
        <w:t>למרות</w:t>
      </w:r>
      <w:r w:rsidRPr="00F02FFA">
        <w:rPr>
          <w:rtl/>
        </w:rPr>
        <w:t xml:space="preserve"> </w:t>
      </w:r>
      <w:r w:rsidRPr="00F02FFA">
        <w:rPr>
          <w:rFonts w:hint="eastAsia"/>
          <w:rtl/>
        </w:rPr>
        <w:t>שאורתודוקסים</w:t>
      </w:r>
      <w:r w:rsidRPr="00F02FFA">
        <w:rPr>
          <w:rtl/>
        </w:rPr>
        <w:t xml:space="preserve"> </w:t>
      </w:r>
      <w:r w:rsidRPr="00F02FFA">
        <w:rPr>
          <w:rFonts w:hint="eastAsia"/>
          <w:rtl/>
        </w:rPr>
        <w:t>רבים</w:t>
      </w:r>
      <w:r w:rsidRPr="00F02FFA">
        <w:rPr>
          <w:rtl/>
        </w:rPr>
        <w:t xml:space="preserve"> </w:t>
      </w:r>
      <w:r w:rsidRPr="00F02FFA">
        <w:rPr>
          <w:rFonts w:hint="eastAsia"/>
          <w:rtl/>
        </w:rPr>
        <w:t>כן</w:t>
      </w:r>
      <w:r w:rsidRPr="00F02FFA">
        <w:rPr>
          <w:rtl/>
        </w:rPr>
        <w:t xml:space="preserve">), </w:t>
      </w:r>
      <w:r w:rsidRPr="00F02FFA">
        <w:rPr>
          <w:rFonts w:hint="eastAsia"/>
          <w:rtl/>
        </w:rPr>
        <w:t>טענה</w:t>
      </w:r>
      <w:r w:rsidRPr="00F02FFA">
        <w:rPr>
          <w:rtl/>
        </w:rPr>
        <w:t xml:space="preserve"> </w:t>
      </w:r>
      <w:r w:rsidRPr="00F02FFA">
        <w:rPr>
          <w:rFonts w:hint="eastAsia"/>
          <w:rtl/>
        </w:rPr>
        <w:t>זו</w:t>
      </w:r>
      <w:r w:rsidRPr="00F02FFA">
        <w:rPr>
          <w:rtl/>
        </w:rPr>
        <w:t xml:space="preserve"> </w:t>
      </w:r>
      <w:r w:rsidRPr="00F02FFA">
        <w:rPr>
          <w:rFonts w:hint="eastAsia"/>
          <w:rtl/>
        </w:rPr>
        <w:t>של</w:t>
      </w:r>
      <w:r w:rsidRPr="00F02FFA">
        <w:rPr>
          <w:rtl/>
        </w:rPr>
        <w:t xml:space="preserve"> </w:t>
      </w:r>
      <w:r w:rsidRPr="00F02FFA">
        <w:rPr>
          <w:rFonts w:hint="eastAsia"/>
          <w:rtl/>
        </w:rPr>
        <w:t>איסור</w:t>
      </w:r>
      <w:r w:rsidRPr="00F02FFA">
        <w:rPr>
          <w:rtl/>
        </w:rPr>
        <w:t xml:space="preserve"> </w:t>
      </w:r>
      <w:r w:rsidRPr="00F02FFA">
        <w:rPr>
          <w:rFonts w:hint="eastAsia"/>
          <w:rtl/>
        </w:rPr>
        <w:t>הידמות</w:t>
      </w:r>
      <w:r w:rsidRPr="00F02FFA">
        <w:rPr>
          <w:rtl/>
        </w:rPr>
        <w:t xml:space="preserve"> </w:t>
      </w:r>
      <w:r w:rsidRPr="00F02FFA">
        <w:rPr>
          <w:rFonts w:hint="eastAsia"/>
          <w:rtl/>
        </w:rPr>
        <w:t>לגויים</w:t>
      </w:r>
      <w:r w:rsidRPr="00F02FFA">
        <w:rPr>
          <w:rtl/>
        </w:rPr>
        <w:t xml:space="preserve"> </w:t>
      </w:r>
      <w:r w:rsidRPr="00F02FFA">
        <w:rPr>
          <w:rFonts w:hint="eastAsia"/>
          <w:rtl/>
        </w:rPr>
        <w:t>לא</w:t>
      </w:r>
      <w:r w:rsidRPr="00F02FFA">
        <w:rPr>
          <w:rtl/>
        </w:rPr>
        <w:t xml:space="preserve"> </w:t>
      </w:r>
      <w:r w:rsidRPr="00F02FFA">
        <w:rPr>
          <w:rFonts w:hint="eastAsia"/>
          <w:rtl/>
        </w:rPr>
        <w:t>רלוונטית</w:t>
      </w:r>
      <w:r w:rsidRPr="00F02FFA">
        <w:rPr>
          <w:rtl/>
        </w:rPr>
        <w:t xml:space="preserve"> </w:t>
      </w:r>
      <w:r w:rsidRPr="00F02FFA">
        <w:rPr>
          <w:rFonts w:hint="eastAsia"/>
          <w:rtl/>
        </w:rPr>
        <w:t>כאן</w:t>
      </w:r>
      <w:r w:rsidRPr="00F02FFA">
        <w:rPr>
          <w:rtl/>
        </w:rPr>
        <w:t xml:space="preserve"> </w:t>
      </w:r>
      <w:r w:rsidRPr="00F02FFA">
        <w:rPr>
          <w:rFonts w:hint="eastAsia"/>
          <w:rtl/>
        </w:rPr>
        <w:t>בכלל</w:t>
      </w:r>
      <w:r w:rsidRPr="00F02FFA">
        <w:rPr>
          <w:rtl/>
        </w:rPr>
        <w:t xml:space="preserve">, </w:t>
      </w:r>
      <w:r w:rsidRPr="00F02FFA">
        <w:rPr>
          <w:rFonts w:hint="eastAsia"/>
          <w:rtl/>
        </w:rPr>
        <w:t>והיא</w:t>
      </w:r>
      <w:r w:rsidRPr="00F02FFA">
        <w:rPr>
          <w:rtl/>
        </w:rPr>
        <w:t xml:space="preserve"> </w:t>
      </w:r>
      <w:r w:rsidRPr="00F02FFA">
        <w:rPr>
          <w:rFonts w:hint="eastAsia"/>
          <w:rtl/>
        </w:rPr>
        <w:t>משומשת</w:t>
      </w:r>
      <w:r w:rsidRPr="00F02FFA">
        <w:rPr>
          <w:rtl/>
        </w:rPr>
        <w:t xml:space="preserve"> </w:t>
      </w:r>
      <w:r w:rsidRPr="00F02FFA">
        <w:rPr>
          <w:rFonts w:hint="eastAsia"/>
          <w:rtl/>
        </w:rPr>
        <w:t>בתור</w:t>
      </w:r>
      <w:r w:rsidRPr="00F02FFA">
        <w:rPr>
          <w:rtl/>
        </w:rPr>
        <w:t xml:space="preserve"> "</w:t>
      </w:r>
      <w:r w:rsidRPr="00F02FFA">
        <w:rPr>
          <w:rFonts w:hint="eastAsia"/>
          <w:rtl/>
        </w:rPr>
        <w:t>שעיר</w:t>
      </w:r>
      <w:r w:rsidRPr="00F02FFA">
        <w:rPr>
          <w:rtl/>
        </w:rPr>
        <w:t xml:space="preserve"> </w:t>
      </w:r>
      <w:r w:rsidR="006C7F56" w:rsidRPr="00F02FFA">
        <w:rPr>
          <w:rFonts w:hint="cs"/>
          <w:rtl/>
        </w:rPr>
        <w:t>לעזאזל</w:t>
      </w:r>
      <w:r w:rsidRPr="00F02FFA">
        <w:rPr>
          <w:rFonts w:hint="eastAsia"/>
          <w:rtl/>
        </w:rPr>
        <w:t>״</w:t>
      </w:r>
      <w:r w:rsidRPr="00F02FFA">
        <w:rPr>
          <w:rtl/>
        </w:rPr>
        <w:t xml:space="preserve"> </w:t>
      </w:r>
      <w:r w:rsidRPr="00F02FFA">
        <w:rPr>
          <w:rFonts w:hint="eastAsia"/>
          <w:rtl/>
        </w:rPr>
        <w:t>ומה</w:t>
      </w:r>
      <w:r w:rsidRPr="00F02FFA">
        <w:rPr>
          <w:rtl/>
        </w:rPr>
        <w:t xml:space="preserve"> </w:t>
      </w:r>
      <w:r w:rsidRPr="00F02FFA">
        <w:rPr>
          <w:rFonts w:hint="eastAsia"/>
          <w:rtl/>
        </w:rPr>
        <w:t>שהוא</w:t>
      </w:r>
      <w:r w:rsidRPr="00F02FFA">
        <w:rPr>
          <w:rtl/>
        </w:rPr>
        <w:t xml:space="preserve"> </w:t>
      </w:r>
      <w:r w:rsidRPr="00F02FFA">
        <w:rPr>
          <w:rFonts w:hint="eastAsia"/>
          <w:rtl/>
        </w:rPr>
        <w:t>באמת</w:t>
      </w:r>
      <w:r w:rsidRPr="00F02FFA">
        <w:rPr>
          <w:rtl/>
        </w:rPr>
        <w:t xml:space="preserve"> </w:t>
      </w:r>
      <w:r w:rsidRPr="00F02FFA">
        <w:rPr>
          <w:rFonts w:hint="eastAsia"/>
          <w:rtl/>
        </w:rPr>
        <w:t>רוצה</w:t>
      </w:r>
      <w:r w:rsidRPr="00F02FFA">
        <w:rPr>
          <w:rtl/>
        </w:rPr>
        <w:t xml:space="preserve"> </w:t>
      </w:r>
      <w:r w:rsidRPr="00F02FFA">
        <w:rPr>
          <w:rFonts w:hint="eastAsia"/>
          <w:rtl/>
        </w:rPr>
        <w:t>לעשות</w:t>
      </w:r>
      <w:r w:rsidRPr="00F02FFA">
        <w:rPr>
          <w:rtl/>
        </w:rPr>
        <w:t xml:space="preserve"> </w:t>
      </w:r>
      <w:r w:rsidRPr="00F02FFA">
        <w:rPr>
          <w:rFonts w:hint="eastAsia"/>
          <w:rtl/>
        </w:rPr>
        <w:t>זה</w:t>
      </w:r>
      <w:r w:rsidRPr="00F02FFA">
        <w:rPr>
          <w:rtl/>
        </w:rPr>
        <w:t xml:space="preserve"> </w:t>
      </w:r>
      <w:r w:rsidRPr="00F02FFA">
        <w:rPr>
          <w:rFonts w:hint="eastAsia"/>
          <w:rtl/>
        </w:rPr>
        <w:t>פשוט</w:t>
      </w:r>
      <w:r w:rsidRPr="00F02FFA">
        <w:rPr>
          <w:rtl/>
        </w:rPr>
        <w:t xml:space="preserve"> </w:t>
      </w:r>
      <w:r w:rsidRPr="00F02FFA">
        <w:rPr>
          <w:rFonts w:hint="eastAsia"/>
          <w:rtl/>
        </w:rPr>
        <w:t>למצוא</w:t>
      </w:r>
      <w:r w:rsidRPr="00F02FFA">
        <w:rPr>
          <w:rtl/>
        </w:rPr>
        <w:t xml:space="preserve"> </w:t>
      </w:r>
      <w:r w:rsidRPr="00F02FFA">
        <w:rPr>
          <w:rFonts w:hint="eastAsia"/>
          <w:rtl/>
        </w:rPr>
        <w:t>דרך</w:t>
      </w:r>
      <w:r w:rsidRPr="00F02FFA">
        <w:rPr>
          <w:rtl/>
        </w:rPr>
        <w:t xml:space="preserve"> </w:t>
      </w:r>
      <w:r w:rsidRPr="00F02FFA">
        <w:rPr>
          <w:rFonts w:hint="eastAsia"/>
          <w:rtl/>
        </w:rPr>
        <w:t>לדחות</w:t>
      </w:r>
      <w:r w:rsidRPr="00F02FFA">
        <w:rPr>
          <w:rtl/>
        </w:rPr>
        <w:t xml:space="preserve"> </w:t>
      </w:r>
      <w:r w:rsidRPr="00F02FFA">
        <w:rPr>
          <w:rFonts w:hint="eastAsia"/>
          <w:rtl/>
        </w:rPr>
        <w:t>את</w:t>
      </w:r>
      <w:r w:rsidRPr="00F02FFA">
        <w:rPr>
          <w:rtl/>
        </w:rPr>
        <w:t xml:space="preserve"> </w:t>
      </w:r>
      <w:r w:rsidRPr="00F02FFA">
        <w:rPr>
          <w:rFonts w:hint="eastAsia"/>
          <w:rtl/>
        </w:rPr>
        <w:t>הפסיקה</w:t>
      </w:r>
      <w:r w:rsidRPr="00F02FFA">
        <w:rPr>
          <w:rtl/>
        </w:rPr>
        <w:t xml:space="preserve"> </w:t>
      </w:r>
      <w:r w:rsidRPr="00F02FFA">
        <w:rPr>
          <w:rFonts w:hint="eastAsia"/>
          <w:rtl/>
        </w:rPr>
        <w:t>שהוא</w:t>
      </w:r>
      <w:r w:rsidRPr="00F02FFA">
        <w:rPr>
          <w:rtl/>
        </w:rPr>
        <w:t xml:space="preserve"> </w:t>
      </w:r>
      <w:r w:rsidRPr="00F02FFA">
        <w:rPr>
          <w:rFonts w:hint="eastAsia"/>
          <w:rtl/>
        </w:rPr>
        <w:t>לא</w:t>
      </w:r>
      <w:r w:rsidRPr="00F02FFA">
        <w:rPr>
          <w:rtl/>
        </w:rPr>
        <w:t xml:space="preserve"> </w:t>
      </w:r>
      <w:r w:rsidRPr="00F02FFA">
        <w:rPr>
          <w:rFonts w:hint="eastAsia"/>
          <w:rtl/>
        </w:rPr>
        <w:t>אוהב</w:t>
      </w:r>
      <w:r w:rsidRPr="00F02FFA">
        <w:rPr>
          <w:rtl/>
        </w:rPr>
        <w:t xml:space="preserve">. </w:t>
      </w:r>
      <w:r w:rsidRPr="00F02FFA">
        <w:rPr>
          <w:rFonts w:hint="eastAsia"/>
          <w:rtl/>
        </w:rPr>
        <w:t>אך</w:t>
      </w:r>
      <w:r w:rsidRPr="00F02FFA">
        <w:rPr>
          <w:rtl/>
        </w:rPr>
        <w:t xml:space="preserve"> </w:t>
      </w:r>
      <w:r w:rsidRPr="00F02FFA">
        <w:rPr>
          <w:rFonts w:hint="eastAsia"/>
          <w:rtl/>
        </w:rPr>
        <w:t>כל</w:t>
      </w:r>
      <w:r w:rsidRPr="00F02FFA">
        <w:rPr>
          <w:rtl/>
        </w:rPr>
        <w:t xml:space="preserve"> </w:t>
      </w:r>
      <w:r w:rsidRPr="00F02FFA">
        <w:rPr>
          <w:rFonts w:hint="eastAsia"/>
          <w:rtl/>
        </w:rPr>
        <w:t>זה</w:t>
      </w:r>
      <w:r w:rsidRPr="00F02FFA">
        <w:rPr>
          <w:rtl/>
        </w:rPr>
        <w:t xml:space="preserve"> </w:t>
      </w:r>
      <w:r w:rsidRPr="00F02FFA">
        <w:rPr>
          <w:rFonts w:hint="eastAsia"/>
          <w:rtl/>
        </w:rPr>
        <w:t>הוא</w:t>
      </w:r>
      <w:r w:rsidRPr="00F02FFA">
        <w:rPr>
          <w:rtl/>
        </w:rPr>
        <w:t xml:space="preserve"> </w:t>
      </w:r>
      <w:r w:rsidRPr="00F02FFA">
        <w:rPr>
          <w:rFonts w:hint="eastAsia"/>
          <w:rtl/>
        </w:rPr>
        <w:t>הנחה</w:t>
      </w:r>
      <w:r w:rsidRPr="00F02FFA">
        <w:rPr>
          <w:rtl/>
        </w:rPr>
        <w:t xml:space="preserve"> </w:t>
      </w:r>
      <w:r w:rsidRPr="00F02FFA">
        <w:rPr>
          <w:rFonts w:hint="eastAsia"/>
          <w:rtl/>
        </w:rPr>
        <w:t>אישית</w:t>
      </w:r>
      <w:r w:rsidRPr="00F02FFA">
        <w:rPr>
          <w:rtl/>
        </w:rPr>
        <w:t xml:space="preserve"> </w:t>
      </w:r>
      <w:r w:rsidRPr="00F02FFA">
        <w:rPr>
          <w:rFonts w:hint="eastAsia"/>
          <w:rtl/>
        </w:rPr>
        <w:t>ואין</w:t>
      </w:r>
      <w:r w:rsidRPr="00F02FFA">
        <w:rPr>
          <w:rtl/>
        </w:rPr>
        <w:t xml:space="preserve"> </w:t>
      </w:r>
      <w:r w:rsidRPr="00F02FFA">
        <w:rPr>
          <w:rFonts w:hint="eastAsia"/>
          <w:rtl/>
        </w:rPr>
        <w:t>לי</w:t>
      </w:r>
      <w:r w:rsidRPr="00F02FFA">
        <w:rPr>
          <w:rtl/>
        </w:rPr>
        <w:t xml:space="preserve"> </w:t>
      </w:r>
      <w:r w:rsidRPr="00F02FFA">
        <w:rPr>
          <w:rFonts w:hint="eastAsia"/>
          <w:rtl/>
        </w:rPr>
        <w:t>דרך</w:t>
      </w:r>
      <w:r w:rsidRPr="00F02FFA">
        <w:rPr>
          <w:rtl/>
        </w:rPr>
        <w:t xml:space="preserve"> </w:t>
      </w:r>
      <w:r w:rsidRPr="00F02FFA">
        <w:rPr>
          <w:rFonts w:hint="eastAsia"/>
          <w:rtl/>
        </w:rPr>
        <w:t>להוכיח</w:t>
      </w:r>
      <w:r w:rsidRPr="00F02FFA">
        <w:rPr>
          <w:rtl/>
        </w:rPr>
        <w:t xml:space="preserve"> </w:t>
      </w:r>
      <w:r w:rsidRPr="00F02FFA">
        <w:rPr>
          <w:rFonts w:hint="eastAsia"/>
          <w:rtl/>
        </w:rPr>
        <w:t>אותה</w:t>
      </w:r>
      <w:r w:rsidRPr="00F02FFA">
        <w:rPr>
          <w:rtl/>
        </w:rPr>
        <w:t>.</w:t>
      </w:r>
    </w:p>
  </w:footnote>
  <w:footnote w:id="9">
    <w:p w14:paraId="127482A9" w14:textId="6F46BC76" w:rsidR="004E47AE" w:rsidRDefault="004E47AE">
      <w:pPr>
        <w:pStyle w:val="FootnoteText"/>
      </w:pPr>
      <w:r>
        <w:rPr>
          <w:rStyle w:val="FootnoteReference"/>
        </w:rPr>
        <w:footnoteRef/>
      </w:r>
      <w:r>
        <w:rPr>
          <w:rtl/>
        </w:rPr>
        <w:t xml:space="preserve"> </w:t>
      </w:r>
      <w:r w:rsidR="000F1F03">
        <w:rPr>
          <w:rtl/>
        </w:rPr>
        <w:tab/>
      </w:r>
      <w:r w:rsidRPr="004E47AE">
        <w:rPr>
          <w:rFonts w:hint="eastAsia"/>
          <w:rtl/>
        </w:rPr>
        <w:t>הרב</w:t>
      </w:r>
      <w:r w:rsidRPr="004E47AE">
        <w:rPr>
          <w:rtl/>
        </w:rPr>
        <w:t xml:space="preserve"> </w:t>
      </w:r>
      <w:r w:rsidRPr="004E47AE">
        <w:rPr>
          <w:rFonts w:hint="eastAsia"/>
          <w:rtl/>
        </w:rPr>
        <w:t>דניאל</w:t>
      </w:r>
      <w:r w:rsidRPr="004E47AE">
        <w:rPr>
          <w:rtl/>
        </w:rPr>
        <w:t xml:space="preserve"> </w:t>
      </w:r>
      <w:r w:rsidRPr="004E47AE">
        <w:rPr>
          <w:rFonts w:hint="eastAsia"/>
          <w:rtl/>
        </w:rPr>
        <w:t>שפרבר</w:t>
      </w:r>
      <w:r w:rsidRPr="004E47AE">
        <w:rPr>
          <w:rtl/>
        </w:rPr>
        <w:t xml:space="preserve"> (</w:t>
      </w:r>
      <w:r w:rsidRPr="004E47AE">
        <w:rPr>
          <w:rFonts w:hint="eastAsia"/>
          <w:rtl/>
        </w:rPr>
        <w:t>נולד</w:t>
      </w:r>
      <w:r w:rsidRPr="004E47AE">
        <w:rPr>
          <w:rtl/>
        </w:rPr>
        <w:t xml:space="preserve"> </w:t>
      </w:r>
      <w:r w:rsidRPr="004E47AE">
        <w:rPr>
          <w:rFonts w:hint="eastAsia"/>
          <w:rtl/>
        </w:rPr>
        <w:t>בד</w:t>
      </w:r>
      <w:r w:rsidRPr="004E47AE">
        <w:rPr>
          <w:rtl/>
        </w:rPr>
        <w:t xml:space="preserve">' </w:t>
      </w:r>
      <w:r w:rsidRPr="004E47AE">
        <w:rPr>
          <w:rFonts w:hint="eastAsia"/>
          <w:rtl/>
        </w:rPr>
        <w:t>בחשוון</w:t>
      </w:r>
      <w:r w:rsidRPr="004E47AE">
        <w:rPr>
          <w:rtl/>
        </w:rPr>
        <w:t xml:space="preserve"> </w:t>
      </w:r>
      <w:r w:rsidRPr="004E47AE">
        <w:rPr>
          <w:rFonts w:hint="eastAsia"/>
          <w:rtl/>
        </w:rPr>
        <w:t>ה</w:t>
      </w:r>
      <w:r w:rsidRPr="004E47AE">
        <w:rPr>
          <w:rtl/>
        </w:rPr>
        <w:t>'</w:t>
      </w:r>
      <w:r w:rsidRPr="004E47AE">
        <w:rPr>
          <w:rFonts w:hint="eastAsia"/>
          <w:rtl/>
        </w:rPr>
        <w:t>תש</w:t>
      </w:r>
      <w:r w:rsidRPr="004E47AE">
        <w:rPr>
          <w:rtl/>
        </w:rPr>
        <w:t>"</w:t>
      </w:r>
      <w:r w:rsidRPr="004E47AE">
        <w:rPr>
          <w:rFonts w:hint="eastAsia"/>
          <w:rtl/>
        </w:rPr>
        <w:t>א</w:t>
      </w:r>
      <w:r w:rsidRPr="004E47AE">
        <w:rPr>
          <w:rtl/>
        </w:rPr>
        <w:t xml:space="preserve">, 4 </w:t>
      </w:r>
      <w:r w:rsidRPr="004E47AE">
        <w:rPr>
          <w:rFonts w:hint="eastAsia"/>
          <w:rtl/>
        </w:rPr>
        <w:t>בנובמבר</w:t>
      </w:r>
      <w:r w:rsidRPr="004E47AE">
        <w:rPr>
          <w:rtl/>
        </w:rPr>
        <w:t xml:space="preserve"> 1940) </w:t>
      </w:r>
      <w:r w:rsidRPr="004E47AE">
        <w:rPr>
          <w:rFonts w:hint="eastAsia"/>
          <w:rtl/>
        </w:rPr>
        <w:t>הוא</w:t>
      </w:r>
      <w:r w:rsidRPr="004E47AE">
        <w:rPr>
          <w:rtl/>
        </w:rPr>
        <w:t xml:space="preserve"> </w:t>
      </w:r>
      <w:r w:rsidRPr="004E47AE">
        <w:rPr>
          <w:rFonts w:hint="eastAsia"/>
          <w:rtl/>
        </w:rPr>
        <w:t>רב</w:t>
      </w:r>
      <w:r w:rsidRPr="004E47AE">
        <w:rPr>
          <w:rtl/>
        </w:rPr>
        <w:t xml:space="preserve"> </w:t>
      </w:r>
      <w:r w:rsidRPr="004E47AE">
        <w:rPr>
          <w:rFonts w:hint="eastAsia"/>
          <w:rtl/>
        </w:rPr>
        <w:t>אורתודוקסי</w:t>
      </w:r>
      <w:r w:rsidRPr="004E47AE">
        <w:rPr>
          <w:rtl/>
        </w:rPr>
        <w:t xml:space="preserve"> </w:t>
      </w:r>
      <w:r w:rsidRPr="004E47AE">
        <w:rPr>
          <w:rFonts w:hint="eastAsia"/>
          <w:rtl/>
        </w:rPr>
        <w:t>מודרני</w:t>
      </w:r>
      <w:r w:rsidRPr="004E47AE">
        <w:rPr>
          <w:rtl/>
        </w:rPr>
        <w:t xml:space="preserve">, </w:t>
      </w:r>
      <w:r w:rsidRPr="004E47AE">
        <w:rPr>
          <w:rFonts w:hint="eastAsia"/>
          <w:rtl/>
        </w:rPr>
        <w:t>חוקר</w:t>
      </w:r>
      <w:r w:rsidRPr="004E47AE">
        <w:rPr>
          <w:rtl/>
        </w:rPr>
        <w:t xml:space="preserve"> </w:t>
      </w:r>
      <w:r w:rsidRPr="004E47AE">
        <w:rPr>
          <w:rFonts w:hint="eastAsia"/>
          <w:rtl/>
        </w:rPr>
        <w:t>תלמוד</w:t>
      </w:r>
      <w:r w:rsidRPr="004E47AE">
        <w:rPr>
          <w:rtl/>
        </w:rPr>
        <w:t xml:space="preserve"> </w:t>
      </w:r>
      <w:r w:rsidRPr="004E47AE">
        <w:rPr>
          <w:rFonts w:hint="eastAsia"/>
          <w:rtl/>
        </w:rPr>
        <w:t>ויהדות</w:t>
      </w:r>
      <w:r w:rsidRPr="004E47AE">
        <w:rPr>
          <w:rtl/>
        </w:rPr>
        <w:t xml:space="preserve">, </w:t>
      </w:r>
      <w:r w:rsidRPr="004E47AE">
        <w:rPr>
          <w:rFonts w:hint="eastAsia"/>
          <w:rtl/>
        </w:rPr>
        <w:t>ופרופסור</w:t>
      </w:r>
      <w:r w:rsidRPr="004E47AE">
        <w:rPr>
          <w:rtl/>
        </w:rPr>
        <w:t xml:space="preserve"> </w:t>
      </w:r>
      <w:r w:rsidRPr="004E47AE">
        <w:rPr>
          <w:rFonts w:hint="eastAsia"/>
          <w:rtl/>
        </w:rPr>
        <w:t>אמריטוס</w:t>
      </w:r>
      <w:r w:rsidRPr="004E47AE">
        <w:rPr>
          <w:rtl/>
        </w:rPr>
        <w:t xml:space="preserve"> </w:t>
      </w:r>
      <w:r w:rsidRPr="004E47AE">
        <w:rPr>
          <w:rFonts w:hint="eastAsia"/>
          <w:rtl/>
        </w:rPr>
        <w:t>באוניברסיטת</w:t>
      </w:r>
      <w:r w:rsidRPr="004E47AE">
        <w:rPr>
          <w:rtl/>
        </w:rPr>
        <w:t xml:space="preserve"> </w:t>
      </w:r>
      <w:r w:rsidRPr="004E47AE">
        <w:rPr>
          <w:rFonts w:hint="eastAsia"/>
          <w:rtl/>
        </w:rPr>
        <w:t>בר</w:t>
      </w:r>
      <w:r w:rsidRPr="004E47AE">
        <w:rPr>
          <w:rtl/>
        </w:rPr>
        <w:t>-</w:t>
      </w:r>
      <w:r w:rsidRPr="004E47AE">
        <w:rPr>
          <w:rFonts w:hint="eastAsia"/>
          <w:rtl/>
        </w:rPr>
        <w:t>אילן</w:t>
      </w:r>
      <w:r w:rsidRPr="004E47AE">
        <w:rPr>
          <w:rtl/>
        </w:rPr>
        <w:t>.</w:t>
      </w:r>
    </w:p>
  </w:footnote>
  <w:footnote w:id="10">
    <w:p w14:paraId="1CC6CA14" w14:textId="55BDF10A" w:rsidR="00166CF0" w:rsidRDefault="00166CF0">
      <w:pPr>
        <w:pStyle w:val="FootnoteText"/>
      </w:pPr>
      <w:r>
        <w:rPr>
          <w:rStyle w:val="FootnoteReference"/>
        </w:rPr>
        <w:footnoteRef/>
      </w:r>
      <w:r w:rsidR="006C7F56">
        <w:rPr>
          <w:rtl/>
        </w:rPr>
        <w:t xml:space="preserve"> </w:t>
      </w:r>
      <w:r w:rsidR="000F1F03">
        <w:rPr>
          <w:rtl/>
        </w:rPr>
        <w:tab/>
      </w:r>
      <w:r w:rsidRPr="00166CF0">
        <w:rPr>
          <w:rFonts w:hint="eastAsia"/>
          <w:rtl/>
        </w:rPr>
        <w:t>כמובן</w:t>
      </w:r>
      <w:r w:rsidRPr="00166CF0">
        <w:rPr>
          <w:rtl/>
        </w:rPr>
        <w:t xml:space="preserve"> </w:t>
      </w:r>
      <w:r w:rsidRPr="00166CF0">
        <w:rPr>
          <w:rFonts w:hint="eastAsia"/>
          <w:rtl/>
        </w:rPr>
        <w:t>שבנוסף</w:t>
      </w:r>
      <w:r w:rsidRPr="00166CF0">
        <w:rPr>
          <w:rtl/>
        </w:rPr>
        <w:t xml:space="preserve"> </w:t>
      </w:r>
      <w:r w:rsidRPr="00166CF0">
        <w:rPr>
          <w:rFonts w:hint="eastAsia"/>
          <w:rtl/>
        </w:rPr>
        <w:t>לעקרון</w:t>
      </w:r>
      <w:r w:rsidRPr="00166CF0">
        <w:rPr>
          <w:rtl/>
        </w:rPr>
        <w:t xml:space="preserve"> </w:t>
      </w:r>
      <w:r w:rsidRPr="00166CF0">
        <w:rPr>
          <w:rFonts w:hint="eastAsia"/>
          <w:rtl/>
        </w:rPr>
        <w:t>״כבוד</w:t>
      </w:r>
      <w:r w:rsidRPr="00166CF0">
        <w:rPr>
          <w:rtl/>
        </w:rPr>
        <w:t xml:space="preserve"> </w:t>
      </w:r>
      <w:r w:rsidRPr="00166CF0">
        <w:rPr>
          <w:rFonts w:hint="eastAsia"/>
          <w:rtl/>
        </w:rPr>
        <w:t>הבריות״</w:t>
      </w:r>
      <w:r w:rsidRPr="00166CF0">
        <w:rPr>
          <w:rtl/>
        </w:rPr>
        <w:t xml:space="preserve"> </w:t>
      </w:r>
      <w:r w:rsidRPr="00166CF0">
        <w:rPr>
          <w:rFonts w:hint="eastAsia"/>
          <w:rtl/>
        </w:rPr>
        <w:t>ישנם</w:t>
      </w:r>
      <w:r w:rsidRPr="00166CF0">
        <w:rPr>
          <w:rtl/>
        </w:rPr>
        <w:t xml:space="preserve"> </w:t>
      </w:r>
      <w:r w:rsidRPr="00166CF0">
        <w:rPr>
          <w:rFonts w:hint="eastAsia"/>
          <w:rtl/>
        </w:rPr>
        <w:t>כלים</w:t>
      </w:r>
      <w:r w:rsidRPr="00166CF0">
        <w:rPr>
          <w:rtl/>
        </w:rPr>
        <w:t xml:space="preserve"> </w:t>
      </w:r>
      <w:r w:rsidRPr="00166CF0">
        <w:rPr>
          <w:rFonts w:hint="eastAsia"/>
          <w:rtl/>
        </w:rPr>
        <w:t>הלכתיים</w:t>
      </w:r>
      <w:r w:rsidRPr="00166CF0">
        <w:rPr>
          <w:rtl/>
        </w:rPr>
        <w:t xml:space="preserve"> </w:t>
      </w:r>
      <w:r w:rsidRPr="00166CF0">
        <w:rPr>
          <w:rFonts w:hint="eastAsia"/>
          <w:rtl/>
        </w:rPr>
        <w:t>רבים</w:t>
      </w:r>
      <w:r w:rsidRPr="00166CF0">
        <w:rPr>
          <w:rtl/>
        </w:rPr>
        <w:t xml:space="preserve"> </w:t>
      </w:r>
      <w:r w:rsidRPr="00166CF0">
        <w:rPr>
          <w:rFonts w:hint="eastAsia"/>
          <w:rtl/>
        </w:rPr>
        <w:t>ששני</w:t>
      </w:r>
      <w:r w:rsidRPr="00166CF0">
        <w:rPr>
          <w:rtl/>
        </w:rPr>
        <w:t xml:space="preserve"> </w:t>
      </w:r>
      <w:r w:rsidRPr="00166CF0">
        <w:rPr>
          <w:rFonts w:hint="eastAsia"/>
          <w:rtl/>
        </w:rPr>
        <w:t>הזרמים</w:t>
      </w:r>
      <w:r w:rsidRPr="00166CF0">
        <w:rPr>
          <w:rtl/>
        </w:rPr>
        <w:t xml:space="preserve"> </w:t>
      </w:r>
      <w:r w:rsidRPr="00166CF0">
        <w:rPr>
          <w:rFonts w:hint="eastAsia"/>
          <w:rtl/>
        </w:rPr>
        <w:t>פוסקים</w:t>
      </w:r>
      <w:r w:rsidRPr="00166CF0">
        <w:rPr>
          <w:rtl/>
        </w:rPr>
        <w:t xml:space="preserve"> </w:t>
      </w:r>
      <w:r w:rsidRPr="00166CF0">
        <w:rPr>
          <w:rFonts w:hint="eastAsia"/>
          <w:rtl/>
        </w:rPr>
        <w:t>לפיהם</w:t>
      </w:r>
      <w:r w:rsidRPr="00166CF0">
        <w:rPr>
          <w:rtl/>
        </w:rPr>
        <w:t xml:space="preserve"> </w:t>
      </w:r>
      <w:r w:rsidRPr="00166CF0">
        <w:rPr>
          <w:rFonts w:hint="eastAsia"/>
          <w:rtl/>
        </w:rPr>
        <w:t>את</w:t>
      </w:r>
      <w:r w:rsidRPr="00166CF0">
        <w:rPr>
          <w:rtl/>
        </w:rPr>
        <w:t xml:space="preserve"> </w:t>
      </w:r>
      <w:r w:rsidRPr="00166CF0">
        <w:rPr>
          <w:rFonts w:hint="eastAsia"/>
          <w:rtl/>
        </w:rPr>
        <w:t>ההלכה</w:t>
      </w:r>
      <w:r w:rsidRPr="00166CF0">
        <w:rPr>
          <w:rtl/>
        </w:rPr>
        <w:t xml:space="preserve">, </w:t>
      </w:r>
      <w:r w:rsidRPr="00166CF0">
        <w:rPr>
          <w:rFonts w:hint="eastAsia"/>
          <w:rtl/>
        </w:rPr>
        <w:t>אך</w:t>
      </w:r>
      <w:r w:rsidRPr="00166CF0">
        <w:rPr>
          <w:rtl/>
        </w:rPr>
        <w:t xml:space="preserve"> </w:t>
      </w:r>
      <w:r w:rsidRPr="00166CF0">
        <w:rPr>
          <w:rFonts w:hint="eastAsia"/>
          <w:rtl/>
        </w:rPr>
        <w:t>הדיון</w:t>
      </w:r>
      <w:r w:rsidRPr="00166CF0">
        <w:rPr>
          <w:rtl/>
        </w:rPr>
        <w:t xml:space="preserve"> </w:t>
      </w:r>
      <w:r w:rsidRPr="00166CF0">
        <w:rPr>
          <w:rFonts w:hint="eastAsia"/>
          <w:rtl/>
        </w:rPr>
        <w:t>להלן</w:t>
      </w:r>
      <w:r w:rsidRPr="00166CF0">
        <w:rPr>
          <w:rtl/>
        </w:rPr>
        <w:t xml:space="preserve"> </w:t>
      </w:r>
      <w:r w:rsidRPr="00166CF0">
        <w:rPr>
          <w:rFonts w:hint="eastAsia"/>
          <w:rtl/>
        </w:rPr>
        <w:t>יוגבל</w:t>
      </w:r>
      <w:r w:rsidRPr="00166CF0">
        <w:rPr>
          <w:rtl/>
        </w:rPr>
        <w:t xml:space="preserve"> </w:t>
      </w:r>
      <w:r w:rsidRPr="00166CF0">
        <w:rPr>
          <w:rFonts w:hint="eastAsia"/>
          <w:rtl/>
        </w:rPr>
        <w:t>להיבטים</w:t>
      </w:r>
      <w:r w:rsidRPr="00166CF0">
        <w:rPr>
          <w:rtl/>
        </w:rPr>
        <w:t xml:space="preserve"> </w:t>
      </w:r>
      <w:r w:rsidRPr="00166CF0">
        <w:rPr>
          <w:rFonts w:hint="eastAsia"/>
          <w:rtl/>
        </w:rPr>
        <w:t>העקרוניים</w:t>
      </w:r>
      <w:r w:rsidRPr="00166CF0">
        <w:rPr>
          <w:rtl/>
        </w:rPr>
        <w:t xml:space="preserve"> </w:t>
      </w:r>
      <w:r w:rsidRPr="00166CF0">
        <w:rPr>
          <w:rFonts w:hint="eastAsia"/>
          <w:rtl/>
        </w:rPr>
        <w:t>בלבד</w:t>
      </w:r>
      <w:r w:rsidRPr="00166CF0">
        <w:rPr>
          <w:rtl/>
        </w:rPr>
        <w:t xml:space="preserve">, </w:t>
      </w:r>
      <w:r w:rsidRPr="00166CF0">
        <w:rPr>
          <w:rFonts w:hint="eastAsia"/>
          <w:rtl/>
        </w:rPr>
        <w:t>ללא</w:t>
      </w:r>
      <w:r w:rsidRPr="00166CF0">
        <w:rPr>
          <w:rtl/>
        </w:rPr>
        <w:t xml:space="preserve"> </w:t>
      </w:r>
      <w:r w:rsidRPr="00166CF0">
        <w:rPr>
          <w:rFonts w:hint="eastAsia"/>
          <w:rtl/>
        </w:rPr>
        <w:t>פירוט</w:t>
      </w:r>
      <w:r w:rsidRPr="00166CF0">
        <w:rPr>
          <w:rtl/>
        </w:rPr>
        <w:t xml:space="preserve"> </w:t>
      </w:r>
      <w:r w:rsidRPr="00166CF0">
        <w:rPr>
          <w:rFonts w:hint="eastAsia"/>
          <w:rtl/>
        </w:rPr>
        <w:t>יתר</w:t>
      </w:r>
      <w:r w:rsidRPr="00166CF0">
        <w:rPr>
          <w:rtl/>
        </w:rPr>
        <w:t xml:space="preserve"> </w:t>
      </w:r>
      <w:r w:rsidRPr="00166CF0">
        <w:rPr>
          <w:rFonts w:hint="eastAsia"/>
          <w:rtl/>
        </w:rPr>
        <w:t>על</w:t>
      </w:r>
      <w:r w:rsidRPr="00166CF0">
        <w:rPr>
          <w:rtl/>
        </w:rPr>
        <w:t xml:space="preserve"> </w:t>
      </w:r>
      <w:r w:rsidRPr="00166CF0">
        <w:rPr>
          <w:rFonts w:hint="eastAsia"/>
          <w:rtl/>
        </w:rPr>
        <w:t>המידה</w:t>
      </w:r>
      <w:r w:rsidRPr="00166CF0">
        <w:rPr>
          <w:rtl/>
        </w:rPr>
        <w:t>.</w:t>
      </w:r>
    </w:p>
  </w:footnote>
  <w:footnote w:id="11">
    <w:p w14:paraId="4B57E9C4" w14:textId="498AAE8C" w:rsidR="00637728" w:rsidRDefault="00637728">
      <w:pPr>
        <w:pStyle w:val="FootnoteText"/>
      </w:pPr>
      <w:r>
        <w:rPr>
          <w:rStyle w:val="FootnoteReference"/>
        </w:rPr>
        <w:footnoteRef/>
      </w:r>
      <w:r w:rsidR="006C7F56">
        <w:rPr>
          <w:rtl/>
        </w:rPr>
        <w:t xml:space="preserve"> </w:t>
      </w:r>
      <w:r w:rsidR="000F1F03">
        <w:rPr>
          <w:rtl/>
        </w:rPr>
        <w:tab/>
      </w:r>
      <w:r w:rsidRPr="00637728">
        <w:rPr>
          <w:rFonts w:hint="eastAsia"/>
          <w:rtl/>
        </w:rPr>
        <w:t>אבינועם</w:t>
      </w:r>
      <w:r w:rsidRPr="00637728">
        <w:rPr>
          <w:rtl/>
        </w:rPr>
        <w:t xml:space="preserve"> </w:t>
      </w:r>
      <w:r w:rsidRPr="00637728">
        <w:rPr>
          <w:rFonts w:hint="eastAsia"/>
          <w:rtl/>
        </w:rPr>
        <w:t>רוזנק</w:t>
      </w:r>
      <w:r w:rsidRPr="00637728">
        <w:rPr>
          <w:rtl/>
        </w:rPr>
        <w:t xml:space="preserve">: </w:t>
      </w:r>
      <w:r w:rsidRPr="00637728">
        <w:rPr>
          <w:rFonts w:hint="eastAsia"/>
          <w:rtl/>
        </w:rPr>
        <w:t>ההלכה</w:t>
      </w:r>
      <w:r w:rsidRPr="00637728">
        <w:rPr>
          <w:rtl/>
        </w:rPr>
        <w:t xml:space="preserve"> </w:t>
      </w:r>
      <w:r w:rsidRPr="00637728">
        <w:rPr>
          <w:rFonts w:hint="eastAsia"/>
          <w:rtl/>
        </w:rPr>
        <w:t>כמחוללת</w:t>
      </w:r>
      <w:r w:rsidRPr="00637728">
        <w:rPr>
          <w:rtl/>
        </w:rPr>
        <w:t xml:space="preserve"> </w:t>
      </w:r>
      <w:r w:rsidRPr="00637728">
        <w:rPr>
          <w:rFonts w:hint="eastAsia"/>
          <w:rtl/>
        </w:rPr>
        <w:t>שינוי</w:t>
      </w:r>
      <w:r w:rsidRPr="00637728">
        <w:rPr>
          <w:rtl/>
        </w:rPr>
        <w:t xml:space="preserve">: </w:t>
      </w:r>
      <w:r w:rsidRPr="00637728">
        <w:rPr>
          <w:rFonts w:hint="eastAsia"/>
          <w:rtl/>
        </w:rPr>
        <w:t>עיונים</w:t>
      </w:r>
      <w:r w:rsidRPr="00637728">
        <w:rPr>
          <w:rtl/>
        </w:rPr>
        <w:t xml:space="preserve"> </w:t>
      </w:r>
      <w:r w:rsidRPr="00637728">
        <w:rPr>
          <w:rFonts w:hint="eastAsia"/>
          <w:rtl/>
        </w:rPr>
        <w:t>ביקורתיים</w:t>
      </w:r>
      <w:r w:rsidRPr="00637728">
        <w:rPr>
          <w:rtl/>
        </w:rPr>
        <w:t xml:space="preserve"> </w:t>
      </w:r>
      <w:r w:rsidRPr="00637728">
        <w:rPr>
          <w:rFonts w:hint="eastAsia"/>
          <w:rtl/>
        </w:rPr>
        <w:t>בפילוסופיה</w:t>
      </w:r>
      <w:r w:rsidRPr="00637728">
        <w:rPr>
          <w:rtl/>
        </w:rPr>
        <w:t xml:space="preserve"> </w:t>
      </w:r>
      <w:r w:rsidRPr="00637728">
        <w:rPr>
          <w:rFonts w:hint="eastAsia"/>
          <w:rtl/>
        </w:rPr>
        <w:t>של</w:t>
      </w:r>
      <w:r w:rsidRPr="00637728">
        <w:rPr>
          <w:rtl/>
        </w:rPr>
        <w:t xml:space="preserve"> </w:t>
      </w:r>
      <w:r w:rsidRPr="00637728">
        <w:rPr>
          <w:rFonts w:hint="eastAsia"/>
          <w:rtl/>
        </w:rPr>
        <w:t>ההלכה</w:t>
      </w:r>
      <w:r w:rsidRPr="00637728">
        <w:rPr>
          <w:rtl/>
        </w:rPr>
        <w:t xml:space="preserve"> (2009)</w:t>
      </w:r>
    </w:p>
  </w:footnote>
  <w:footnote w:id="12">
    <w:p w14:paraId="567CE09F" w14:textId="50B9DF14" w:rsidR="00C728AB" w:rsidRDefault="00C728AB">
      <w:pPr>
        <w:pStyle w:val="FootnoteText"/>
      </w:pPr>
      <w:r>
        <w:rPr>
          <w:rStyle w:val="FootnoteReference"/>
        </w:rPr>
        <w:footnoteRef/>
      </w:r>
      <w:r w:rsidR="006C7F56">
        <w:t xml:space="preserve"> </w:t>
      </w:r>
      <w:r w:rsidR="000F1F03">
        <w:rPr>
          <w:rtl/>
        </w:rPr>
        <w:tab/>
      </w:r>
      <w:r w:rsidRPr="00C728AB">
        <w:t xml:space="preserve">The American Jewish </w:t>
      </w:r>
      <w:r w:rsidR="006C7F56" w:rsidRPr="00C728AB">
        <w:t>Yearbook</w:t>
      </w:r>
      <w:r w:rsidRPr="00C728AB">
        <w:t xml:space="preserve"> (AJYB)</w:t>
      </w:r>
      <w:r w:rsidRPr="00C728AB">
        <w:rPr>
          <w:rtl/>
        </w:rPr>
        <w:t>,</w:t>
      </w:r>
      <w:r w:rsidR="000F6C90">
        <w:rPr>
          <w:rFonts w:hint="cs"/>
          <w:rtl/>
        </w:rPr>
        <w:t xml:space="preserve"> </w:t>
      </w:r>
      <w:r w:rsidR="000F6C90" w:rsidRPr="000F6C90">
        <w:t>National Jewish Population Surveys (NJPS)</w:t>
      </w:r>
    </w:p>
  </w:footnote>
  <w:footnote w:id="13">
    <w:p w14:paraId="1A40CB99" w14:textId="777B5F4D" w:rsidR="003B1D57" w:rsidRDefault="003B1D57">
      <w:pPr>
        <w:pStyle w:val="FootnoteText"/>
      </w:pPr>
      <w:r>
        <w:rPr>
          <w:rStyle w:val="FootnoteReference"/>
        </w:rPr>
        <w:footnoteRef/>
      </w:r>
      <w:r w:rsidR="006C7F56">
        <w:rPr>
          <w:rtl/>
        </w:rPr>
        <w:t xml:space="preserve"> </w:t>
      </w:r>
      <w:r w:rsidR="000F1F03">
        <w:rPr>
          <w:rtl/>
        </w:rPr>
        <w:tab/>
      </w:r>
      <w:r w:rsidRPr="003B1D57">
        <w:rPr>
          <w:rFonts w:hint="eastAsia"/>
          <w:rtl/>
        </w:rPr>
        <w:t>ניתן</w:t>
      </w:r>
      <w:r w:rsidRPr="003B1D57">
        <w:rPr>
          <w:rtl/>
        </w:rPr>
        <w:t xml:space="preserve"> </w:t>
      </w:r>
      <w:r w:rsidRPr="003B1D57">
        <w:rPr>
          <w:rFonts w:hint="eastAsia"/>
          <w:rtl/>
        </w:rPr>
        <w:t>לטעון</w:t>
      </w:r>
      <w:r w:rsidRPr="003B1D57">
        <w:rPr>
          <w:rtl/>
        </w:rPr>
        <w:t xml:space="preserve"> </w:t>
      </w:r>
      <w:r w:rsidRPr="003B1D57">
        <w:rPr>
          <w:rFonts w:hint="eastAsia"/>
          <w:rtl/>
        </w:rPr>
        <w:t>כאן</w:t>
      </w:r>
      <w:r w:rsidRPr="003B1D57">
        <w:rPr>
          <w:rtl/>
        </w:rPr>
        <w:t xml:space="preserve"> </w:t>
      </w:r>
      <w:r w:rsidRPr="003B1D57">
        <w:rPr>
          <w:rFonts w:hint="eastAsia"/>
          <w:rtl/>
        </w:rPr>
        <w:t>טענה</w:t>
      </w:r>
      <w:r w:rsidRPr="003B1D57">
        <w:rPr>
          <w:rtl/>
        </w:rPr>
        <w:t xml:space="preserve"> </w:t>
      </w:r>
      <w:r w:rsidRPr="003B1D57">
        <w:rPr>
          <w:rFonts w:hint="eastAsia"/>
          <w:rtl/>
        </w:rPr>
        <w:t>מסוג</w:t>
      </w:r>
      <w:r w:rsidRPr="003B1D57">
        <w:rPr>
          <w:rtl/>
        </w:rPr>
        <w:t xml:space="preserve"> </w:t>
      </w:r>
      <w:r w:rsidRPr="003B1D57">
        <w:rPr>
          <w:rFonts w:hint="eastAsia"/>
          <w:rtl/>
        </w:rPr>
        <w:t>״עצם</w:t>
      </w:r>
      <w:r w:rsidRPr="003B1D57">
        <w:rPr>
          <w:rtl/>
        </w:rPr>
        <w:t xml:space="preserve"> </w:t>
      </w:r>
      <w:r w:rsidRPr="003B1D57">
        <w:rPr>
          <w:rFonts w:hint="eastAsia"/>
          <w:rtl/>
        </w:rPr>
        <w:t>הערבוב</w:t>
      </w:r>
      <w:r w:rsidRPr="003B1D57">
        <w:rPr>
          <w:rtl/>
        </w:rPr>
        <w:t xml:space="preserve"> </w:t>
      </w:r>
      <w:r w:rsidRPr="003B1D57">
        <w:rPr>
          <w:rFonts w:hint="eastAsia"/>
          <w:rtl/>
        </w:rPr>
        <w:t>והחיים</w:t>
      </w:r>
      <w:r w:rsidRPr="003B1D57">
        <w:rPr>
          <w:rtl/>
        </w:rPr>
        <w:t xml:space="preserve"> </w:t>
      </w:r>
      <w:r w:rsidRPr="003B1D57">
        <w:rPr>
          <w:rFonts w:hint="eastAsia"/>
          <w:rtl/>
        </w:rPr>
        <w:t>על</w:t>
      </w:r>
      <w:r w:rsidRPr="003B1D57">
        <w:rPr>
          <w:rtl/>
        </w:rPr>
        <w:t xml:space="preserve"> </w:t>
      </w:r>
      <w:r w:rsidRPr="003B1D57">
        <w:rPr>
          <w:rFonts w:hint="eastAsia"/>
          <w:rtl/>
        </w:rPr>
        <w:t>הגויים</w:t>
      </w:r>
      <w:r w:rsidRPr="003B1D57">
        <w:rPr>
          <w:rtl/>
        </w:rPr>
        <w:t xml:space="preserve"> </w:t>
      </w:r>
      <w:r w:rsidRPr="003B1D57">
        <w:rPr>
          <w:rFonts w:hint="eastAsia"/>
          <w:rtl/>
        </w:rPr>
        <w:t>הוא</w:t>
      </w:r>
      <w:r w:rsidRPr="003B1D57">
        <w:rPr>
          <w:rtl/>
        </w:rPr>
        <w:t xml:space="preserve"> </w:t>
      </w:r>
      <w:r w:rsidRPr="003B1D57">
        <w:rPr>
          <w:rFonts w:hint="eastAsia"/>
          <w:rtl/>
        </w:rPr>
        <w:t>הגורם</w:t>
      </w:r>
      <w:r w:rsidRPr="003B1D57">
        <w:rPr>
          <w:rtl/>
        </w:rPr>
        <w:t xml:space="preserve"> </w:t>
      </w:r>
      <w:r w:rsidRPr="003B1D57">
        <w:rPr>
          <w:rFonts w:hint="eastAsia"/>
          <w:rtl/>
        </w:rPr>
        <w:t>לשינוי</w:t>
      </w:r>
      <w:r w:rsidRPr="003B1D57">
        <w:rPr>
          <w:rtl/>
        </w:rPr>
        <w:t xml:space="preserve"> </w:t>
      </w:r>
      <w:r w:rsidRPr="003B1D57">
        <w:rPr>
          <w:rFonts w:hint="eastAsia"/>
          <w:rtl/>
        </w:rPr>
        <w:t>המציאות</w:t>
      </w:r>
      <w:r w:rsidRPr="003B1D57">
        <w:rPr>
          <w:rtl/>
        </w:rPr>
        <w:t xml:space="preserve"> </w:t>
      </w:r>
      <w:r w:rsidRPr="003B1D57">
        <w:rPr>
          <w:rFonts w:hint="eastAsia"/>
          <w:rtl/>
        </w:rPr>
        <w:t>והצרכים</w:t>
      </w:r>
      <w:r w:rsidRPr="003B1D57">
        <w:rPr>
          <w:rtl/>
        </w:rPr>
        <w:t xml:space="preserve"> </w:t>
      </w:r>
      <w:r w:rsidRPr="003B1D57">
        <w:rPr>
          <w:rFonts w:hint="eastAsia"/>
          <w:rtl/>
        </w:rPr>
        <w:t>של</w:t>
      </w:r>
      <w:r w:rsidRPr="003B1D57">
        <w:rPr>
          <w:rtl/>
        </w:rPr>
        <w:t xml:space="preserve"> </w:t>
      </w:r>
      <w:r w:rsidRPr="003B1D57">
        <w:rPr>
          <w:rFonts w:hint="eastAsia"/>
          <w:rtl/>
        </w:rPr>
        <w:t>הקהילה</w:t>
      </w:r>
      <w:r w:rsidRPr="003B1D57">
        <w:rPr>
          <w:rtl/>
        </w:rPr>
        <w:t xml:space="preserve">, </w:t>
      </w:r>
      <w:r w:rsidRPr="003B1D57">
        <w:rPr>
          <w:rFonts w:hint="eastAsia"/>
          <w:rtl/>
        </w:rPr>
        <w:t>והפתרון</w:t>
      </w:r>
      <w:r w:rsidRPr="003B1D57">
        <w:rPr>
          <w:rtl/>
        </w:rPr>
        <w:t xml:space="preserve"> </w:t>
      </w:r>
      <w:r w:rsidRPr="003B1D57">
        <w:rPr>
          <w:rFonts w:hint="eastAsia"/>
          <w:rtl/>
        </w:rPr>
        <w:t>הוא</w:t>
      </w:r>
      <w:r w:rsidRPr="003B1D57">
        <w:rPr>
          <w:rtl/>
        </w:rPr>
        <w:t xml:space="preserve"> </w:t>
      </w:r>
      <w:r w:rsidRPr="003B1D57">
        <w:rPr>
          <w:rFonts w:hint="eastAsia"/>
          <w:rtl/>
        </w:rPr>
        <w:t>לא</w:t>
      </w:r>
      <w:r w:rsidRPr="003B1D57">
        <w:rPr>
          <w:rtl/>
        </w:rPr>
        <w:t xml:space="preserve"> </w:t>
      </w:r>
      <w:r w:rsidRPr="003B1D57">
        <w:rPr>
          <w:rFonts w:hint="eastAsia"/>
          <w:rtl/>
        </w:rPr>
        <w:t>שינוי</w:t>
      </w:r>
      <w:r w:rsidRPr="003B1D57">
        <w:rPr>
          <w:rtl/>
        </w:rPr>
        <w:t xml:space="preserve"> </w:t>
      </w:r>
      <w:r w:rsidRPr="003B1D57">
        <w:rPr>
          <w:rFonts w:hint="eastAsia"/>
          <w:rtl/>
        </w:rPr>
        <w:t>ההלכה</w:t>
      </w:r>
      <w:r w:rsidRPr="003B1D57">
        <w:rPr>
          <w:rtl/>
        </w:rPr>
        <w:t xml:space="preserve"> </w:t>
      </w:r>
      <w:r w:rsidRPr="003B1D57">
        <w:rPr>
          <w:rFonts w:hint="eastAsia"/>
          <w:rtl/>
        </w:rPr>
        <w:t>אלא</w:t>
      </w:r>
      <w:r w:rsidRPr="003B1D57">
        <w:rPr>
          <w:rtl/>
        </w:rPr>
        <w:t xml:space="preserve"> </w:t>
      </w:r>
      <w:r w:rsidRPr="003B1D57">
        <w:rPr>
          <w:rFonts w:hint="eastAsia"/>
          <w:rtl/>
        </w:rPr>
        <w:t>שינוי</w:t>
      </w:r>
      <w:r w:rsidRPr="003B1D57">
        <w:rPr>
          <w:rtl/>
        </w:rPr>
        <w:t xml:space="preserve"> </w:t>
      </w:r>
      <w:r w:rsidRPr="003B1D57">
        <w:rPr>
          <w:rFonts w:hint="eastAsia"/>
          <w:rtl/>
        </w:rPr>
        <w:t>המציאות״</w:t>
      </w:r>
      <w:r w:rsidRPr="003B1D57">
        <w:rPr>
          <w:rtl/>
        </w:rPr>
        <w:t xml:space="preserve">. </w:t>
      </w:r>
      <w:r w:rsidRPr="003B1D57">
        <w:rPr>
          <w:rFonts w:hint="eastAsia"/>
          <w:rtl/>
        </w:rPr>
        <w:t>אני</w:t>
      </w:r>
      <w:r w:rsidRPr="003B1D57">
        <w:rPr>
          <w:rtl/>
        </w:rPr>
        <w:t xml:space="preserve"> </w:t>
      </w:r>
      <w:r w:rsidRPr="003B1D57">
        <w:rPr>
          <w:rFonts w:hint="eastAsia"/>
          <w:rtl/>
        </w:rPr>
        <w:t>חושב</w:t>
      </w:r>
      <w:r w:rsidRPr="003B1D57">
        <w:rPr>
          <w:rtl/>
        </w:rPr>
        <w:t xml:space="preserve"> </w:t>
      </w:r>
      <w:r w:rsidRPr="003B1D57">
        <w:rPr>
          <w:rFonts w:hint="eastAsia"/>
          <w:rtl/>
        </w:rPr>
        <w:t>שטענה</w:t>
      </w:r>
      <w:r w:rsidRPr="003B1D57">
        <w:rPr>
          <w:rtl/>
        </w:rPr>
        <w:t xml:space="preserve"> </w:t>
      </w:r>
      <w:r w:rsidRPr="003B1D57">
        <w:rPr>
          <w:rFonts w:hint="eastAsia"/>
          <w:rtl/>
        </w:rPr>
        <w:t>זו</w:t>
      </w:r>
      <w:r w:rsidRPr="003B1D57">
        <w:rPr>
          <w:rtl/>
        </w:rPr>
        <w:t xml:space="preserve"> </w:t>
      </w:r>
      <w:r w:rsidRPr="003B1D57">
        <w:rPr>
          <w:rFonts w:hint="eastAsia"/>
          <w:rtl/>
        </w:rPr>
        <w:t>מתעלמת</w:t>
      </w:r>
      <w:r w:rsidRPr="003B1D57">
        <w:rPr>
          <w:rtl/>
        </w:rPr>
        <w:t xml:space="preserve"> </w:t>
      </w:r>
      <w:r w:rsidRPr="003B1D57">
        <w:rPr>
          <w:rFonts w:hint="eastAsia"/>
          <w:rtl/>
        </w:rPr>
        <w:t>מכמה</w:t>
      </w:r>
      <w:r w:rsidRPr="003B1D57">
        <w:rPr>
          <w:rtl/>
        </w:rPr>
        <w:t xml:space="preserve"> </w:t>
      </w:r>
      <w:r w:rsidRPr="003B1D57">
        <w:rPr>
          <w:rFonts w:hint="eastAsia"/>
          <w:rtl/>
        </w:rPr>
        <w:t>היבטים</w:t>
      </w:r>
      <w:r w:rsidRPr="003B1D57">
        <w:rPr>
          <w:rtl/>
        </w:rPr>
        <w:t xml:space="preserve"> </w:t>
      </w:r>
      <w:r w:rsidRPr="003B1D57">
        <w:rPr>
          <w:rFonts w:hint="eastAsia"/>
          <w:rtl/>
        </w:rPr>
        <w:t>חשובים</w:t>
      </w:r>
      <w:r w:rsidRPr="003B1D57">
        <w:rPr>
          <w:rtl/>
        </w:rPr>
        <w:t xml:space="preserve"> </w:t>
      </w:r>
      <w:r w:rsidRPr="003B1D57">
        <w:rPr>
          <w:rFonts w:hint="eastAsia"/>
          <w:rtl/>
        </w:rPr>
        <w:t>בתחום</w:t>
      </w:r>
      <w:r w:rsidRPr="003B1D57">
        <w:rPr>
          <w:rtl/>
        </w:rPr>
        <w:t xml:space="preserve"> </w:t>
      </w:r>
      <w:r w:rsidRPr="003B1D57">
        <w:rPr>
          <w:rFonts w:hint="eastAsia"/>
          <w:rtl/>
        </w:rPr>
        <w:t>וביניהם</w:t>
      </w:r>
      <w:r w:rsidRPr="003B1D57">
        <w:rPr>
          <w:rtl/>
        </w:rPr>
        <w:t xml:space="preserve"> </w:t>
      </w:r>
      <w:r w:rsidRPr="003B1D57">
        <w:rPr>
          <w:rFonts w:hint="eastAsia"/>
          <w:rtl/>
        </w:rPr>
        <w:t>האמנציפציה</w:t>
      </w:r>
      <w:r w:rsidRPr="003B1D57">
        <w:rPr>
          <w:rtl/>
        </w:rPr>
        <w:t xml:space="preserve">, </w:t>
      </w:r>
      <w:r w:rsidRPr="003B1D57">
        <w:rPr>
          <w:rFonts w:hint="eastAsia"/>
          <w:rtl/>
        </w:rPr>
        <w:t>החשיבות</w:t>
      </w:r>
      <w:r w:rsidRPr="003B1D57">
        <w:rPr>
          <w:rtl/>
        </w:rPr>
        <w:t xml:space="preserve"> </w:t>
      </w:r>
      <w:r w:rsidRPr="003B1D57">
        <w:rPr>
          <w:rFonts w:hint="eastAsia"/>
          <w:rtl/>
        </w:rPr>
        <w:t>של</w:t>
      </w:r>
      <w:r w:rsidRPr="003B1D57">
        <w:rPr>
          <w:rtl/>
        </w:rPr>
        <w:t xml:space="preserve"> </w:t>
      </w:r>
      <w:r w:rsidRPr="003B1D57">
        <w:rPr>
          <w:rFonts w:hint="eastAsia"/>
          <w:rtl/>
        </w:rPr>
        <w:t>המרכז</w:t>
      </w:r>
      <w:r w:rsidRPr="003B1D57">
        <w:rPr>
          <w:rtl/>
        </w:rPr>
        <w:t xml:space="preserve"> </w:t>
      </w:r>
      <w:r w:rsidRPr="003B1D57">
        <w:rPr>
          <w:rFonts w:hint="eastAsia"/>
          <w:rtl/>
        </w:rPr>
        <w:t>היהודי</w:t>
      </w:r>
      <w:r w:rsidRPr="003B1D57">
        <w:rPr>
          <w:rtl/>
        </w:rPr>
        <w:t xml:space="preserve"> </w:t>
      </w:r>
      <w:r w:rsidRPr="003B1D57">
        <w:rPr>
          <w:rFonts w:hint="eastAsia"/>
          <w:rtl/>
        </w:rPr>
        <w:t>בארצות</w:t>
      </w:r>
      <w:r w:rsidRPr="003B1D57">
        <w:rPr>
          <w:rtl/>
        </w:rPr>
        <w:t xml:space="preserve"> </w:t>
      </w:r>
      <w:r w:rsidRPr="003B1D57">
        <w:rPr>
          <w:rFonts w:hint="eastAsia"/>
          <w:rtl/>
        </w:rPr>
        <w:t>הברית</w:t>
      </w:r>
      <w:r w:rsidRPr="003B1D57">
        <w:rPr>
          <w:rtl/>
        </w:rPr>
        <w:t xml:space="preserve">, </w:t>
      </w:r>
      <w:r w:rsidRPr="003B1D57">
        <w:rPr>
          <w:rFonts w:hint="eastAsia"/>
          <w:rtl/>
        </w:rPr>
        <w:t>שילוב</w:t>
      </w:r>
      <w:r w:rsidRPr="003B1D57">
        <w:rPr>
          <w:rtl/>
        </w:rPr>
        <w:t xml:space="preserve"> </w:t>
      </w:r>
      <w:r w:rsidRPr="003B1D57">
        <w:rPr>
          <w:rFonts w:hint="eastAsia"/>
          <w:rtl/>
        </w:rPr>
        <w:t>של</w:t>
      </w:r>
      <w:r w:rsidRPr="003B1D57">
        <w:rPr>
          <w:rtl/>
        </w:rPr>
        <w:t xml:space="preserve"> </w:t>
      </w:r>
      <w:r w:rsidRPr="003B1D57">
        <w:rPr>
          <w:rFonts w:hint="eastAsia"/>
          <w:rtl/>
        </w:rPr>
        <w:t>תורה</w:t>
      </w:r>
      <w:r w:rsidRPr="003B1D57">
        <w:rPr>
          <w:rtl/>
        </w:rPr>
        <w:t xml:space="preserve"> </w:t>
      </w:r>
      <w:r w:rsidRPr="003B1D57">
        <w:rPr>
          <w:rFonts w:hint="eastAsia"/>
          <w:rtl/>
        </w:rPr>
        <w:t>בעולם</w:t>
      </w:r>
      <w:r w:rsidRPr="003B1D57">
        <w:rPr>
          <w:rtl/>
        </w:rPr>
        <w:t xml:space="preserve"> </w:t>
      </w:r>
      <w:r w:rsidRPr="003B1D57">
        <w:rPr>
          <w:rFonts w:hint="eastAsia"/>
          <w:rtl/>
        </w:rPr>
        <w:t>מתחדש</w:t>
      </w:r>
      <w:r w:rsidRPr="003B1D57">
        <w:rPr>
          <w:rtl/>
        </w:rPr>
        <w:t xml:space="preserve"> </w:t>
      </w:r>
      <w:r w:rsidRPr="003B1D57">
        <w:rPr>
          <w:rFonts w:hint="eastAsia"/>
          <w:rtl/>
        </w:rPr>
        <w:t>ועוד</w:t>
      </w:r>
      <w:r w:rsidRPr="003B1D57">
        <w:rPr>
          <w:rtl/>
        </w:rPr>
        <w:t>,</w:t>
      </w:r>
      <w:r w:rsidR="006C7F56">
        <w:rPr>
          <w:rtl/>
        </w:rPr>
        <w:t xml:space="preserve"> </w:t>
      </w:r>
      <w:r w:rsidRPr="003B1D57">
        <w:rPr>
          <w:rFonts w:hint="eastAsia"/>
          <w:rtl/>
        </w:rPr>
        <w:t>ואין</w:t>
      </w:r>
      <w:r w:rsidRPr="003B1D57">
        <w:rPr>
          <w:rtl/>
        </w:rPr>
        <w:t xml:space="preserve"> </w:t>
      </w:r>
      <w:r w:rsidRPr="003B1D57">
        <w:rPr>
          <w:rFonts w:hint="eastAsia"/>
          <w:rtl/>
        </w:rPr>
        <w:t>כאן</w:t>
      </w:r>
      <w:r w:rsidRPr="003B1D57">
        <w:rPr>
          <w:rtl/>
        </w:rPr>
        <w:t xml:space="preserve"> </w:t>
      </w:r>
      <w:r w:rsidRPr="003B1D57">
        <w:rPr>
          <w:rFonts w:hint="eastAsia"/>
          <w:rtl/>
        </w:rPr>
        <w:t>מקומי</w:t>
      </w:r>
      <w:r w:rsidRPr="003B1D57">
        <w:rPr>
          <w:rtl/>
        </w:rPr>
        <w:t xml:space="preserve"> </w:t>
      </w:r>
      <w:r w:rsidRPr="003B1D57">
        <w:rPr>
          <w:rFonts w:hint="eastAsia"/>
          <w:rtl/>
        </w:rPr>
        <w:t>להאריך</w:t>
      </w:r>
      <w:r w:rsidRPr="003B1D57">
        <w:rPr>
          <w:rtl/>
        </w:rPr>
        <w:t>.</w:t>
      </w:r>
    </w:p>
  </w:footnote>
  <w:footnote w:id="14">
    <w:p w14:paraId="7616B2F7" w14:textId="351AF49F" w:rsidR="00F0278E" w:rsidRDefault="00F0278E">
      <w:pPr>
        <w:pStyle w:val="FootnoteText"/>
      </w:pPr>
      <w:r>
        <w:rPr>
          <w:rStyle w:val="FootnoteReference"/>
        </w:rPr>
        <w:footnoteRef/>
      </w:r>
      <w:r>
        <w:rPr>
          <w:rtl/>
        </w:rPr>
        <w:t xml:space="preserve"> </w:t>
      </w:r>
      <w:r w:rsidR="000F1F03">
        <w:rPr>
          <w:rtl/>
        </w:rPr>
        <w:tab/>
      </w:r>
      <w:r w:rsidRPr="00F0278E">
        <w:rPr>
          <w:rFonts w:hint="eastAsia"/>
          <w:rtl/>
        </w:rPr>
        <w:t>משנה</w:t>
      </w:r>
      <w:r w:rsidRPr="00F0278E">
        <w:rPr>
          <w:rtl/>
        </w:rPr>
        <w:t xml:space="preserve"> </w:t>
      </w:r>
      <w:r w:rsidRPr="00F0278E">
        <w:rPr>
          <w:rFonts w:hint="eastAsia"/>
          <w:rtl/>
        </w:rPr>
        <w:t>שבועות</w:t>
      </w:r>
      <w:r w:rsidRPr="00F0278E">
        <w:rPr>
          <w:rtl/>
        </w:rPr>
        <w:t xml:space="preserve">: </w:t>
      </w:r>
      <w:r w:rsidRPr="00F0278E">
        <w:rPr>
          <w:rFonts w:hint="eastAsia"/>
          <w:rtl/>
        </w:rPr>
        <w:t>פרק</w:t>
      </w:r>
      <w:r w:rsidRPr="00F0278E">
        <w:rPr>
          <w:rtl/>
        </w:rPr>
        <w:t xml:space="preserve"> </w:t>
      </w:r>
      <w:r w:rsidRPr="00F0278E">
        <w:rPr>
          <w:rFonts w:hint="eastAsia"/>
          <w:rtl/>
        </w:rPr>
        <w:t>ד</w:t>
      </w:r>
      <w:r w:rsidRPr="00F0278E">
        <w:rPr>
          <w:rtl/>
        </w:rPr>
        <w:t xml:space="preserve">' </w:t>
      </w:r>
      <w:r w:rsidRPr="00F0278E">
        <w:rPr>
          <w:rFonts w:hint="eastAsia"/>
          <w:rtl/>
        </w:rPr>
        <w:t>א</w:t>
      </w:r>
      <w:r w:rsidRPr="00F0278E">
        <w:rPr>
          <w:rtl/>
        </w:rPr>
        <w:t>.</w:t>
      </w:r>
    </w:p>
  </w:footnote>
  <w:footnote w:id="15">
    <w:p w14:paraId="4449A103" w14:textId="58580AF9" w:rsidR="00E47371" w:rsidRDefault="00E47371">
      <w:pPr>
        <w:pStyle w:val="FootnoteText"/>
      </w:pPr>
      <w:r>
        <w:rPr>
          <w:rStyle w:val="FootnoteReference"/>
        </w:rPr>
        <w:footnoteRef/>
      </w:r>
      <w:r>
        <w:rPr>
          <w:rtl/>
        </w:rPr>
        <w:t xml:space="preserve"> </w:t>
      </w:r>
      <w:r w:rsidR="000F1F03">
        <w:rPr>
          <w:rtl/>
        </w:rPr>
        <w:tab/>
      </w:r>
      <w:r w:rsidRPr="00E47371">
        <w:rPr>
          <w:rFonts w:hint="eastAsia"/>
          <w:rtl/>
        </w:rPr>
        <w:t>בבלי</w:t>
      </w:r>
      <w:r w:rsidRPr="00E47371">
        <w:rPr>
          <w:rtl/>
        </w:rPr>
        <w:t xml:space="preserve"> </w:t>
      </w:r>
      <w:r w:rsidRPr="00E47371">
        <w:rPr>
          <w:rFonts w:hint="eastAsia"/>
          <w:rtl/>
        </w:rPr>
        <w:t>שבועות</w:t>
      </w:r>
      <w:r w:rsidRPr="00E47371">
        <w:rPr>
          <w:rtl/>
        </w:rPr>
        <w:t xml:space="preserve"> </w:t>
      </w:r>
      <w:r w:rsidRPr="00E47371">
        <w:rPr>
          <w:rFonts w:hint="eastAsia"/>
          <w:rtl/>
        </w:rPr>
        <w:t>ל</w:t>
      </w:r>
      <w:r w:rsidRPr="00E47371">
        <w:rPr>
          <w:rtl/>
        </w:rPr>
        <w:t>.</w:t>
      </w:r>
    </w:p>
  </w:footnote>
  <w:footnote w:id="16">
    <w:p w14:paraId="4B2F89F8" w14:textId="385E5E72" w:rsidR="00B90D4E" w:rsidRDefault="00B90D4E">
      <w:pPr>
        <w:pStyle w:val="FootnoteText"/>
      </w:pPr>
      <w:r>
        <w:rPr>
          <w:rStyle w:val="FootnoteReference"/>
        </w:rPr>
        <w:footnoteRef/>
      </w:r>
      <w:r>
        <w:rPr>
          <w:rtl/>
        </w:rPr>
        <w:t xml:space="preserve"> </w:t>
      </w:r>
      <w:r w:rsidR="000F1F03">
        <w:rPr>
          <w:rtl/>
        </w:rPr>
        <w:tab/>
      </w:r>
      <w:r w:rsidRPr="00B90D4E">
        <w:t>HM 7:4.1984b On the Ordination of Women as Rabbis</w:t>
      </w:r>
      <w:r w:rsidRPr="00B90D4E">
        <w:rPr>
          <w:rtl/>
        </w:rPr>
        <w:t xml:space="preserve">: </w:t>
      </w:r>
      <w:r w:rsidRPr="00B90D4E">
        <w:rPr>
          <w:rFonts w:hint="eastAsia"/>
          <w:rtl/>
        </w:rPr>
        <w:t>הרב</w:t>
      </w:r>
      <w:r w:rsidRPr="00B90D4E">
        <w:rPr>
          <w:rtl/>
        </w:rPr>
        <w:t xml:space="preserve"> </w:t>
      </w:r>
      <w:r w:rsidRPr="00B90D4E">
        <w:rPr>
          <w:rFonts w:hint="eastAsia"/>
          <w:rtl/>
        </w:rPr>
        <w:t>יואל</w:t>
      </w:r>
      <w:r w:rsidRPr="00B90D4E">
        <w:rPr>
          <w:rtl/>
        </w:rPr>
        <w:t xml:space="preserve"> </w:t>
      </w:r>
      <w:r w:rsidRPr="00B90D4E">
        <w:rPr>
          <w:rFonts w:hint="eastAsia"/>
          <w:rtl/>
        </w:rPr>
        <w:t>רות</w:t>
      </w:r>
      <w:r w:rsidRPr="00B90D4E">
        <w:rPr>
          <w:rtl/>
        </w:rPr>
        <w:t>'.</w:t>
      </w:r>
      <w:r w:rsidR="006C7F56">
        <w:rPr>
          <w:rtl/>
        </w:rPr>
        <w:t xml:space="preserve"> </w:t>
      </w:r>
    </w:p>
  </w:footnote>
  <w:footnote w:id="17">
    <w:p w14:paraId="10623364" w14:textId="25095F0A" w:rsidR="00FE3ABF" w:rsidRDefault="00FE3ABF">
      <w:pPr>
        <w:pStyle w:val="FootnoteText"/>
      </w:pPr>
      <w:r>
        <w:rPr>
          <w:rStyle w:val="FootnoteReference"/>
        </w:rPr>
        <w:footnoteRef/>
      </w:r>
      <w:r w:rsidR="006C7F56">
        <w:rPr>
          <w:rtl/>
        </w:rPr>
        <w:t xml:space="preserve"> </w:t>
      </w:r>
      <w:r w:rsidR="000F1F03">
        <w:rPr>
          <w:rtl/>
        </w:rPr>
        <w:tab/>
      </w:r>
      <w:r w:rsidRPr="00FE3ABF">
        <w:rPr>
          <w:rFonts w:hint="eastAsia"/>
          <w:rtl/>
        </w:rPr>
        <w:t>המסקנה</w:t>
      </w:r>
      <w:r w:rsidRPr="00FE3ABF">
        <w:rPr>
          <w:rtl/>
        </w:rPr>
        <w:t xml:space="preserve"> </w:t>
      </w:r>
      <w:r w:rsidRPr="00FE3ABF">
        <w:rPr>
          <w:rFonts w:hint="eastAsia"/>
          <w:rtl/>
        </w:rPr>
        <w:t>של</w:t>
      </w:r>
      <w:r w:rsidRPr="00FE3ABF">
        <w:rPr>
          <w:rtl/>
        </w:rPr>
        <w:t xml:space="preserve"> </w:t>
      </w:r>
      <w:r w:rsidRPr="00FE3ABF">
        <w:rPr>
          <w:rFonts w:hint="eastAsia"/>
          <w:rtl/>
        </w:rPr>
        <w:t>השו״ת</w:t>
      </w:r>
      <w:r w:rsidRPr="00FE3ABF">
        <w:rPr>
          <w:rtl/>
        </w:rPr>
        <w:t xml:space="preserve"> </w:t>
      </w:r>
      <w:r w:rsidRPr="00FE3ABF">
        <w:rPr>
          <w:rFonts w:hint="eastAsia"/>
          <w:rtl/>
        </w:rPr>
        <w:t>הזה</w:t>
      </w:r>
      <w:r w:rsidRPr="00FE3ABF">
        <w:rPr>
          <w:rtl/>
        </w:rPr>
        <w:t xml:space="preserve"> </w:t>
      </w:r>
      <w:r w:rsidRPr="00FE3ABF">
        <w:rPr>
          <w:rFonts w:hint="eastAsia"/>
          <w:rtl/>
        </w:rPr>
        <w:t>גם</w:t>
      </w:r>
      <w:r w:rsidRPr="00FE3ABF">
        <w:rPr>
          <w:rtl/>
        </w:rPr>
        <w:t xml:space="preserve"> </w:t>
      </w:r>
      <w:r w:rsidRPr="00FE3ABF">
        <w:rPr>
          <w:rFonts w:hint="eastAsia"/>
          <w:rtl/>
        </w:rPr>
        <w:t>התקבלו</w:t>
      </w:r>
      <w:r w:rsidRPr="00FE3ABF">
        <w:rPr>
          <w:rtl/>
        </w:rPr>
        <w:t xml:space="preserve"> </w:t>
      </w:r>
      <w:r w:rsidRPr="00FE3ABF">
        <w:rPr>
          <w:rFonts w:hint="eastAsia"/>
          <w:rtl/>
        </w:rPr>
        <w:t>בחלקים</w:t>
      </w:r>
      <w:r w:rsidRPr="00FE3ABF">
        <w:rPr>
          <w:rtl/>
        </w:rPr>
        <w:t xml:space="preserve"> </w:t>
      </w:r>
      <w:r w:rsidRPr="00FE3ABF">
        <w:rPr>
          <w:rFonts w:hint="eastAsia"/>
          <w:rtl/>
        </w:rPr>
        <w:t>נרחבים</w:t>
      </w:r>
      <w:r w:rsidRPr="00FE3ABF">
        <w:rPr>
          <w:rtl/>
        </w:rPr>
        <w:t xml:space="preserve"> </w:t>
      </w:r>
      <w:r w:rsidRPr="00FE3ABF">
        <w:rPr>
          <w:rFonts w:hint="eastAsia"/>
          <w:rtl/>
        </w:rPr>
        <w:t>בתנועה</w:t>
      </w:r>
      <w:r w:rsidRPr="00FE3ABF">
        <w:rPr>
          <w:rtl/>
        </w:rPr>
        <w:t xml:space="preserve"> </w:t>
      </w:r>
      <w:r w:rsidRPr="00FE3ABF">
        <w:rPr>
          <w:rFonts w:hint="eastAsia"/>
          <w:rtl/>
        </w:rPr>
        <w:t>האורתודוקסית</w:t>
      </w:r>
      <w:r w:rsidRPr="00FE3ABF">
        <w:rPr>
          <w:rtl/>
        </w:rPr>
        <w:t xml:space="preserve">: </w:t>
      </w:r>
      <w:r w:rsidRPr="00FE3ABF">
        <w:rPr>
          <w:rFonts w:hint="eastAsia"/>
          <w:rtl/>
        </w:rPr>
        <w:t>ראו</w:t>
      </w:r>
      <w:r w:rsidRPr="00FE3ABF">
        <w:rPr>
          <w:rtl/>
        </w:rPr>
        <w:t xml:space="preserve">: </w:t>
      </w:r>
      <w:r w:rsidRPr="00FE3ABF">
        <w:rPr>
          <w:rFonts w:hint="eastAsia"/>
          <w:rtl/>
        </w:rPr>
        <w:t>הרב</w:t>
      </w:r>
      <w:r w:rsidRPr="00FE3ABF">
        <w:rPr>
          <w:rtl/>
        </w:rPr>
        <w:t xml:space="preserve"> </w:t>
      </w:r>
      <w:r w:rsidRPr="00FE3ABF">
        <w:rPr>
          <w:rFonts w:hint="eastAsia"/>
          <w:rtl/>
        </w:rPr>
        <w:t>גלעד</w:t>
      </w:r>
      <w:r w:rsidRPr="00FE3ABF">
        <w:rPr>
          <w:rtl/>
        </w:rPr>
        <w:t xml:space="preserve"> </w:t>
      </w:r>
      <w:r w:rsidRPr="00FE3ABF">
        <w:rPr>
          <w:rFonts w:hint="eastAsia"/>
          <w:rtl/>
        </w:rPr>
        <w:t>שטראוס</w:t>
      </w:r>
      <w:r w:rsidRPr="00FE3ABF">
        <w:rPr>
          <w:rtl/>
        </w:rPr>
        <w:t xml:space="preserve">, </w:t>
      </w:r>
      <w:r w:rsidRPr="00FE3ABF">
        <w:rPr>
          <w:rFonts w:hint="eastAsia"/>
          <w:rtl/>
        </w:rPr>
        <w:t>״למה</w:t>
      </w:r>
      <w:r w:rsidRPr="00FE3ABF">
        <w:rPr>
          <w:rtl/>
        </w:rPr>
        <w:t xml:space="preserve"> </w:t>
      </w:r>
      <w:r w:rsidRPr="00FE3ABF">
        <w:rPr>
          <w:rFonts w:hint="eastAsia"/>
          <w:rtl/>
        </w:rPr>
        <w:t>אישה</w:t>
      </w:r>
      <w:r w:rsidRPr="00FE3ABF">
        <w:rPr>
          <w:rtl/>
        </w:rPr>
        <w:t xml:space="preserve"> </w:t>
      </w:r>
      <w:r w:rsidRPr="00FE3ABF">
        <w:rPr>
          <w:rFonts w:hint="eastAsia"/>
          <w:rtl/>
        </w:rPr>
        <w:t>פסולה</w:t>
      </w:r>
      <w:r w:rsidRPr="00FE3ABF">
        <w:rPr>
          <w:rtl/>
        </w:rPr>
        <w:t xml:space="preserve"> </w:t>
      </w:r>
      <w:r w:rsidRPr="00FE3ABF">
        <w:rPr>
          <w:rFonts w:hint="eastAsia"/>
          <w:rtl/>
        </w:rPr>
        <w:t>לעדות</w:t>
      </w:r>
      <w:r w:rsidRPr="00FE3ABF">
        <w:rPr>
          <w:rtl/>
        </w:rPr>
        <w:t>?</w:t>
      </w:r>
      <w:r w:rsidRPr="00FE3ABF">
        <w:rPr>
          <w:rFonts w:hint="eastAsia"/>
          <w:rtl/>
        </w:rPr>
        <w:t>״</w:t>
      </w:r>
      <w:r w:rsidRPr="00FE3ABF">
        <w:rPr>
          <w:rtl/>
        </w:rPr>
        <w:t xml:space="preserve"> </w:t>
      </w:r>
      <w:r w:rsidRPr="00FE3ABF">
        <w:rPr>
          <w:rFonts w:hint="eastAsia"/>
          <w:rtl/>
        </w:rPr>
        <w:t>ועוד</w:t>
      </w:r>
      <w:r w:rsidRPr="00FE3ABF">
        <w:rPr>
          <w:rtl/>
        </w:rPr>
        <w:t xml:space="preserve"> </w:t>
      </w:r>
      <w:r w:rsidRPr="00FE3ABF">
        <w:rPr>
          <w:rFonts w:hint="eastAsia"/>
          <w:rtl/>
        </w:rPr>
        <w:t>רבים</w:t>
      </w:r>
      <w:r w:rsidRPr="00FE3ABF">
        <w:rPr>
          <w:rtl/>
        </w:rPr>
        <w:t xml:space="preserve"> </w:t>
      </w:r>
      <w:r w:rsidRPr="00FE3ABF">
        <w:rPr>
          <w:rFonts w:hint="eastAsia"/>
          <w:rtl/>
        </w:rPr>
        <w:t>אחרים</w:t>
      </w:r>
      <w:r w:rsidRPr="00FE3ABF">
        <w:rPr>
          <w:rtl/>
        </w:rPr>
        <w:t>.</w:t>
      </w:r>
    </w:p>
  </w:footnote>
  <w:footnote w:id="18">
    <w:p w14:paraId="7242DB6F" w14:textId="3ABFB3AF" w:rsidR="008B4A99" w:rsidRDefault="008B4A99">
      <w:pPr>
        <w:pStyle w:val="FootnoteText"/>
      </w:pPr>
      <w:r>
        <w:rPr>
          <w:rStyle w:val="FootnoteReference"/>
        </w:rPr>
        <w:footnoteRef/>
      </w:r>
      <w:r>
        <w:rPr>
          <w:rtl/>
        </w:rPr>
        <w:t xml:space="preserve"> </w:t>
      </w:r>
      <w:r w:rsidR="000F1F03">
        <w:rPr>
          <w:rtl/>
        </w:rPr>
        <w:tab/>
      </w:r>
      <w:r w:rsidRPr="008B4A99">
        <w:t xml:space="preserve">YD 336:1.2024 Donating One’s Body to Medical Education and </w:t>
      </w:r>
      <w:r w:rsidR="006C7F56" w:rsidRPr="008B4A99">
        <w:t>Research: Rabbi</w:t>
      </w:r>
      <w:r w:rsidRPr="008B4A99">
        <w:t xml:space="preserve"> Pamela Barmash</w:t>
      </w:r>
    </w:p>
  </w:footnote>
  <w:footnote w:id="19">
    <w:p w14:paraId="769EB0B2" w14:textId="3F26AA6F" w:rsidR="009551CF" w:rsidRDefault="009551CF">
      <w:pPr>
        <w:pStyle w:val="FootnoteText"/>
      </w:pPr>
      <w:r>
        <w:rPr>
          <w:rStyle w:val="FootnoteReference"/>
        </w:rPr>
        <w:footnoteRef/>
      </w:r>
      <w:r w:rsidR="006C7F56">
        <w:rPr>
          <w:rtl/>
        </w:rPr>
        <w:t xml:space="preserve"> </w:t>
      </w:r>
      <w:r w:rsidR="000F1F03">
        <w:rPr>
          <w:rtl/>
        </w:rPr>
        <w:tab/>
      </w:r>
      <w:r w:rsidRPr="009551CF">
        <w:rPr>
          <w:rFonts w:hint="eastAsia"/>
          <w:rtl/>
        </w:rPr>
        <w:t>עקרון</w:t>
      </w:r>
      <w:r w:rsidRPr="009551CF">
        <w:rPr>
          <w:rtl/>
        </w:rPr>
        <w:t xml:space="preserve"> </w:t>
      </w:r>
      <w:r w:rsidRPr="009551CF">
        <w:rPr>
          <w:rFonts w:hint="eastAsia"/>
          <w:rtl/>
        </w:rPr>
        <w:t>כבוד</w:t>
      </w:r>
      <w:r w:rsidRPr="009551CF">
        <w:rPr>
          <w:rtl/>
        </w:rPr>
        <w:t xml:space="preserve"> </w:t>
      </w:r>
      <w:r w:rsidRPr="009551CF">
        <w:rPr>
          <w:rFonts w:hint="eastAsia"/>
          <w:rtl/>
        </w:rPr>
        <w:t>המת</w:t>
      </w:r>
      <w:r w:rsidRPr="009551CF">
        <w:rPr>
          <w:rtl/>
        </w:rPr>
        <w:t xml:space="preserve"> </w:t>
      </w:r>
      <w:r w:rsidRPr="009551CF">
        <w:rPr>
          <w:rFonts w:hint="eastAsia"/>
          <w:rtl/>
        </w:rPr>
        <w:t>הוא</w:t>
      </w:r>
      <w:r w:rsidRPr="009551CF">
        <w:rPr>
          <w:rtl/>
        </w:rPr>
        <w:t xml:space="preserve"> </w:t>
      </w:r>
      <w:r w:rsidRPr="009551CF">
        <w:rPr>
          <w:rFonts w:hint="eastAsia"/>
          <w:rtl/>
        </w:rPr>
        <w:t>עיקרון</w:t>
      </w:r>
      <w:r w:rsidRPr="009551CF">
        <w:rPr>
          <w:rtl/>
        </w:rPr>
        <w:t xml:space="preserve"> </w:t>
      </w:r>
      <w:r w:rsidRPr="009551CF">
        <w:rPr>
          <w:rFonts w:hint="eastAsia"/>
          <w:rtl/>
        </w:rPr>
        <w:t>הלכתי</w:t>
      </w:r>
      <w:r w:rsidRPr="009551CF">
        <w:rPr>
          <w:rtl/>
        </w:rPr>
        <w:t xml:space="preserve"> </w:t>
      </w:r>
      <w:r w:rsidRPr="009551CF">
        <w:rPr>
          <w:rFonts w:hint="eastAsia"/>
          <w:rtl/>
        </w:rPr>
        <w:t>המחייב</w:t>
      </w:r>
      <w:r w:rsidRPr="009551CF">
        <w:rPr>
          <w:rtl/>
        </w:rPr>
        <w:t xml:space="preserve"> </w:t>
      </w:r>
      <w:r w:rsidRPr="009551CF">
        <w:rPr>
          <w:rFonts w:hint="eastAsia"/>
          <w:rtl/>
        </w:rPr>
        <w:t>יחס</w:t>
      </w:r>
      <w:r w:rsidRPr="009551CF">
        <w:rPr>
          <w:rtl/>
        </w:rPr>
        <w:t xml:space="preserve"> </w:t>
      </w:r>
      <w:r w:rsidRPr="009551CF">
        <w:rPr>
          <w:rFonts w:hint="eastAsia"/>
          <w:rtl/>
        </w:rPr>
        <w:t>של</w:t>
      </w:r>
      <w:r w:rsidRPr="009551CF">
        <w:rPr>
          <w:rtl/>
        </w:rPr>
        <w:t xml:space="preserve"> </w:t>
      </w:r>
      <w:r w:rsidRPr="009551CF">
        <w:rPr>
          <w:rFonts w:hint="eastAsia"/>
          <w:rtl/>
        </w:rPr>
        <w:t>כבוד</w:t>
      </w:r>
      <w:r w:rsidRPr="009551CF">
        <w:rPr>
          <w:rtl/>
        </w:rPr>
        <w:t xml:space="preserve">, </w:t>
      </w:r>
      <w:r w:rsidRPr="009551CF">
        <w:rPr>
          <w:rFonts w:hint="eastAsia"/>
          <w:rtl/>
        </w:rPr>
        <w:t>זהירות</w:t>
      </w:r>
      <w:r w:rsidRPr="009551CF">
        <w:rPr>
          <w:rtl/>
        </w:rPr>
        <w:t xml:space="preserve"> </w:t>
      </w:r>
      <w:r w:rsidRPr="009551CF">
        <w:rPr>
          <w:rFonts w:hint="eastAsia"/>
          <w:rtl/>
        </w:rPr>
        <w:t>ואיפוק</w:t>
      </w:r>
      <w:r w:rsidRPr="009551CF">
        <w:rPr>
          <w:rtl/>
        </w:rPr>
        <w:t xml:space="preserve"> </w:t>
      </w:r>
      <w:r w:rsidRPr="009551CF">
        <w:rPr>
          <w:rFonts w:hint="eastAsia"/>
          <w:rtl/>
        </w:rPr>
        <w:t>כלפי</w:t>
      </w:r>
      <w:r w:rsidRPr="009551CF">
        <w:rPr>
          <w:rtl/>
        </w:rPr>
        <w:t xml:space="preserve"> </w:t>
      </w:r>
      <w:r w:rsidRPr="009551CF">
        <w:rPr>
          <w:rFonts w:hint="eastAsia"/>
          <w:rtl/>
        </w:rPr>
        <w:t>גופתו</w:t>
      </w:r>
      <w:r w:rsidRPr="009551CF">
        <w:rPr>
          <w:rtl/>
        </w:rPr>
        <w:t xml:space="preserve"> </w:t>
      </w:r>
      <w:r w:rsidRPr="009551CF">
        <w:rPr>
          <w:rFonts w:hint="eastAsia"/>
          <w:rtl/>
        </w:rPr>
        <w:t>וזכרו</w:t>
      </w:r>
      <w:r w:rsidRPr="009551CF">
        <w:rPr>
          <w:rtl/>
        </w:rPr>
        <w:t xml:space="preserve"> </w:t>
      </w:r>
      <w:r w:rsidRPr="009551CF">
        <w:rPr>
          <w:rFonts w:hint="eastAsia"/>
          <w:rtl/>
        </w:rPr>
        <w:t>של</w:t>
      </w:r>
      <w:r w:rsidRPr="009551CF">
        <w:rPr>
          <w:rtl/>
        </w:rPr>
        <w:t xml:space="preserve"> </w:t>
      </w:r>
      <w:r w:rsidRPr="009551CF">
        <w:rPr>
          <w:rFonts w:hint="eastAsia"/>
          <w:rtl/>
        </w:rPr>
        <w:t>אדם</w:t>
      </w:r>
      <w:r w:rsidRPr="009551CF">
        <w:rPr>
          <w:rtl/>
        </w:rPr>
        <w:t xml:space="preserve"> </w:t>
      </w:r>
      <w:r w:rsidRPr="009551CF">
        <w:rPr>
          <w:rFonts w:hint="eastAsia"/>
          <w:rtl/>
        </w:rPr>
        <w:t>לאחר</w:t>
      </w:r>
      <w:r w:rsidRPr="009551CF">
        <w:rPr>
          <w:rtl/>
        </w:rPr>
        <w:t xml:space="preserve"> </w:t>
      </w:r>
      <w:r w:rsidRPr="009551CF">
        <w:rPr>
          <w:rFonts w:hint="eastAsia"/>
          <w:rtl/>
        </w:rPr>
        <w:t>מותו</w:t>
      </w:r>
      <w:r w:rsidRPr="009551CF">
        <w:rPr>
          <w:rtl/>
        </w:rPr>
        <w:t xml:space="preserve">. </w:t>
      </w:r>
      <w:r w:rsidRPr="009551CF">
        <w:rPr>
          <w:rFonts w:hint="eastAsia"/>
          <w:rtl/>
        </w:rPr>
        <w:t>ההלכה</w:t>
      </w:r>
      <w:r w:rsidRPr="009551CF">
        <w:rPr>
          <w:rtl/>
        </w:rPr>
        <w:t xml:space="preserve"> </w:t>
      </w:r>
      <w:r w:rsidRPr="009551CF">
        <w:rPr>
          <w:rFonts w:hint="eastAsia"/>
          <w:rtl/>
        </w:rPr>
        <w:t>רואה</w:t>
      </w:r>
      <w:r w:rsidRPr="009551CF">
        <w:rPr>
          <w:rtl/>
        </w:rPr>
        <w:t xml:space="preserve"> </w:t>
      </w:r>
      <w:r w:rsidRPr="009551CF">
        <w:rPr>
          <w:rFonts w:hint="eastAsia"/>
          <w:rtl/>
        </w:rPr>
        <w:t>במת</w:t>
      </w:r>
      <w:r w:rsidRPr="009551CF">
        <w:rPr>
          <w:rtl/>
        </w:rPr>
        <w:t xml:space="preserve"> </w:t>
      </w:r>
      <w:r w:rsidRPr="009551CF">
        <w:rPr>
          <w:rFonts w:hint="eastAsia"/>
          <w:rtl/>
        </w:rPr>
        <w:t>נושא</w:t>
      </w:r>
      <w:r w:rsidRPr="009551CF">
        <w:rPr>
          <w:rtl/>
        </w:rPr>
        <w:t xml:space="preserve"> </w:t>
      </w:r>
      <w:r w:rsidRPr="009551CF">
        <w:rPr>
          <w:rFonts w:hint="eastAsia"/>
          <w:rtl/>
        </w:rPr>
        <w:t>של</w:t>
      </w:r>
      <w:r w:rsidRPr="009551CF">
        <w:rPr>
          <w:rtl/>
        </w:rPr>
        <w:t xml:space="preserve"> </w:t>
      </w:r>
      <w:r w:rsidRPr="009551CF">
        <w:rPr>
          <w:rFonts w:hint="eastAsia"/>
          <w:rtl/>
        </w:rPr>
        <w:t>קדושה</w:t>
      </w:r>
      <w:r w:rsidRPr="009551CF">
        <w:rPr>
          <w:rtl/>
        </w:rPr>
        <w:t xml:space="preserve">, </w:t>
      </w:r>
      <w:r w:rsidRPr="009551CF">
        <w:rPr>
          <w:rFonts w:hint="eastAsia"/>
          <w:rtl/>
        </w:rPr>
        <w:t>ולכן</w:t>
      </w:r>
      <w:r w:rsidRPr="009551CF">
        <w:rPr>
          <w:rtl/>
        </w:rPr>
        <w:t xml:space="preserve"> </w:t>
      </w:r>
      <w:r w:rsidRPr="009551CF">
        <w:rPr>
          <w:rFonts w:hint="eastAsia"/>
          <w:rtl/>
        </w:rPr>
        <w:t>אוסרת</w:t>
      </w:r>
      <w:r w:rsidRPr="009551CF">
        <w:rPr>
          <w:rtl/>
        </w:rPr>
        <w:t xml:space="preserve"> </w:t>
      </w:r>
      <w:r w:rsidRPr="009551CF">
        <w:rPr>
          <w:rFonts w:hint="eastAsia"/>
          <w:rtl/>
        </w:rPr>
        <w:t>פעולות</w:t>
      </w:r>
      <w:r w:rsidRPr="009551CF">
        <w:rPr>
          <w:rtl/>
        </w:rPr>
        <w:t xml:space="preserve"> </w:t>
      </w:r>
      <w:r w:rsidRPr="009551CF">
        <w:rPr>
          <w:rFonts w:hint="eastAsia"/>
          <w:rtl/>
        </w:rPr>
        <w:t>שיש</w:t>
      </w:r>
      <w:r w:rsidRPr="009551CF">
        <w:rPr>
          <w:rtl/>
        </w:rPr>
        <w:t xml:space="preserve"> </w:t>
      </w:r>
      <w:r w:rsidRPr="009551CF">
        <w:rPr>
          <w:rFonts w:hint="eastAsia"/>
          <w:rtl/>
        </w:rPr>
        <w:t>בהן</w:t>
      </w:r>
      <w:r w:rsidRPr="009551CF">
        <w:rPr>
          <w:rtl/>
        </w:rPr>
        <w:t xml:space="preserve"> </w:t>
      </w:r>
      <w:r w:rsidRPr="009551CF">
        <w:rPr>
          <w:rFonts w:hint="eastAsia"/>
          <w:rtl/>
        </w:rPr>
        <w:t>ביזוי</w:t>
      </w:r>
      <w:r w:rsidRPr="009551CF">
        <w:rPr>
          <w:rtl/>
        </w:rPr>
        <w:t xml:space="preserve">, </w:t>
      </w:r>
      <w:r w:rsidRPr="009551CF">
        <w:rPr>
          <w:rFonts w:hint="eastAsia"/>
          <w:rtl/>
        </w:rPr>
        <w:t>שימוש</w:t>
      </w:r>
      <w:r w:rsidRPr="009551CF">
        <w:rPr>
          <w:rtl/>
        </w:rPr>
        <w:t xml:space="preserve"> </w:t>
      </w:r>
      <w:r w:rsidRPr="009551CF">
        <w:rPr>
          <w:rFonts w:hint="eastAsia"/>
          <w:rtl/>
        </w:rPr>
        <w:t>תועלתני</w:t>
      </w:r>
      <w:r w:rsidRPr="009551CF">
        <w:rPr>
          <w:rtl/>
        </w:rPr>
        <w:t>,</w:t>
      </w:r>
      <w:r w:rsidR="006C7F56">
        <w:rPr>
          <w:rFonts w:hint="cs"/>
          <w:rtl/>
        </w:rPr>
        <w:t xml:space="preserve"> זד</w:t>
      </w:r>
      <w:r w:rsidRPr="009551CF">
        <w:rPr>
          <w:rtl/>
        </w:rPr>
        <w:t xml:space="preserve"> </w:t>
      </w:r>
      <w:r w:rsidRPr="009551CF">
        <w:rPr>
          <w:rFonts w:hint="eastAsia"/>
          <w:rtl/>
        </w:rPr>
        <w:t>או</w:t>
      </w:r>
      <w:r w:rsidRPr="009551CF">
        <w:rPr>
          <w:rtl/>
        </w:rPr>
        <w:t xml:space="preserve"> </w:t>
      </w:r>
      <w:r w:rsidRPr="009551CF">
        <w:rPr>
          <w:rFonts w:hint="eastAsia"/>
          <w:rtl/>
        </w:rPr>
        <w:t>פגיעה</w:t>
      </w:r>
      <w:r w:rsidRPr="009551CF">
        <w:rPr>
          <w:rtl/>
        </w:rPr>
        <w:t xml:space="preserve"> </w:t>
      </w:r>
      <w:r w:rsidRPr="009551CF">
        <w:rPr>
          <w:rFonts w:hint="eastAsia"/>
          <w:rtl/>
        </w:rPr>
        <w:t>בשלמות</w:t>
      </w:r>
      <w:r w:rsidRPr="009551CF">
        <w:rPr>
          <w:rtl/>
        </w:rPr>
        <w:t xml:space="preserve"> </w:t>
      </w:r>
      <w:r w:rsidRPr="009551CF">
        <w:rPr>
          <w:rFonts w:hint="eastAsia"/>
          <w:rtl/>
        </w:rPr>
        <w:t>הגוף</w:t>
      </w:r>
      <w:r w:rsidRPr="009551CF">
        <w:rPr>
          <w:rtl/>
        </w:rPr>
        <w:t xml:space="preserve">. </w:t>
      </w:r>
      <w:r w:rsidRPr="009551CF">
        <w:rPr>
          <w:rFonts w:hint="eastAsia"/>
          <w:rtl/>
        </w:rPr>
        <w:t>עיקרון</w:t>
      </w:r>
      <w:r w:rsidRPr="009551CF">
        <w:rPr>
          <w:rtl/>
        </w:rPr>
        <w:t xml:space="preserve"> </w:t>
      </w:r>
      <w:r w:rsidRPr="009551CF">
        <w:rPr>
          <w:rFonts w:hint="eastAsia"/>
          <w:rtl/>
        </w:rPr>
        <w:t>זה</w:t>
      </w:r>
      <w:r w:rsidRPr="009551CF">
        <w:rPr>
          <w:rtl/>
        </w:rPr>
        <w:t xml:space="preserve"> </w:t>
      </w:r>
      <w:r w:rsidRPr="009551CF">
        <w:rPr>
          <w:rFonts w:hint="eastAsia"/>
          <w:rtl/>
        </w:rPr>
        <w:t>מתבטא</w:t>
      </w:r>
      <w:r w:rsidRPr="009551CF">
        <w:rPr>
          <w:rtl/>
        </w:rPr>
        <w:t xml:space="preserve">, </w:t>
      </w:r>
      <w:r w:rsidRPr="009551CF">
        <w:rPr>
          <w:rFonts w:hint="eastAsia"/>
          <w:rtl/>
        </w:rPr>
        <w:t>בין</w:t>
      </w:r>
      <w:r w:rsidRPr="009551CF">
        <w:rPr>
          <w:rtl/>
        </w:rPr>
        <w:t xml:space="preserve"> </w:t>
      </w:r>
      <w:r w:rsidRPr="009551CF">
        <w:rPr>
          <w:rFonts w:hint="eastAsia"/>
          <w:rtl/>
        </w:rPr>
        <w:t>השאר</w:t>
      </w:r>
      <w:r w:rsidRPr="009551CF">
        <w:rPr>
          <w:rtl/>
        </w:rPr>
        <w:t xml:space="preserve">, </w:t>
      </w:r>
      <w:r w:rsidRPr="009551CF">
        <w:rPr>
          <w:rFonts w:hint="eastAsia"/>
          <w:rtl/>
        </w:rPr>
        <w:t>בחובת</w:t>
      </w:r>
      <w:r w:rsidRPr="009551CF">
        <w:rPr>
          <w:rtl/>
        </w:rPr>
        <w:t xml:space="preserve"> </w:t>
      </w:r>
      <w:r w:rsidRPr="009551CF">
        <w:rPr>
          <w:rFonts w:hint="eastAsia"/>
          <w:rtl/>
        </w:rPr>
        <w:t>קבורה</w:t>
      </w:r>
      <w:r w:rsidRPr="009551CF">
        <w:rPr>
          <w:rtl/>
        </w:rPr>
        <w:t xml:space="preserve"> </w:t>
      </w:r>
      <w:r w:rsidRPr="009551CF">
        <w:rPr>
          <w:rFonts w:hint="eastAsia"/>
          <w:rtl/>
        </w:rPr>
        <w:t>מהירה</w:t>
      </w:r>
      <w:r w:rsidRPr="009551CF">
        <w:rPr>
          <w:rtl/>
        </w:rPr>
        <w:t xml:space="preserve">, </w:t>
      </w:r>
      <w:r w:rsidRPr="009551CF">
        <w:rPr>
          <w:rFonts w:hint="eastAsia"/>
          <w:rtl/>
        </w:rPr>
        <w:t>באיסור</w:t>
      </w:r>
      <w:r w:rsidRPr="009551CF">
        <w:rPr>
          <w:rtl/>
        </w:rPr>
        <w:t xml:space="preserve"> </w:t>
      </w:r>
      <w:r w:rsidRPr="009551CF">
        <w:rPr>
          <w:rFonts w:hint="eastAsia"/>
          <w:rtl/>
        </w:rPr>
        <w:t>הלנת</w:t>
      </w:r>
      <w:r w:rsidRPr="009551CF">
        <w:rPr>
          <w:rtl/>
        </w:rPr>
        <w:t xml:space="preserve"> </w:t>
      </w:r>
      <w:r w:rsidRPr="009551CF">
        <w:rPr>
          <w:rFonts w:hint="eastAsia"/>
          <w:rtl/>
        </w:rPr>
        <w:t>המת</w:t>
      </w:r>
      <w:r w:rsidRPr="009551CF">
        <w:rPr>
          <w:rtl/>
        </w:rPr>
        <w:t xml:space="preserve"> </w:t>
      </w:r>
      <w:r w:rsidRPr="009551CF">
        <w:rPr>
          <w:rFonts w:hint="eastAsia"/>
          <w:rtl/>
        </w:rPr>
        <w:t>שלא</w:t>
      </w:r>
      <w:r w:rsidRPr="009551CF">
        <w:rPr>
          <w:rtl/>
        </w:rPr>
        <w:t xml:space="preserve"> </w:t>
      </w:r>
      <w:r w:rsidRPr="009551CF">
        <w:rPr>
          <w:rFonts w:hint="eastAsia"/>
          <w:rtl/>
        </w:rPr>
        <w:t>לצורך</w:t>
      </w:r>
      <w:r w:rsidRPr="009551CF">
        <w:rPr>
          <w:rtl/>
        </w:rPr>
        <w:t xml:space="preserve">, </w:t>
      </w:r>
      <w:r w:rsidRPr="009551CF">
        <w:rPr>
          <w:rFonts w:hint="eastAsia"/>
          <w:rtl/>
        </w:rPr>
        <w:t>באיסור</w:t>
      </w:r>
      <w:r w:rsidRPr="009551CF">
        <w:rPr>
          <w:rtl/>
        </w:rPr>
        <w:t xml:space="preserve"> </w:t>
      </w:r>
      <w:r w:rsidRPr="009551CF">
        <w:rPr>
          <w:rFonts w:hint="eastAsia"/>
          <w:rtl/>
        </w:rPr>
        <w:t>ניוול</w:t>
      </w:r>
      <w:r w:rsidRPr="009551CF">
        <w:rPr>
          <w:rtl/>
        </w:rPr>
        <w:t xml:space="preserve"> </w:t>
      </w:r>
      <w:r w:rsidRPr="009551CF">
        <w:rPr>
          <w:rFonts w:hint="eastAsia"/>
          <w:rtl/>
        </w:rPr>
        <w:t>המת</w:t>
      </w:r>
      <w:r w:rsidRPr="009551CF">
        <w:rPr>
          <w:rtl/>
        </w:rPr>
        <w:t xml:space="preserve"> </w:t>
      </w:r>
      <w:r w:rsidRPr="009551CF">
        <w:rPr>
          <w:rFonts w:hint="eastAsia"/>
          <w:rtl/>
        </w:rPr>
        <w:t>ובצמצום</w:t>
      </w:r>
      <w:r w:rsidRPr="009551CF">
        <w:rPr>
          <w:rtl/>
        </w:rPr>
        <w:t xml:space="preserve"> </w:t>
      </w:r>
      <w:r w:rsidRPr="009551CF">
        <w:rPr>
          <w:rFonts w:hint="eastAsia"/>
          <w:rtl/>
        </w:rPr>
        <w:t>עיסוק</w:t>
      </w:r>
      <w:r w:rsidRPr="009551CF">
        <w:rPr>
          <w:rtl/>
        </w:rPr>
        <w:t xml:space="preserve"> </w:t>
      </w:r>
      <w:r w:rsidRPr="009551CF">
        <w:rPr>
          <w:rFonts w:hint="eastAsia"/>
          <w:rtl/>
        </w:rPr>
        <w:t>פומבי</w:t>
      </w:r>
      <w:r w:rsidRPr="009551CF">
        <w:rPr>
          <w:rtl/>
        </w:rPr>
        <w:t xml:space="preserve"> </w:t>
      </w:r>
      <w:r w:rsidRPr="009551CF">
        <w:rPr>
          <w:rFonts w:hint="eastAsia"/>
          <w:rtl/>
        </w:rPr>
        <w:t>או</w:t>
      </w:r>
      <w:r w:rsidRPr="009551CF">
        <w:rPr>
          <w:rtl/>
        </w:rPr>
        <w:t xml:space="preserve"> </w:t>
      </w:r>
      <w:r w:rsidRPr="009551CF">
        <w:rPr>
          <w:rFonts w:hint="eastAsia"/>
          <w:rtl/>
        </w:rPr>
        <w:t>משפטי</w:t>
      </w:r>
      <w:r w:rsidRPr="009551CF">
        <w:rPr>
          <w:rtl/>
        </w:rPr>
        <w:t xml:space="preserve"> </w:t>
      </w:r>
      <w:r w:rsidRPr="009551CF">
        <w:rPr>
          <w:rFonts w:hint="eastAsia"/>
          <w:rtl/>
        </w:rPr>
        <w:t>בעניינו</w:t>
      </w:r>
      <w:r w:rsidRPr="009551CF">
        <w:rPr>
          <w:rtl/>
        </w:rPr>
        <w:t xml:space="preserve"> </w:t>
      </w:r>
      <w:r w:rsidRPr="009551CF">
        <w:rPr>
          <w:rFonts w:hint="eastAsia"/>
          <w:rtl/>
        </w:rPr>
        <w:t>של</w:t>
      </w:r>
      <w:r w:rsidRPr="009551CF">
        <w:rPr>
          <w:rtl/>
        </w:rPr>
        <w:t xml:space="preserve"> </w:t>
      </w:r>
      <w:r w:rsidRPr="009551CF">
        <w:rPr>
          <w:rFonts w:hint="eastAsia"/>
          <w:rtl/>
        </w:rPr>
        <w:t>הנפטר</w:t>
      </w:r>
      <w:r w:rsidRPr="009551CF">
        <w:rPr>
          <w:rtl/>
        </w:rPr>
        <w:t xml:space="preserve"> </w:t>
      </w:r>
      <w:r w:rsidRPr="009551CF">
        <w:rPr>
          <w:rFonts w:hint="eastAsia"/>
          <w:rtl/>
        </w:rPr>
        <w:t>מעבר</w:t>
      </w:r>
      <w:r w:rsidRPr="009551CF">
        <w:rPr>
          <w:rtl/>
        </w:rPr>
        <w:t xml:space="preserve"> </w:t>
      </w:r>
      <w:r w:rsidRPr="009551CF">
        <w:rPr>
          <w:rFonts w:hint="eastAsia"/>
          <w:rtl/>
        </w:rPr>
        <w:t>לנדרש</w:t>
      </w:r>
      <w:r w:rsidRPr="009551CF">
        <w:rPr>
          <w:rtl/>
        </w:rPr>
        <w:t xml:space="preserve">. </w:t>
      </w:r>
      <w:r w:rsidRPr="009551CF">
        <w:rPr>
          <w:rFonts w:hint="eastAsia"/>
          <w:rtl/>
        </w:rPr>
        <w:t>חיוב</w:t>
      </w:r>
      <w:r w:rsidRPr="009551CF">
        <w:rPr>
          <w:rtl/>
        </w:rPr>
        <w:t xml:space="preserve"> </w:t>
      </w:r>
      <w:r w:rsidRPr="009551CF">
        <w:rPr>
          <w:rFonts w:hint="eastAsia"/>
          <w:rtl/>
        </w:rPr>
        <w:t>זה</w:t>
      </w:r>
      <w:r w:rsidRPr="009551CF">
        <w:rPr>
          <w:rtl/>
        </w:rPr>
        <w:t xml:space="preserve"> </w:t>
      </w:r>
      <w:r w:rsidRPr="009551CF">
        <w:rPr>
          <w:rFonts w:hint="eastAsia"/>
          <w:rtl/>
        </w:rPr>
        <w:t>אינו</w:t>
      </w:r>
      <w:r w:rsidRPr="009551CF">
        <w:rPr>
          <w:rtl/>
        </w:rPr>
        <w:t xml:space="preserve"> </w:t>
      </w:r>
      <w:r w:rsidRPr="009551CF">
        <w:rPr>
          <w:rFonts w:hint="eastAsia"/>
          <w:rtl/>
        </w:rPr>
        <w:t>נובע</w:t>
      </w:r>
      <w:r w:rsidRPr="009551CF">
        <w:rPr>
          <w:rtl/>
        </w:rPr>
        <w:t xml:space="preserve"> </w:t>
      </w:r>
      <w:r w:rsidRPr="009551CF">
        <w:rPr>
          <w:rFonts w:hint="eastAsia"/>
          <w:rtl/>
        </w:rPr>
        <w:t>רק</w:t>
      </w:r>
      <w:r w:rsidRPr="009551CF">
        <w:rPr>
          <w:rtl/>
        </w:rPr>
        <w:t xml:space="preserve"> </w:t>
      </w:r>
      <w:r w:rsidRPr="009551CF">
        <w:rPr>
          <w:rFonts w:hint="eastAsia"/>
          <w:rtl/>
        </w:rPr>
        <w:t>מרגשות</w:t>
      </w:r>
      <w:r w:rsidRPr="009551CF">
        <w:rPr>
          <w:rtl/>
        </w:rPr>
        <w:t xml:space="preserve"> </w:t>
      </w:r>
      <w:r w:rsidRPr="009551CF">
        <w:rPr>
          <w:rFonts w:hint="eastAsia"/>
          <w:rtl/>
        </w:rPr>
        <w:t>אנושיים</w:t>
      </w:r>
      <w:r w:rsidRPr="009551CF">
        <w:rPr>
          <w:rtl/>
        </w:rPr>
        <w:t xml:space="preserve"> </w:t>
      </w:r>
      <w:r w:rsidRPr="009551CF">
        <w:rPr>
          <w:rFonts w:hint="eastAsia"/>
          <w:rtl/>
        </w:rPr>
        <w:t>של</w:t>
      </w:r>
      <w:r w:rsidRPr="009551CF">
        <w:rPr>
          <w:rtl/>
        </w:rPr>
        <w:t xml:space="preserve"> </w:t>
      </w:r>
      <w:r w:rsidRPr="009551CF">
        <w:rPr>
          <w:rFonts w:hint="eastAsia"/>
          <w:rtl/>
        </w:rPr>
        <w:t>חמלה</w:t>
      </w:r>
      <w:r w:rsidRPr="009551CF">
        <w:rPr>
          <w:rtl/>
        </w:rPr>
        <w:t xml:space="preserve">, </w:t>
      </w:r>
      <w:r w:rsidRPr="009551CF">
        <w:rPr>
          <w:rFonts w:hint="eastAsia"/>
          <w:rtl/>
        </w:rPr>
        <w:t>אלא</w:t>
      </w:r>
      <w:r w:rsidRPr="009551CF">
        <w:rPr>
          <w:rtl/>
        </w:rPr>
        <w:t xml:space="preserve"> </w:t>
      </w:r>
      <w:r w:rsidRPr="009551CF">
        <w:rPr>
          <w:rFonts w:hint="eastAsia"/>
          <w:rtl/>
        </w:rPr>
        <w:t>נתפס</w:t>
      </w:r>
      <w:r w:rsidRPr="009551CF">
        <w:rPr>
          <w:rtl/>
        </w:rPr>
        <w:t xml:space="preserve"> </w:t>
      </w:r>
      <w:r w:rsidRPr="009551CF">
        <w:rPr>
          <w:rFonts w:hint="eastAsia"/>
          <w:rtl/>
        </w:rPr>
        <w:t>כחובה</w:t>
      </w:r>
      <w:r w:rsidRPr="009551CF">
        <w:rPr>
          <w:rtl/>
        </w:rPr>
        <w:t xml:space="preserve"> </w:t>
      </w:r>
      <w:r w:rsidRPr="009551CF">
        <w:rPr>
          <w:rFonts w:hint="eastAsia"/>
          <w:rtl/>
        </w:rPr>
        <w:t>נורמטיבית</w:t>
      </w:r>
      <w:r w:rsidRPr="009551CF">
        <w:rPr>
          <w:rtl/>
        </w:rPr>
        <w:t xml:space="preserve"> </w:t>
      </w:r>
      <w:r w:rsidRPr="009551CF">
        <w:rPr>
          <w:rFonts w:hint="eastAsia"/>
          <w:rtl/>
        </w:rPr>
        <w:t>מחייבת</w:t>
      </w:r>
      <w:r w:rsidRPr="009551CF">
        <w:rPr>
          <w:rtl/>
        </w:rPr>
        <w:t xml:space="preserve">, </w:t>
      </w:r>
      <w:r w:rsidRPr="009551CF">
        <w:rPr>
          <w:rFonts w:hint="eastAsia"/>
          <w:rtl/>
        </w:rPr>
        <w:t>המתחברת</w:t>
      </w:r>
      <w:r w:rsidRPr="009551CF">
        <w:rPr>
          <w:rtl/>
        </w:rPr>
        <w:t xml:space="preserve"> </w:t>
      </w:r>
      <w:r w:rsidRPr="009551CF">
        <w:rPr>
          <w:rFonts w:hint="eastAsia"/>
          <w:rtl/>
        </w:rPr>
        <w:t>במידה</w:t>
      </w:r>
      <w:r w:rsidRPr="009551CF">
        <w:rPr>
          <w:rtl/>
        </w:rPr>
        <w:t xml:space="preserve"> </w:t>
      </w:r>
      <w:r w:rsidRPr="009551CF">
        <w:rPr>
          <w:rFonts w:hint="eastAsia"/>
          <w:rtl/>
        </w:rPr>
        <w:t>כלשהי</w:t>
      </w:r>
      <w:r w:rsidRPr="009551CF">
        <w:rPr>
          <w:rtl/>
        </w:rPr>
        <w:t xml:space="preserve"> </w:t>
      </w:r>
      <w:r w:rsidRPr="009551CF">
        <w:rPr>
          <w:rFonts w:hint="eastAsia"/>
          <w:rtl/>
        </w:rPr>
        <w:t>לעקרון</w:t>
      </w:r>
      <w:r w:rsidRPr="009551CF">
        <w:rPr>
          <w:rtl/>
        </w:rPr>
        <w:t xml:space="preserve"> </w:t>
      </w:r>
      <w:r w:rsidRPr="009551CF">
        <w:rPr>
          <w:rFonts w:hint="eastAsia"/>
          <w:rtl/>
        </w:rPr>
        <w:t>כבוד</w:t>
      </w:r>
      <w:r w:rsidRPr="009551CF">
        <w:rPr>
          <w:rtl/>
        </w:rPr>
        <w:t xml:space="preserve"> </w:t>
      </w:r>
      <w:r w:rsidRPr="009551CF">
        <w:rPr>
          <w:rFonts w:hint="eastAsia"/>
          <w:rtl/>
        </w:rPr>
        <w:t>הבריות</w:t>
      </w:r>
      <w:r w:rsidRPr="009551CF">
        <w:rPr>
          <w:rtl/>
        </w:rPr>
        <w:t xml:space="preserve"> </w:t>
      </w:r>
      <w:r w:rsidRPr="009551CF">
        <w:rPr>
          <w:rFonts w:hint="eastAsia"/>
          <w:rtl/>
        </w:rPr>
        <w:t>הזכר</w:t>
      </w:r>
      <w:r w:rsidRPr="009551CF">
        <w:rPr>
          <w:rtl/>
        </w:rPr>
        <w:t xml:space="preserve"> </w:t>
      </w:r>
      <w:r w:rsidRPr="009551CF">
        <w:rPr>
          <w:rFonts w:hint="eastAsia"/>
          <w:rtl/>
        </w:rPr>
        <w:t>לעיל</w:t>
      </w:r>
      <w:r w:rsidRPr="009551CF">
        <w:rPr>
          <w:rtl/>
        </w:rPr>
        <w:t xml:space="preserve">, </w:t>
      </w:r>
      <w:r w:rsidRPr="009551CF">
        <w:rPr>
          <w:rFonts w:hint="eastAsia"/>
          <w:rtl/>
        </w:rPr>
        <w:t>גם</w:t>
      </w:r>
      <w:r w:rsidRPr="009551CF">
        <w:rPr>
          <w:rtl/>
        </w:rPr>
        <w:t xml:space="preserve"> </w:t>
      </w:r>
      <w:r w:rsidRPr="009551CF">
        <w:rPr>
          <w:rFonts w:hint="eastAsia"/>
          <w:rtl/>
        </w:rPr>
        <w:t>לאחר</w:t>
      </w:r>
      <w:r w:rsidRPr="009551CF">
        <w:rPr>
          <w:rtl/>
        </w:rPr>
        <w:t xml:space="preserve"> </w:t>
      </w:r>
      <w:r w:rsidRPr="009551CF">
        <w:rPr>
          <w:rFonts w:hint="eastAsia"/>
          <w:rtl/>
        </w:rPr>
        <w:t>מותו</w:t>
      </w:r>
      <w:r w:rsidRPr="009551CF">
        <w:rPr>
          <w:rtl/>
        </w:rPr>
        <w:t xml:space="preserve">, </w:t>
      </w:r>
      <w:r w:rsidRPr="009551CF">
        <w:rPr>
          <w:rFonts w:hint="eastAsia"/>
          <w:rtl/>
        </w:rPr>
        <w:t>ומגבילה</w:t>
      </w:r>
      <w:r w:rsidRPr="009551CF">
        <w:rPr>
          <w:rtl/>
        </w:rPr>
        <w:t xml:space="preserve"> </w:t>
      </w:r>
      <w:r w:rsidRPr="009551CF">
        <w:rPr>
          <w:rFonts w:hint="eastAsia"/>
          <w:rtl/>
        </w:rPr>
        <w:t>את</w:t>
      </w:r>
      <w:r w:rsidRPr="009551CF">
        <w:rPr>
          <w:rtl/>
        </w:rPr>
        <w:t xml:space="preserve"> </w:t>
      </w:r>
      <w:r w:rsidRPr="009551CF">
        <w:rPr>
          <w:rFonts w:hint="eastAsia"/>
          <w:rtl/>
        </w:rPr>
        <w:t>שיקול</w:t>
      </w:r>
      <w:r w:rsidRPr="009551CF">
        <w:rPr>
          <w:rtl/>
        </w:rPr>
        <w:t xml:space="preserve"> </w:t>
      </w:r>
      <w:r w:rsidRPr="009551CF">
        <w:rPr>
          <w:rFonts w:hint="eastAsia"/>
          <w:rtl/>
        </w:rPr>
        <w:t>הדעת</w:t>
      </w:r>
      <w:r w:rsidRPr="009551CF">
        <w:rPr>
          <w:rtl/>
        </w:rPr>
        <w:t xml:space="preserve"> </w:t>
      </w:r>
      <w:r w:rsidRPr="009551CF">
        <w:rPr>
          <w:rFonts w:hint="eastAsia"/>
          <w:rtl/>
        </w:rPr>
        <w:t>ההלכתי</w:t>
      </w:r>
      <w:r w:rsidRPr="009551CF">
        <w:rPr>
          <w:rtl/>
        </w:rPr>
        <w:t xml:space="preserve"> </w:t>
      </w:r>
      <w:r w:rsidRPr="009551CF">
        <w:rPr>
          <w:rFonts w:hint="eastAsia"/>
          <w:rtl/>
        </w:rPr>
        <w:t>במצבים</w:t>
      </w:r>
      <w:r w:rsidRPr="009551CF">
        <w:rPr>
          <w:rtl/>
        </w:rPr>
        <w:t xml:space="preserve"> </w:t>
      </w:r>
      <w:r w:rsidRPr="009551CF">
        <w:rPr>
          <w:rFonts w:hint="eastAsia"/>
          <w:rtl/>
        </w:rPr>
        <w:t>שבהם</w:t>
      </w:r>
      <w:r w:rsidRPr="009551CF">
        <w:rPr>
          <w:rtl/>
        </w:rPr>
        <w:t xml:space="preserve"> </w:t>
      </w:r>
      <w:r w:rsidRPr="009551CF">
        <w:rPr>
          <w:rFonts w:hint="eastAsia"/>
          <w:rtl/>
        </w:rPr>
        <w:t>אינטרסים</w:t>
      </w:r>
      <w:r w:rsidRPr="009551CF">
        <w:rPr>
          <w:rtl/>
        </w:rPr>
        <w:t xml:space="preserve"> </w:t>
      </w:r>
      <w:r w:rsidRPr="009551CF">
        <w:rPr>
          <w:rFonts w:hint="eastAsia"/>
          <w:rtl/>
        </w:rPr>
        <w:t>אחרים</w:t>
      </w:r>
      <w:r w:rsidRPr="009551CF">
        <w:rPr>
          <w:rtl/>
        </w:rPr>
        <w:t xml:space="preserve"> </w:t>
      </w:r>
      <w:r w:rsidRPr="009551CF">
        <w:rPr>
          <w:rFonts w:hint="eastAsia"/>
          <w:rtl/>
        </w:rPr>
        <w:t>עומדים</w:t>
      </w:r>
      <w:r w:rsidRPr="009551CF">
        <w:rPr>
          <w:rtl/>
        </w:rPr>
        <w:t xml:space="preserve"> </w:t>
      </w:r>
      <w:r w:rsidRPr="009551CF">
        <w:rPr>
          <w:rFonts w:hint="eastAsia"/>
          <w:rtl/>
        </w:rPr>
        <w:t>על</w:t>
      </w:r>
      <w:r w:rsidRPr="009551CF">
        <w:rPr>
          <w:rtl/>
        </w:rPr>
        <w:t xml:space="preserve"> </w:t>
      </w:r>
      <w:r w:rsidRPr="009551CF">
        <w:rPr>
          <w:rFonts w:hint="eastAsia"/>
          <w:rtl/>
        </w:rPr>
        <w:t>הפרק</w:t>
      </w:r>
      <w:r w:rsidRPr="009551CF">
        <w:rPr>
          <w:rtl/>
        </w:rPr>
        <w:t>.</w:t>
      </w:r>
    </w:p>
  </w:footnote>
  <w:footnote w:id="20">
    <w:p w14:paraId="11C7FC85" w14:textId="6CD79A67" w:rsidR="0059484E" w:rsidRDefault="0059484E">
      <w:pPr>
        <w:pStyle w:val="FootnoteText"/>
      </w:pPr>
      <w:r>
        <w:rPr>
          <w:rStyle w:val="FootnoteReference"/>
        </w:rPr>
        <w:footnoteRef/>
      </w:r>
      <w:r>
        <w:rPr>
          <w:rtl/>
        </w:rPr>
        <w:t xml:space="preserve"> </w:t>
      </w:r>
      <w:r w:rsidR="000F1F03">
        <w:rPr>
          <w:rtl/>
        </w:rPr>
        <w:tab/>
      </w:r>
      <w:r w:rsidRPr="0059484E">
        <w:rPr>
          <w:rtl/>
        </w:rPr>
        <w:t xml:space="preserve">(2024) </w:t>
      </w:r>
      <w:r w:rsidRPr="0059484E">
        <w:t>Rabbi Meir Szames: A Dissenting Opinion - Donating Bodies to Science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35E2" w14:textId="73DEF849"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065F92">
      <w:rPr>
        <w:rFonts w:ascii="Heebo Light" w:hAnsi="Heebo Light" w:cs="Heebo Light"/>
        <w:noProof/>
        <w:sz w:val="18"/>
        <w:szCs w:val="18"/>
        <w:rtl/>
      </w:rPr>
      <w:t>ג'ואי זאב</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17AA" w14:textId="1EA0BE98"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885C6D">
      <w:rPr>
        <w:rFonts w:ascii="Heebo Light" w:hAnsi="Heebo Light" w:cs="Heebo Light"/>
        <w:noProof/>
        <w:sz w:val="18"/>
        <w:szCs w:val="18"/>
        <w:rtl/>
      </w:rPr>
      <w:fldChar w:fldCharType="begin"/>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Pr>
      <w:instrText>STYLEREF  Title  \* MERGEFORMAT</w:instrText>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tl/>
      </w:rPr>
      <w:fldChar w:fldCharType="separate"/>
    </w:r>
    <w:r w:rsidR="00065F92" w:rsidRPr="00065F92">
      <w:rPr>
        <w:rFonts w:ascii="Heebo Light" w:hAnsi="Heebo Light" w:cs="Heebo Light"/>
        <w:b/>
        <w:bCs/>
        <w:noProof/>
        <w:sz w:val="18"/>
        <w:szCs w:val="18"/>
        <w:rtl/>
      </w:rPr>
      <w:t>עיון מצומצם בפסיקה קונסרבטיבית</w:t>
    </w:r>
    <w:r w:rsidR="00885C6D">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4A42"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6686E"/>
    <w:rsid w:val="00034BF9"/>
    <w:rsid w:val="000409AA"/>
    <w:rsid w:val="00065F92"/>
    <w:rsid w:val="000A2278"/>
    <w:rsid w:val="000A42EB"/>
    <w:rsid w:val="000C7944"/>
    <w:rsid w:val="000F036B"/>
    <w:rsid w:val="000F1F03"/>
    <w:rsid w:val="000F6C90"/>
    <w:rsid w:val="00117507"/>
    <w:rsid w:val="00166CF0"/>
    <w:rsid w:val="00187664"/>
    <w:rsid w:val="00195C7F"/>
    <w:rsid w:val="001C3D45"/>
    <w:rsid w:val="001C67F9"/>
    <w:rsid w:val="001E67F1"/>
    <w:rsid w:val="002D60F4"/>
    <w:rsid w:val="002F4E37"/>
    <w:rsid w:val="003711E9"/>
    <w:rsid w:val="00391E9D"/>
    <w:rsid w:val="003B1D57"/>
    <w:rsid w:val="003B2C8F"/>
    <w:rsid w:val="003D5576"/>
    <w:rsid w:val="00424810"/>
    <w:rsid w:val="004545B2"/>
    <w:rsid w:val="00466C8B"/>
    <w:rsid w:val="00471539"/>
    <w:rsid w:val="004D4620"/>
    <w:rsid w:val="004E47AE"/>
    <w:rsid w:val="004F3731"/>
    <w:rsid w:val="005208F8"/>
    <w:rsid w:val="005805DA"/>
    <w:rsid w:val="0059484E"/>
    <w:rsid w:val="005F33A2"/>
    <w:rsid w:val="00612B20"/>
    <w:rsid w:val="00637728"/>
    <w:rsid w:val="00654F62"/>
    <w:rsid w:val="00662B22"/>
    <w:rsid w:val="006C7F56"/>
    <w:rsid w:val="006D797A"/>
    <w:rsid w:val="006E6632"/>
    <w:rsid w:val="00703411"/>
    <w:rsid w:val="00737F13"/>
    <w:rsid w:val="00755E25"/>
    <w:rsid w:val="007A671B"/>
    <w:rsid w:val="007D6473"/>
    <w:rsid w:val="00823540"/>
    <w:rsid w:val="0084597A"/>
    <w:rsid w:val="00847FFA"/>
    <w:rsid w:val="00883E5B"/>
    <w:rsid w:val="00885C6D"/>
    <w:rsid w:val="008B4A99"/>
    <w:rsid w:val="008D1F83"/>
    <w:rsid w:val="008D6718"/>
    <w:rsid w:val="00943324"/>
    <w:rsid w:val="009551CF"/>
    <w:rsid w:val="00987353"/>
    <w:rsid w:val="00991A43"/>
    <w:rsid w:val="009E7FBB"/>
    <w:rsid w:val="00A0187E"/>
    <w:rsid w:val="00A31408"/>
    <w:rsid w:val="00A85D0D"/>
    <w:rsid w:val="00AB2BC4"/>
    <w:rsid w:val="00AC33C1"/>
    <w:rsid w:val="00B1141A"/>
    <w:rsid w:val="00B32378"/>
    <w:rsid w:val="00B41A38"/>
    <w:rsid w:val="00B90D4E"/>
    <w:rsid w:val="00BB325B"/>
    <w:rsid w:val="00BD7AC8"/>
    <w:rsid w:val="00C02286"/>
    <w:rsid w:val="00C10D32"/>
    <w:rsid w:val="00C32744"/>
    <w:rsid w:val="00C56CAF"/>
    <w:rsid w:val="00C728AB"/>
    <w:rsid w:val="00C87786"/>
    <w:rsid w:val="00CE34F8"/>
    <w:rsid w:val="00D6686E"/>
    <w:rsid w:val="00D676EA"/>
    <w:rsid w:val="00DB175E"/>
    <w:rsid w:val="00DB6838"/>
    <w:rsid w:val="00DD25DD"/>
    <w:rsid w:val="00DD5960"/>
    <w:rsid w:val="00DD7192"/>
    <w:rsid w:val="00DE02A3"/>
    <w:rsid w:val="00E05934"/>
    <w:rsid w:val="00E07AB3"/>
    <w:rsid w:val="00E34842"/>
    <w:rsid w:val="00E47371"/>
    <w:rsid w:val="00EE361A"/>
    <w:rsid w:val="00EE3BF0"/>
    <w:rsid w:val="00F0278E"/>
    <w:rsid w:val="00F02FFA"/>
    <w:rsid w:val="00F15862"/>
    <w:rsid w:val="00F268C7"/>
    <w:rsid w:val="00F938E7"/>
    <w:rsid w:val="00FB28D6"/>
    <w:rsid w:val="00FD4F7B"/>
    <w:rsid w:val="00FE3ABF"/>
    <w:rsid w:val="00FE59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7387F"/>
  <w15:docId w15:val="{D1385514-9A28-4572-B1B2-3A9C490E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next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amar\Documents\Shiluv32-Book-main\&#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27</TotalTime>
  <Pages>15</Pages>
  <Words>3900</Words>
  <Characters>18917</Characters>
  <Application>Microsoft Office Word</Application>
  <DocSecurity>0</DocSecurity>
  <Lines>386</Lines>
  <Paragraphs>65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Itamar</dc:creator>
  <cp:lastModifiedBy>ארי סולטניק - מנמ"ר</cp:lastModifiedBy>
  <cp:revision>31</cp:revision>
  <dcterms:created xsi:type="dcterms:W3CDTF">2026-03-26T16:44:00Z</dcterms:created>
  <dcterms:modified xsi:type="dcterms:W3CDTF">2026-03-26T17:34:00Z</dcterms:modified>
</cp:coreProperties>
</file>