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64DFE" w14:textId="580AFA1A" w:rsidR="00612B20" w:rsidRDefault="00616B77" w:rsidP="00424810">
      <w:pPr>
        <w:pStyle w:val="a"/>
        <w:rPr>
          <w:rtl/>
        </w:rPr>
      </w:pPr>
      <w:r>
        <w:rPr>
          <w:rFonts w:hint="cs"/>
          <w:rtl/>
        </w:rPr>
        <w:t>רפאל קמפבל הוכשטיין</w:t>
      </w:r>
    </w:p>
    <w:p w14:paraId="05408423" w14:textId="77777777" w:rsidR="00616B77" w:rsidRPr="00616B77" w:rsidRDefault="00616B77" w:rsidP="00616B77">
      <w:pPr>
        <w:pStyle w:val="Title"/>
        <w:rPr>
          <w:lang w:val="en-IL"/>
        </w:rPr>
      </w:pPr>
      <w:r w:rsidRPr="00616B77">
        <w:rPr>
          <w:b/>
          <w:rtl/>
        </w:rPr>
        <w:t>היחס לגויים במשנה תורה לרמב"ם</w:t>
      </w:r>
    </w:p>
    <w:p w14:paraId="3134D26B" w14:textId="77777777" w:rsidR="00616B77" w:rsidRPr="00616B77" w:rsidRDefault="00616B77" w:rsidP="00616B77">
      <w:pPr>
        <w:spacing w:before="240"/>
        <w:ind w:firstLine="0"/>
        <w:rPr>
          <w:lang w:val="en-IL"/>
        </w:rPr>
      </w:pPr>
      <w:r w:rsidRPr="00616B77">
        <w:rPr>
          <w:rtl/>
          <w:lang w:val="en-IL"/>
        </w:rPr>
        <w:t>השנה למדתי את כל המשנה תורה לרמב״ם. רציתי לא רק ללמוד בקריאה שהייתה רוב הזמן עם עצמי, אלה גם לדחוף את עצמי לשתף, להיות אקטיבי יותר, ולצאת עם מאמר קטן שנותן לי הזדמנות קצת לסכם ואולי גם לשתף בפרויקט לימוד הזה. </w:t>
      </w:r>
    </w:p>
    <w:p w14:paraId="5279187B" w14:textId="77777777" w:rsidR="00616B77" w:rsidRPr="00616B77" w:rsidRDefault="00616B77" w:rsidP="00616B77">
      <w:pPr>
        <w:rPr>
          <w:rtl/>
          <w:lang w:val="en-IL"/>
        </w:rPr>
      </w:pPr>
      <w:r w:rsidRPr="00616B77">
        <w:rPr>
          <w:rtl/>
          <w:lang w:val="en-IL"/>
        </w:rPr>
        <w:t>חשבתי לעצמי על נושא שהשפיע עלי במהלך הלימוד ונזכרתי שתוך כדי העיון שמתי לב שהרמב״ם מתייחס בצורות שונות לגויים: לפעמים הם מקבלים אותו יחס כמו ישראל ולעיתים יחס גרוע ושלילי. הדבר גרם לי לשאול מתי בוחר הרמב״ם ביחס זה ומתי ביחס אחר. באופן אישי אוסיף שהמקומות שבהם הרמב״ם מתיר יחס שלילי גרמו לי לעצב או כעס וגם משם נבעה השאלה שלי וגם התרחבה: האם היום ישנה תפיסה יותר הומניסטית רחבה ובזמנו התפיסה הייתה צרה יותר וקהילתית יותר, ובאופן עמוק האם היה אכפת לאנשים רק מהקרובים אליהם?</w:t>
      </w:r>
    </w:p>
    <w:p w14:paraId="0AACF6B6" w14:textId="77777777" w:rsidR="00616B77" w:rsidRPr="00616B77" w:rsidRDefault="00616B77" w:rsidP="00616B77">
      <w:pPr>
        <w:pStyle w:val="Heading2"/>
        <w:rPr>
          <w:rtl/>
          <w:lang w:val="en-IL"/>
        </w:rPr>
      </w:pPr>
      <w:r w:rsidRPr="00616B77">
        <w:rPr>
          <w:rtl/>
          <w:lang w:val="en-IL"/>
        </w:rPr>
        <w:t>דוגמאות ליחס שלילי לגויים אצל הרמב"ם</w:t>
      </w:r>
    </w:p>
    <w:p w14:paraId="24EB9883" w14:textId="06767705" w:rsidR="00E649DB" w:rsidRDefault="00616B77" w:rsidP="00616B77">
      <w:pPr>
        <w:ind w:firstLine="0"/>
        <w:rPr>
          <w:rtl/>
          <w:lang w:val="en-IL"/>
        </w:rPr>
      </w:pPr>
      <w:r w:rsidRPr="00616B77">
        <w:rPr>
          <w:rtl/>
          <w:lang w:val="en-IL"/>
        </w:rPr>
        <w:t>בספר נזיקין בהלכות גזלה ואבדה מתחיל הרמב"ם לדבר על אבדות, והפרק נפתח כך "השב אבידה לישראל מצות עשה שנאמר (דברים כ"ב א) 'השב תשיבם לאחיך'".</w:t>
      </w:r>
      <w:r w:rsidR="00E649DB">
        <w:rPr>
          <w:rStyle w:val="FootnoteReference"/>
          <w:rtl/>
          <w:lang w:val="en-IL"/>
        </w:rPr>
        <w:footnoteReference w:id="1"/>
      </w:r>
      <w:r w:rsidRPr="00616B77">
        <w:rPr>
          <w:rtl/>
          <w:lang w:val="en-IL"/>
        </w:rPr>
        <w:t xml:space="preserve"> הרמב"ם לומד את הפסוק ומפרש את המילה 'אחיך' כמתכוונת לישראל ולכן חייב להשיב את האבדה לישראל.</w:t>
      </w:r>
      <w:r w:rsidR="009A0C2A">
        <w:rPr>
          <w:rtl/>
          <w:lang w:val="en-IL"/>
        </w:rPr>
        <w:t xml:space="preserve"> </w:t>
      </w:r>
      <w:r w:rsidRPr="00616B77">
        <w:rPr>
          <w:rtl/>
          <w:lang w:val="en-IL"/>
        </w:rPr>
        <w:t>אבל שתי הלכות מאוחר יותר בפרק,</w:t>
      </w:r>
      <w:r w:rsidR="009A0C2A">
        <w:rPr>
          <w:rtl/>
          <w:lang w:val="en-IL"/>
        </w:rPr>
        <w:t xml:space="preserve"> </w:t>
      </w:r>
      <w:r w:rsidRPr="00616B77">
        <w:rPr>
          <w:rtl/>
          <w:lang w:val="en-IL"/>
        </w:rPr>
        <w:t>ביחס לגויים, הרמב"ם כותב:</w:t>
      </w:r>
    </w:p>
    <w:p w14:paraId="69646E15" w14:textId="3CEE4BFE" w:rsidR="00870021" w:rsidRDefault="00616B77" w:rsidP="00870021">
      <w:pPr>
        <w:pStyle w:val="Quote"/>
        <w:rPr>
          <w:rtl/>
          <w:lang w:val="en-IL"/>
        </w:rPr>
      </w:pPr>
      <w:r w:rsidRPr="00616B77">
        <w:rPr>
          <w:rtl/>
          <w:lang w:val="en-IL"/>
        </w:rPr>
        <w:t xml:space="preserve">אבידת הגוי מותרת שנאמר (דברים כ"ב ג') 'אבידת אחיך', והמחזירה הרי זה עובר עבירה מפני שהוא מחזיק ידי רשעי עולם, ואם החזירה לקדש את הקב"ה, </w:t>
      </w:r>
      <w:r w:rsidRPr="00616B77">
        <w:rPr>
          <w:rtl/>
          <w:lang w:val="en-IL"/>
        </w:rPr>
        <w:lastRenderedPageBreak/>
        <w:t>כדי שיפארו את ישראל וידעו בהן שהן בעלי אמונה הרי זה משובח</w:t>
      </w:r>
      <w:r w:rsidR="00870021">
        <w:rPr>
          <w:rStyle w:val="FootnoteReference"/>
          <w:rtl/>
          <w:lang w:val="en-IL"/>
        </w:rPr>
        <w:footnoteReference w:id="2"/>
      </w:r>
    </w:p>
    <w:p w14:paraId="2881574C" w14:textId="6C71EB80" w:rsidR="00616B77" w:rsidRPr="00616B77" w:rsidRDefault="00616B77" w:rsidP="00616B77">
      <w:pPr>
        <w:ind w:firstLine="0"/>
        <w:rPr>
          <w:rtl/>
          <w:lang w:val="en-IL"/>
        </w:rPr>
      </w:pPr>
      <w:r w:rsidRPr="00616B77">
        <w:rPr>
          <w:rtl/>
          <w:lang w:val="en-IL"/>
        </w:rPr>
        <w:t>כלומר, לא רק כתוב שמותר לקחת את האבדה של הגוי אלה שהרמב"ם הולך צעד אחד נוסף ואוסר להחזיר להם את האבדה, ואומר שאם מחזירים אז עוברים על עברה. הרמב"ם מסייג ואומר שרק צריך להחזיר לגויים אם רוצים לקדש את שם ה' או להיראות טוב בעיניהם.</w:t>
      </w:r>
    </w:p>
    <w:p w14:paraId="78752FDB" w14:textId="39E1B333" w:rsidR="00A03896" w:rsidRDefault="00616B77" w:rsidP="00616B77">
      <w:pPr>
        <w:rPr>
          <w:rtl/>
          <w:lang w:val="en-IL"/>
        </w:rPr>
      </w:pPr>
      <w:r w:rsidRPr="00616B77">
        <w:rPr>
          <w:rtl/>
          <w:lang w:val="en-IL"/>
        </w:rPr>
        <w:t>עוד מקרה של חוסר שוויון שנמצא גם הוא בספר נזיקין, הפעם בהלכות רוצח ושמירת נפש בפרק י״ב</w:t>
      </w:r>
      <w:r w:rsidR="00C903C3">
        <w:rPr>
          <w:rStyle w:val="FootnoteReference"/>
          <w:rtl/>
          <w:lang w:val="en-IL"/>
        </w:rPr>
        <w:footnoteReference w:id="3"/>
      </w:r>
      <w:r w:rsidR="006D3893">
        <w:rPr>
          <w:rFonts w:hint="cs"/>
          <w:rtl/>
          <w:lang w:val="en-IL"/>
        </w:rPr>
        <w:t>:</w:t>
      </w:r>
    </w:p>
    <w:p w14:paraId="213BC1E2" w14:textId="40F27BE3" w:rsidR="00511DA4" w:rsidRDefault="00616B77" w:rsidP="00511DA4">
      <w:pPr>
        <w:pStyle w:val="Quote"/>
        <w:rPr>
          <w:rtl/>
          <w:lang w:val="en-IL"/>
        </w:rPr>
      </w:pPr>
      <w:r w:rsidRPr="00616B77">
        <w:rPr>
          <w:rtl/>
          <w:lang w:val="en-IL"/>
        </w:rPr>
        <w:t xml:space="preserve">וכן אסור ליהודי </w:t>
      </w:r>
      <w:proofErr w:type="spellStart"/>
      <w:r w:rsidRPr="00616B77">
        <w:rPr>
          <w:rtl/>
          <w:lang w:val="en-IL"/>
        </w:rPr>
        <w:t>להתיחד</w:t>
      </w:r>
      <w:proofErr w:type="spellEnd"/>
      <w:r w:rsidRPr="00616B77">
        <w:rPr>
          <w:rtl/>
          <w:lang w:val="en-IL"/>
        </w:rPr>
        <w:t xml:space="preserve"> עם </w:t>
      </w:r>
      <w:proofErr w:type="spellStart"/>
      <w:r w:rsidRPr="00616B77">
        <w:rPr>
          <w:rtl/>
          <w:lang w:val="en-IL"/>
        </w:rPr>
        <w:t>הגוים</w:t>
      </w:r>
      <w:proofErr w:type="spellEnd"/>
      <w:r w:rsidRPr="00616B77">
        <w:rPr>
          <w:rtl/>
          <w:lang w:val="en-IL"/>
        </w:rPr>
        <w:t xml:space="preserve"> מפני שהן חשודים על שפיכות דמים, ולא יתלווה עמהן בדרך, פגע בגוי בדרך מחזירו לימינו, היו </w:t>
      </w:r>
      <w:proofErr w:type="spellStart"/>
      <w:r w:rsidRPr="00616B77">
        <w:rPr>
          <w:rtl/>
          <w:lang w:val="en-IL"/>
        </w:rPr>
        <w:t>עולין</w:t>
      </w:r>
      <w:proofErr w:type="spellEnd"/>
      <w:r w:rsidRPr="00616B77">
        <w:rPr>
          <w:rtl/>
          <w:lang w:val="en-IL"/>
        </w:rPr>
        <w:t xml:space="preserve"> במעלה או יורדים בירידה, לא יהיה ישראל למטה וגוי למעלה, אלא ישראל למעלה וגוי למטה, שמא </w:t>
      </w:r>
      <w:proofErr w:type="spellStart"/>
      <w:r w:rsidRPr="00616B77">
        <w:rPr>
          <w:rtl/>
          <w:lang w:val="en-IL"/>
        </w:rPr>
        <w:t>יפול</w:t>
      </w:r>
      <w:proofErr w:type="spellEnd"/>
      <w:r w:rsidRPr="00616B77">
        <w:rPr>
          <w:rtl/>
          <w:lang w:val="en-IL"/>
        </w:rPr>
        <w:t xml:space="preserve"> עליו להמיתו, ואל </w:t>
      </w:r>
      <w:proofErr w:type="spellStart"/>
      <w:r w:rsidRPr="00616B77">
        <w:rPr>
          <w:rtl/>
          <w:lang w:val="en-IL"/>
        </w:rPr>
        <w:t>ישוח</w:t>
      </w:r>
      <w:proofErr w:type="spellEnd"/>
      <w:r w:rsidRPr="00616B77">
        <w:rPr>
          <w:rtl/>
          <w:lang w:val="en-IL"/>
        </w:rPr>
        <w:t xml:space="preserve"> לפניו שמא ירוץ את </w:t>
      </w:r>
      <w:proofErr w:type="spellStart"/>
      <w:r w:rsidRPr="00616B77">
        <w:rPr>
          <w:rtl/>
          <w:lang w:val="en-IL"/>
        </w:rPr>
        <w:t>גולגלתו</w:t>
      </w:r>
      <w:proofErr w:type="spellEnd"/>
      <w:r w:rsidRPr="00616B77">
        <w:rPr>
          <w:rtl/>
          <w:lang w:val="en-IL"/>
        </w:rPr>
        <w:t>.</w:t>
      </w:r>
    </w:p>
    <w:p w14:paraId="75487C9D" w14:textId="2A01BA04" w:rsidR="00973799" w:rsidRDefault="00616B77" w:rsidP="00472414">
      <w:pPr>
        <w:ind w:firstLine="0"/>
        <w:rPr>
          <w:rtl/>
          <w:lang w:val="en-IL"/>
        </w:rPr>
      </w:pPr>
      <w:r w:rsidRPr="00616B77">
        <w:rPr>
          <w:rtl/>
          <w:lang w:val="en-IL"/>
        </w:rPr>
        <w:t>הלכה זו אומרת לא להיות לבד עם גוי ולא ללכת עם גויים בדרך ואם במקרה פוגשים גוי והולכים איתו אז ללכת באופן שאתה מוכן לכל תרחיש שיכול לקרות - כלומר לא לסמוך על הגויים. בהמשך הפרק</w:t>
      </w:r>
      <w:r w:rsidR="00FC3B2E">
        <w:rPr>
          <w:rStyle w:val="FootnoteReference"/>
          <w:rtl/>
          <w:lang w:val="en-IL"/>
        </w:rPr>
        <w:footnoteReference w:id="4"/>
      </w:r>
      <w:r w:rsidRPr="00616B77">
        <w:rPr>
          <w:rtl/>
          <w:lang w:val="en-IL"/>
        </w:rPr>
        <w:t xml:space="preserve"> יש עוד דוגמא לזה</w:t>
      </w:r>
      <w:r w:rsidR="00DD6DF2">
        <w:rPr>
          <w:rFonts w:hint="cs"/>
          <w:rtl/>
          <w:lang w:val="en-IL"/>
        </w:rPr>
        <w:t>:</w:t>
      </w:r>
    </w:p>
    <w:p w14:paraId="64A6ECD4" w14:textId="4443D4FA" w:rsidR="00973799" w:rsidRDefault="00616B77" w:rsidP="00973799">
      <w:pPr>
        <w:pStyle w:val="Quote"/>
        <w:rPr>
          <w:rtl/>
          <w:lang w:val="en-IL"/>
        </w:rPr>
      </w:pPr>
      <w:r w:rsidRPr="00616B77">
        <w:rPr>
          <w:rtl/>
          <w:lang w:val="en-IL"/>
        </w:rPr>
        <w:t xml:space="preserve">אסור </w:t>
      </w:r>
      <w:proofErr w:type="spellStart"/>
      <w:r w:rsidRPr="00616B77">
        <w:rPr>
          <w:rtl/>
          <w:lang w:val="en-IL"/>
        </w:rPr>
        <w:t>ליקח</w:t>
      </w:r>
      <w:proofErr w:type="spellEnd"/>
      <w:r w:rsidRPr="00616B77">
        <w:rPr>
          <w:rtl/>
          <w:lang w:val="en-IL"/>
        </w:rPr>
        <w:t xml:space="preserve"> רפואה מן הגוי אלא אם כן </w:t>
      </w:r>
      <w:proofErr w:type="spellStart"/>
      <w:r w:rsidRPr="00616B77">
        <w:rPr>
          <w:rtl/>
          <w:lang w:val="en-IL"/>
        </w:rPr>
        <w:t>נתייאשו</w:t>
      </w:r>
      <w:proofErr w:type="spellEnd"/>
      <w:r w:rsidRPr="00616B77">
        <w:rPr>
          <w:rtl/>
          <w:lang w:val="en-IL"/>
        </w:rPr>
        <w:t xml:space="preserve"> ממנו שיחיה, ואסור להתרפאות מן המין ואף על פי </w:t>
      </w:r>
      <w:proofErr w:type="spellStart"/>
      <w:r w:rsidRPr="00616B77">
        <w:rPr>
          <w:rtl/>
          <w:lang w:val="en-IL"/>
        </w:rPr>
        <w:t>שנתיאשו</w:t>
      </w:r>
      <w:proofErr w:type="spellEnd"/>
      <w:r w:rsidRPr="00616B77">
        <w:rPr>
          <w:rtl/>
          <w:lang w:val="en-IL"/>
        </w:rPr>
        <w:t xml:space="preserve"> ממנו שמא ימשכו אחריו, ומותר </w:t>
      </w:r>
      <w:proofErr w:type="spellStart"/>
      <w:r w:rsidRPr="00616B77">
        <w:rPr>
          <w:rtl/>
          <w:lang w:val="en-IL"/>
        </w:rPr>
        <w:t>ליקח</w:t>
      </w:r>
      <w:proofErr w:type="spellEnd"/>
      <w:r w:rsidRPr="00616B77">
        <w:rPr>
          <w:rtl/>
          <w:lang w:val="en-IL"/>
        </w:rPr>
        <w:t xml:space="preserve"> רפואה מן </w:t>
      </w:r>
      <w:proofErr w:type="spellStart"/>
      <w:r w:rsidRPr="00616B77">
        <w:rPr>
          <w:rtl/>
          <w:lang w:val="en-IL"/>
        </w:rPr>
        <w:t>הגוים</w:t>
      </w:r>
      <w:proofErr w:type="spellEnd"/>
      <w:r w:rsidRPr="00616B77">
        <w:rPr>
          <w:rtl/>
          <w:lang w:val="en-IL"/>
        </w:rPr>
        <w:t xml:space="preserve"> לבהמה או למכה שבגוף מבחוץ כגון מלוגמא ורטייה, ואם </w:t>
      </w:r>
      <w:proofErr w:type="spellStart"/>
      <w:r w:rsidRPr="00616B77">
        <w:rPr>
          <w:rtl/>
          <w:lang w:val="en-IL"/>
        </w:rPr>
        <w:t>היתה</w:t>
      </w:r>
      <w:proofErr w:type="spellEnd"/>
      <w:r w:rsidRPr="00616B77">
        <w:rPr>
          <w:rtl/>
          <w:lang w:val="en-IL"/>
        </w:rPr>
        <w:t xml:space="preserve"> מכה של סכנה אסור </w:t>
      </w:r>
      <w:proofErr w:type="spellStart"/>
      <w:r w:rsidRPr="00616B77">
        <w:rPr>
          <w:rtl/>
          <w:lang w:val="en-IL"/>
        </w:rPr>
        <w:t>ליקח</w:t>
      </w:r>
      <w:proofErr w:type="spellEnd"/>
      <w:r w:rsidRPr="00616B77">
        <w:rPr>
          <w:rtl/>
          <w:lang w:val="en-IL"/>
        </w:rPr>
        <w:t xml:space="preserve"> ממנו</w:t>
      </w:r>
    </w:p>
    <w:p w14:paraId="04FEB469" w14:textId="7BD45BEA" w:rsidR="00616B77" w:rsidRPr="00616B77" w:rsidRDefault="00616B77" w:rsidP="00472414">
      <w:pPr>
        <w:ind w:firstLine="0"/>
        <w:rPr>
          <w:rtl/>
          <w:lang w:val="en-IL"/>
        </w:rPr>
      </w:pPr>
      <w:r w:rsidRPr="00616B77">
        <w:rPr>
          <w:rtl/>
          <w:lang w:val="en-IL"/>
        </w:rPr>
        <w:t>המשמעות היא שלא הולכים לרופא גוי כי הוא בעצם ינסה להרוג אותך. רק במקרה שאדם קרוב למוות ואין יותר סיכוי או בשביל בהמות או מכות לא רציניות וחיצוניות לגוף אפשר ללכת לרופא גוי כי אז אין לו דרך להרוג אותך. בהמשך הפרק</w:t>
      </w:r>
      <w:r w:rsidR="006B135D">
        <w:rPr>
          <w:rStyle w:val="FootnoteReference"/>
          <w:rtl/>
          <w:lang w:val="en-IL"/>
        </w:rPr>
        <w:footnoteReference w:id="5"/>
      </w:r>
      <w:r w:rsidRPr="00616B77">
        <w:rPr>
          <w:rtl/>
          <w:lang w:val="en-IL"/>
        </w:rPr>
        <w:t xml:space="preserve"> הרמב"ם גם כותב שאסור להסתפר אצל גוי שוב מאותה סיבה "שמא יהרגנו".</w:t>
      </w:r>
    </w:p>
    <w:p w14:paraId="3A5BE3A8" w14:textId="61B03AC9" w:rsidR="00616B77" w:rsidRPr="00616B77" w:rsidRDefault="00616B77" w:rsidP="00616B77">
      <w:pPr>
        <w:rPr>
          <w:rtl/>
          <w:lang w:val="en-IL"/>
        </w:rPr>
      </w:pPr>
      <w:r w:rsidRPr="00616B77">
        <w:rPr>
          <w:rtl/>
          <w:lang w:val="en-IL"/>
        </w:rPr>
        <w:t>בכל המקרים בפרק י"ב ניתן לראות את אותו חוט מחשבה, רואים את הגוי כרשע שכל מה שהוא רוצה זה להרוג אותך בכל מקרה ובכל דרך שהוא יוכל.</w:t>
      </w:r>
      <w:r w:rsidR="000151DF">
        <w:rPr>
          <w:rFonts w:hint="cs"/>
          <w:rtl/>
          <w:lang w:val="en-IL"/>
        </w:rPr>
        <w:t xml:space="preserve"> </w:t>
      </w:r>
      <w:r w:rsidRPr="00616B77">
        <w:rPr>
          <w:rtl/>
          <w:lang w:val="en-IL"/>
        </w:rPr>
        <w:t xml:space="preserve">(זה </w:t>
      </w:r>
      <w:r w:rsidRPr="00616B77">
        <w:rPr>
          <w:rtl/>
          <w:lang w:val="en-IL"/>
        </w:rPr>
        <w:lastRenderedPageBreak/>
        <w:t>ממש כתוב בהלכה ז' "מפני שהן חשודים על שפיכות דמים" וגם הלכה י"א "שמא יהרגנו"). הבעיה היא שכאשר רק רואים את הרועה שוכחים לראות שכנראה יש אדם לפניך שרק רוצה טוב, רק להיות רופא טוב או פשוט ללכת בדרך או לספר אותך.</w:t>
      </w:r>
    </w:p>
    <w:p w14:paraId="2B7D083B" w14:textId="2E126BD0" w:rsidR="001F7962" w:rsidRDefault="00616B77" w:rsidP="00616B77">
      <w:pPr>
        <w:rPr>
          <w:rtl/>
          <w:lang w:val="en-IL"/>
        </w:rPr>
      </w:pPr>
      <w:r w:rsidRPr="00616B77">
        <w:rPr>
          <w:rtl/>
          <w:lang w:val="en-IL"/>
        </w:rPr>
        <w:t>דוגמא נוספת שאני אביא בנושא זה גם היא נמצאת בהלכות רוצח ושמירת נפש, הפעם בפרק י״ג. בפרק זה הרמב"ם מדבר על מצוות פריקה וטעינה. מצוות פריקה אומרות שאם אתה רואה אדם בדרך עם בהמה שיש עליה יותר מדי משא אתה חייב לעזור לו לפרוק את המשא. בנוסף, אתה לא יכול להשאיר אותו שם אלה יש עליך את מצוות טעינה שאומרת שאתה חייב לעזור לו לא רק לפרוק אלא אחרי זה גם לטעון את המשא חזרה על הבהמה. באמצע הפרק</w:t>
      </w:r>
      <w:r w:rsidR="00156D59">
        <w:rPr>
          <w:rStyle w:val="FootnoteReference"/>
          <w:rtl/>
          <w:lang w:val="en-IL"/>
        </w:rPr>
        <w:footnoteReference w:id="6"/>
      </w:r>
      <w:r w:rsidRPr="00616B77">
        <w:rPr>
          <w:rtl/>
          <w:lang w:val="en-IL"/>
        </w:rPr>
        <w:t xml:space="preserve"> הרמב"ם כותב</w:t>
      </w:r>
      <w:r w:rsidR="00967280">
        <w:rPr>
          <w:rFonts w:hint="cs"/>
          <w:rtl/>
          <w:lang w:val="en-IL"/>
        </w:rPr>
        <w:t>:</w:t>
      </w:r>
    </w:p>
    <w:p w14:paraId="26D94261" w14:textId="70F36735" w:rsidR="00E32AA0" w:rsidRDefault="00616B77" w:rsidP="007606B7">
      <w:pPr>
        <w:pStyle w:val="Quote"/>
        <w:rPr>
          <w:rtl/>
          <w:lang w:val="en-IL"/>
        </w:rPr>
      </w:pPr>
      <w:r w:rsidRPr="00616B77">
        <w:rPr>
          <w:rStyle w:val="QuoteChar"/>
          <w:rtl/>
          <w:lang w:val="en-IL"/>
        </w:rPr>
        <w:t xml:space="preserve">בהמת הגוי והמשא של ישראל אם היה הגוי מחמר אחר בהמתו אינו זקוק לה, ואם לאו חייב לפרוק ולטעון משום צער ישראל, וכן אם </w:t>
      </w:r>
      <w:proofErr w:type="spellStart"/>
      <w:r w:rsidRPr="00616B77">
        <w:rPr>
          <w:rStyle w:val="QuoteChar"/>
          <w:rtl/>
          <w:lang w:val="en-IL"/>
        </w:rPr>
        <w:t>היתה</w:t>
      </w:r>
      <w:proofErr w:type="spellEnd"/>
      <w:r w:rsidRPr="00616B77">
        <w:rPr>
          <w:rStyle w:val="QuoteChar"/>
          <w:rtl/>
          <w:lang w:val="en-IL"/>
        </w:rPr>
        <w:t xml:space="preserve"> הבהמה של ישראל והמשוי של גוי חייב לפרוק ולטעון משום צער ישראל אבל בהמת הגוי ומשאו אינו חייב </w:t>
      </w:r>
      <w:proofErr w:type="spellStart"/>
      <w:r w:rsidRPr="00616B77">
        <w:rPr>
          <w:rStyle w:val="QuoteChar"/>
          <w:rtl/>
          <w:lang w:val="en-IL"/>
        </w:rPr>
        <w:t>להטפל</w:t>
      </w:r>
      <w:proofErr w:type="spellEnd"/>
      <w:r w:rsidRPr="00616B77">
        <w:rPr>
          <w:rStyle w:val="QuoteChar"/>
          <w:rtl/>
          <w:lang w:val="en-IL"/>
        </w:rPr>
        <w:t xml:space="preserve"> בהן אלא משום איבה.</w:t>
      </w:r>
    </w:p>
    <w:p w14:paraId="723970C1" w14:textId="06091E3A" w:rsidR="00616B77" w:rsidRPr="00616B77" w:rsidRDefault="00616B77" w:rsidP="00FD7421">
      <w:pPr>
        <w:ind w:firstLine="0"/>
        <w:rPr>
          <w:rtl/>
          <w:lang w:val="en-IL"/>
        </w:rPr>
      </w:pPr>
      <w:r w:rsidRPr="00616B77">
        <w:rPr>
          <w:rtl/>
          <w:lang w:val="en-IL"/>
        </w:rPr>
        <w:t>המשמעות היא שאם רק הבהמה או רק המשא של ישראל והדבר השני של גוי, כלומר רק אם הישראלי שם בדרך, אתה צריך לעזור, אבל אם בדרך שלך אתה פוגש גוי שצריך עזרה אז אתה לא צריך לעזור, ובטח אם אלו בהמה ומשא של גוי אתה לא חייב לעזור. חייבים במצב זה לעזור רק במקרה שחוסר עזרה תוביל לשנאה של הגוי כלפי ישראל.</w:t>
      </w:r>
    </w:p>
    <w:p w14:paraId="20A79C51" w14:textId="66C38103" w:rsidR="00616B77" w:rsidRPr="00616B77" w:rsidRDefault="00616B77" w:rsidP="00616B77">
      <w:pPr>
        <w:rPr>
          <w:rtl/>
          <w:lang w:val="en-IL"/>
        </w:rPr>
      </w:pPr>
      <w:r w:rsidRPr="00616B77">
        <w:rPr>
          <w:rtl/>
          <w:lang w:val="en-IL"/>
        </w:rPr>
        <w:t>בספר שופטים בהלכות מלכים ומלחמות בפרק ט' הרמב"ם כותב על שבע מצוות בני נח אבל בחלק מהמצוות האלה העונש גדול יותר על הגויים מאשר על ישראל. למשל, ברכת השם (גידוף הקב"ה), ישראל רק חייב על השמות שאינם נמחקים אבל גוי חייב על כל שם. בנוסף העונש על גזל כתוב "על הכל הוא חייב, והרי הוא בכלל גזלן, מה שאין כן בישראל"</w:t>
      </w:r>
      <w:r w:rsidR="00AC1AF4">
        <w:rPr>
          <w:rStyle w:val="FootnoteReference"/>
          <w:rtl/>
          <w:lang w:val="en-IL"/>
        </w:rPr>
        <w:footnoteReference w:id="7"/>
      </w:r>
      <w:r w:rsidRPr="00616B77">
        <w:rPr>
          <w:rtl/>
          <w:lang w:val="en-IL"/>
        </w:rPr>
        <w:t xml:space="preserve"> בעצם זה אומר העונש חמור יותר לגוי בכל סוג של גנבה מה שלא נכון אצל ישראל.</w:t>
      </w:r>
    </w:p>
    <w:p w14:paraId="5924A12C" w14:textId="089451D3" w:rsidR="00616B77" w:rsidRPr="00616B77" w:rsidRDefault="00616B77" w:rsidP="00616B77">
      <w:pPr>
        <w:rPr>
          <w:rtl/>
          <w:lang w:val="en-IL"/>
        </w:rPr>
      </w:pPr>
      <w:r w:rsidRPr="00616B77">
        <w:rPr>
          <w:rtl/>
          <w:lang w:val="en-IL"/>
        </w:rPr>
        <w:t xml:space="preserve">דוגמא נוספת ואחרונה שאביא ליחס הגרוע לגויים הוא בספר נזיקין בהלכות </w:t>
      </w:r>
      <w:r w:rsidRPr="00616B77">
        <w:rPr>
          <w:rtl/>
          <w:lang w:val="en-IL"/>
        </w:rPr>
        <w:lastRenderedPageBreak/>
        <w:t>חובל ומזיק בפרק ה'. הרמב"ם מדבר על אדם המכה את חברו ובתחילת הפרק</w:t>
      </w:r>
      <w:r w:rsidR="00020D34">
        <w:rPr>
          <w:rStyle w:val="FootnoteReference"/>
          <w:rtl/>
          <w:lang w:val="en-IL"/>
        </w:rPr>
        <w:footnoteReference w:id="8"/>
      </w:r>
      <w:r w:rsidRPr="00616B77">
        <w:rPr>
          <w:rtl/>
          <w:lang w:val="en-IL"/>
        </w:rPr>
        <w:t xml:space="preserve"> כתוב "כל המכה אדם כשר מישראל בין קטן בין גדול בין איש בין </w:t>
      </w:r>
      <w:proofErr w:type="spellStart"/>
      <w:r w:rsidRPr="00616B77">
        <w:rPr>
          <w:rtl/>
          <w:lang w:val="en-IL"/>
        </w:rPr>
        <w:t>אשה</w:t>
      </w:r>
      <w:proofErr w:type="spellEnd"/>
      <w:r w:rsidRPr="00616B77">
        <w:rPr>
          <w:rtl/>
          <w:lang w:val="en-IL"/>
        </w:rPr>
        <w:t xml:space="preserve"> דרך </w:t>
      </w:r>
      <w:proofErr w:type="spellStart"/>
      <w:r w:rsidRPr="00616B77">
        <w:rPr>
          <w:rtl/>
          <w:lang w:val="en-IL"/>
        </w:rPr>
        <w:t>נציון</w:t>
      </w:r>
      <w:proofErr w:type="spellEnd"/>
      <w:r w:rsidRPr="00616B77">
        <w:rPr>
          <w:rtl/>
          <w:lang w:val="en-IL"/>
        </w:rPr>
        <w:t xml:space="preserve"> הרי זה עובר בלא תעשה" ומאוחר יותר בפרק</w:t>
      </w:r>
      <w:r w:rsidR="00D157E6">
        <w:rPr>
          <w:rStyle w:val="FootnoteReference"/>
          <w:rtl/>
          <w:lang w:val="en-IL"/>
        </w:rPr>
        <w:footnoteReference w:id="9"/>
      </w:r>
      <w:r w:rsidRPr="00616B77">
        <w:rPr>
          <w:rtl/>
          <w:lang w:val="en-IL"/>
        </w:rPr>
        <w:t xml:space="preserve"> בנושא הגויים כותב הרמב"ם: "גוי שהכה את ישראל חייב מיתה"</w:t>
      </w:r>
      <w:r w:rsidR="005E4094">
        <w:rPr>
          <w:rFonts w:hint="cs"/>
          <w:rtl/>
          <w:lang w:val="en-IL"/>
        </w:rPr>
        <w:t xml:space="preserve"> </w:t>
      </w:r>
      <w:r w:rsidRPr="00616B77">
        <w:rPr>
          <w:rtl/>
          <w:lang w:val="en-IL"/>
        </w:rPr>
        <w:t>בעצם יש כאן עונש הרבה יותר חמור לגוי רק בגלל שהוא גוי.</w:t>
      </w:r>
    </w:p>
    <w:p w14:paraId="6D47F557" w14:textId="77777777" w:rsidR="00616B77" w:rsidRPr="00616B77" w:rsidRDefault="00616B77" w:rsidP="009616FC">
      <w:pPr>
        <w:pStyle w:val="Heading2"/>
        <w:rPr>
          <w:rtl/>
          <w:lang w:val="en-IL"/>
        </w:rPr>
      </w:pPr>
      <w:r w:rsidRPr="00616B77">
        <w:rPr>
          <w:rtl/>
          <w:lang w:val="en-IL"/>
        </w:rPr>
        <w:t>דוגמאות ליחס שוויוני לגויים אצל הרמב"ם</w:t>
      </w:r>
    </w:p>
    <w:p w14:paraId="7C9BFB12" w14:textId="543BE229" w:rsidR="00616B77" w:rsidRPr="00616B77" w:rsidRDefault="00616B77" w:rsidP="009616FC">
      <w:pPr>
        <w:ind w:firstLine="0"/>
        <w:rPr>
          <w:rtl/>
          <w:lang w:val="en-IL"/>
        </w:rPr>
      </w:pPr>
      <w:r w:rsidRPr="00616B77">
        <w:rPr>
          <w:rtl/>
          <w:lang w:val="en-IL"/>
        </w:rPr>
        <w:t>בספר המדע בהלכות דעות</w:t>
      </w:r>
      <w:r w:rsidR="005E4094">
        <w:rPr>
          <w:rStyle w:val="FootnoteReference"/>
          <w:rtl/>
          <w:lang w:val="en-IL"/>
        </w:rPr>
        <w:footnoteReference w:id="10"/>
      </w:r>
      <w:r w:rsidRPr="00616B77">
        <w:rPr>
          <w:rtl/>
          <w:lang w:val="en-IL"/>
        </w:rPr>
        <w:t xml:space="preserve"> כתוב "אסור לגנוב דעת הבריות אפילו הגוי" כלומר, אסור לעבוד על אנשים בדיבור אפילו גויים. הרמב"ם כותב כדוגמא לזה "לא ימכור לגוי בשר נבלה בכלל שחוטה"</w:t>
      </w:r>
      <w:r w:rsidR="00116DA1">
        <w:rPr>
          <w:rStyle w:val="FootnoteReference"/>
          <w:rtl/>
          <w:lang w:val="en-IL"/>
        </w:rPr>
        <w:footnoteReference w:id="11"/>
      </w:r>
      <w:r w:rsidR="00116DA1">
        <w:rPr>
          <w:rFonts w:hint="cs"/>
          <w:rtl/>
          <w:lang w:val="en-IL"/>
        </w:rPr>
        <w:t xml:space="preserve"> </w:t>
      </w:r>
      <w:r w:rsidRPr="00616B77">
        <w:rPr>
          <w:rtl/>
          <w:lang w:val="en-IL"/>
        </w:rPr>
        <w:t>אל תעבוד על הגוי ותגיד שאתה מוכר לו בשר שחוט שהוא שווה יותר ואיכותי יותר ובעצם תמכור לו בשר נבלה שהוא פחות שווה ופחות יקר. </w:t>
      </w:r>
    </w:p>
    <w:p w14:paraId="06FBD41C" w14:textId="2DA80678" w:rsidR="00616B77" w:rsidRPr="00616B77" w:rsidRDefault="00616B77" w:rsidP="00616B77">
      <w:pPr>
        <w:rPr>
          <w:rtl/>
          <w:lang w:val="en-IL"/>
        </w:rPr>
      </w:pPr>
      <w:r w:rsidRPr="00616B77">
        <w:rPr>
          <w:rtl/>
          <w:lang w:val="en-IL"/>
        </w:rPr>
        <w:t>בספר נזיקין בהלכות גזלה ואבדה ניתן לראות שיש הבדל ביחס לגויים בין תחילת ההלכות לבין סופם. בתחילה, שמדובר גזל, בפרק א'</w:t>
      </w:r>
      <w:r w:rsidR="00D62B30">
        <w:rPr>
          <w:rStyle w:val="FootnoteReference"/>
          <w:rtl/>
          <w:lang w:val="en-IL"/>
        </w:rPr>
        <w:footnoteReference w:id="12"/>
      </w:r>
      <w:r w:rsidRPr="00616B77">
        <w:rPr>
          <w:rtl/>
          <w:lang w:val="en-IL"/>
        </w:rPr>
        <w:t xml:space="preserve"> כתוב "ואסור לגזול כל שהוא דין תורה, אפילו גוי עובד עבודה זרה אסור </w:t>
      </w:r>
      <w:proofErr w:type="spellStart"/>
      <w:r w:rsidRPr="00616B77">
        <w:rPr>
          <w:rtl/>
          <w:lang w:val="en-IL"/>
        </w:rPr>
        <w:t>לגזלו</w:t>
      </w:r>
      <w:proofErr w:type="spellEnd"/>
      <w:r w:rsidRPr="00616B77">
        <w:rPr>
          <w:rtl/>
          <w:lang w:val="en-IL"/>
        </w:rPr>
        <w:t xml:space="preserve"> או </w:t>
      </w:r>
      <w:proofErr w:type="spellStart"/>
      <w:r w:rsidRPr="00616B77">
        <w:rPr>
          <w:rtl/>
          <w:lang w:val="en-IL"/>
        </w:rPr>
        <w:t>לעשקו</w:t>
      </w:r>
      <w:proofErr w:type="spellEnd"/>
      <w:r w:rsidRPr="00616B77">
        <w:rPr>
          <w:rtl/>
          <w:lang w:val="en-IL"/>
        </w:rPr>
        <w:t>, ואם גזלו או עשקו יחזיר." שזה אומר שאסור לגזול מאף אחד כולל מגוי - והנסיבות אינן משנות. אולם בסוף, כשמדובר על האבידה של גוי, כבר הראיתי ששם כתוב שמותר לקחת את אבידת הגוי.</w:t>
      </w:r>
    </w:p>
    <w:p w14:paraId="326C14B1" w14:textId="77777777" w:rsidR="00BC159F" w:rsidRDefault="00616B77" w:rsidP="00616B77">
      <w:pPr>
        <w:rPr>
          <w:rtl/>
          <w:lang w:val="en-IL"/>
        </w:rPr>
      </w:pPr>
      <w:r w:rsidRPr="00616B77">
        <w:rPr>
          <w:rtl/>
          <w:lang w:val="en-IL"/>
        </w:rPr>
        <w:t>כפי שכתבתי לעיל בספר שופטים בהלכות מלכים ומלחמות בפרק ט' הרמב"ם כותב על שבע מצוות בני נח, ומציין שבחלק מן הדברים היחס לגוי קשוח יותר אבל בחלק אחר היחס הוא אותו דבר לישראל ולגויים. לדוגמא בהקשר של עבודה זרה היחס לגויים ולישראל דומה:</w:t>
      </w:r>
    </w:p>
    <w:p w14:paraId="44389AF5" w14:textId="1184ED8C" w:rsidR="00BC159F" w:rsidRDefault="00616B77" w:rsidP="00F10AF3">
      <w:pPr>
        <w:pStyle w:val="Quote"/>
        <w:rPr>
          <w:rtl/>
          <w:lang w:val="en-IL"/>
        </w:rPr>
      </w:pPr>
      <w:r w:rsidRPr="00616B77">
        <w:rPr>
          <w:rtl/>
          <w:lang w:val="en-IL"/>
        </w:rPr>
        <w:t xml:space="preserve">בן נח שעבד עבודה זרה הרי זה </w:t>
      </w:r>
      <w:proofErr w:type="spellStart"/>
      <w:r w:rsidRPr="00616B77">
        <w:rPr>
          <w:rtl/>
          <w:lang w:val="en-IL"/>
        </w:rPr>
        <w:t>חיב</w:t>
      </w:r>
      <w:proofErr w:type="spellEnd"/>
      <w:r w:rsidRPr="00616B77">
        <w:rPr>
          <w:rtl/>
          <w:lang w:val="en-IL"/>
        </w:rPr>
        <w:t xml:space="preserve">, והוא שיעבוד כדרכה, וכל עבודה זרה שבית דין של ישראל </w:t>
      </w:r>
      <w:proofErr w:type="spellStart"/>
      <w:r w:rsidRPr="00616B77">
        <w:rPr>
          <w:rtl/>
          <w:lang w:val="en-IL"/>
        </w:rPr>
        <w:t>ממיתין</w:t>
      </w:r>
      <w:proofErr w:type="spellEnd"/>
      <w:r w:rsidRPr="00616B77">
        <w:rPr>
          <w:rtl/>
          <w:lang w:val="en-IL"/>
        </w:rPr>
        <w:t xml:space="preserve"> עליה בן נח נהרג עליה, וכל שאין בית דין של </w:t>
      </w:r>
      <w:r w:rsidRPr="00616B77">
        <w:rPr>
          <w:rtl/>
          <w:lang w:val="en-IL"/>
        </w:rPr>
        <w:lastRenderedPageBreak/>
        <w:t xml:space="preserve">ישראל </w:t>
      </w:r>
      <w:proofErr w:type="spellStart"/>
      <w:r w:rsidRPr="00616B77">
        <w:rPr>
          <w:rtl/>
          <w:lang w:val="en-IL"/>
        </w:rPr>
        <w:t>ממיתין</w:t>
      </w:r>
      <w:proofErr w:type="spellEnd"/>
      <w:r w:rsidRPr="00616B77">
        <w:rPr>
          <w:rtl/>
          <w:lang w:val="en-IL"/>
        </w:rPr>
        <w:t xml:space="preserve"> עליה אין בן נח נהרג עליה</w:t>
      </w:r>
      <w:r w:rsidR="00AA1AB4">
        <w:rPr>
          <w:rStyle w:val="FootnoteReference"/>
          <w:rtl/>
          <w:lang w:val="en-IL"/>
        </w:rPr>
        <w:footnoteReference w:id="13"/>
      </w:r>
    </w:p>
    <w:p w14:paraId="0604DF50" w14:textId="35A98AA5" w:rsidR="00616B77" w:rsidRPr="00616B77" w:rsidRDefault="00616B77" w:rsidP="00BC159F">
      <w:pPr>
        <w:ind w:firstLine="0"/>
        <w:rPr>
          <w:rtl/>
          <w:lang w:val="en-IL"/>
        </w:rPr>
      </w:pPr>
      <w:r w:rsidRPr="00616B77">
        <w:rPr>
          <w:rtl/>
          <w:lang w:val="en-IL"/>
        </w:rPr>
        <w:t>זה ממש מראה תחום חוקים שהוא אותו דבר לישראל ולגויים.</w:t>
      </w:r>
    </w:p>
    <w:p w14:paraId="07FF6E1E" w14:textId="4FF27525" w:rsidR="007A51BA" w:rsidRDefault="00616B77" w:rsidP="00616B77">
      <w:pPr>
        <w:rPr>
          <w:rtl/>
          <w:lang w:val="en-IL"/>
        </w:rPr>
      </w:pPr>
      <w:r w:rsidRPr="00616B77">
        <w:rPr>
          <w:rtl/>
          <w:lang w:val="en-IL"/>
        </w:rPr>
        <w:t>דוגמא האחרונה שאביא שמראה על יחס שווה לגויים הוא בהמשך הלכות מלכים ומלחמות. בפרק י'</w:t>
      </w:r>
      <w:r w:rsidR="009969B8">
        <w:rPr>
          <w:rStyle w:val="FootnoteReference"/>
          <w:rtl/>
          <w:lang w:val="en-IL"/>
        </w:rPr>
        <w:footnoteReference w:id="14"/>
      </w:r>
      <w:r w:rsidRPr="00616B77">
        <w:rPr>
          <w:rtl/>
          <w:lang w:val="en-IL"/>
        </w:rPr>
        <w:t xml:space="preserve"> הרמב"ם כותב</w:t>
      </w:r>
      <w:r w:rsidR="007A51BA">
        <w:rPr>
          <w:rFonts w:hint="cs"/>
          <w:rtl/>
          <w:lang w:val="en-IL"/>
        </w:rPr>
        <w:t>:</w:t>
      </w:r>
    </w:p>
    <w:p w14:paraId="598B9696" w14:textId="09291BC3" w:rsidR="009969B8" w:rsidRDefault="00616B77" w:rsidP="00FD7445">
      <w:pPr>
        <w:pStyle w:val="Quote"/>
        <w:rPr>
          <w:rtl/>
          <w:lang w:val="en-IL"/>
        </w:rPr>
      </w:pPr>
      <w:r w:rsidRPr="00616B77">
        <w:rPr>
          <w:rtl/>
          <w:lang w:val="en-IL"/>
        </w:rPr>
        <w:t>אפילו הגויים צוו חכמים לבקר חוליהם, ולקבור מתיהם עם מתי ישראל, ולפרנס ענייהם בכלל עניי ישראל, מפני דרכי שלום, הרי נאמר</w:t>
      </w:r>
      <w:r w:rsidR="004C1236">
        <w:rPr>
          <w:rFonts w:hint="cs"/>
          <w:rtl/>
          <w:lang w:val="en-IL"/>
        </w:rPr>
        <w:t xml:space="preserve"> </w:t>
      </w:r>
      <w:r w:rsidRPr="00616B77">
        <w:rPr>
          <w:rtl/>
          <w:lang w:val="en-IL"/>
        </w:rPr>
        <w:t>(תהילים קמ"ה ט') "טוב ה' לכל ורחמיו על כל מעשיו", ונאמר (משלי ג' י"ז) "דרכיה דרכי נועם וכל נתיבותיה שלום</w:t>
      </w:r>
    </w:p>
    <w:p w14:paraId="4F14794C" w14:textId="7833F311" w:rsidR="00616B77" w:rsidRPr="00616B77" w:rsidRDefault="00616B77" w:rsidP="00427F42">
      <w:pPr>
        <w:ind w:firstLine="0"/>
        <w:rPr>
          <w:rtl/>
          <w:lang w:val="en-IL"/>
        </w:rPr>
      </w:pPr>
      <w:r w:rsidRPr="00616B77">
        <w:rPr>
          <w:rtl/>
          <w:lang w:val="en-IL"/>
        </w:rPr>
        <w:t xml:space="preserve">זה אומר שצריך להיות טוב לגויים </w:t>
      </w:r>
      <w:r w:rsidR="00441116" w:rsidRPr="00616B77">
        <w:rPr>
          <w:rFonts w:hint="cs"/>
          <w:rtl/>
          <w:lang w:val="en-IL"/>
        </w:rPr>
        <w:t>באזורך</w:t>
      </w:r>
      <w:r w:rsidRPr="00616B77">
        <w:rPr>
          <w:rtl/>
          <w:lang w:val="en-IL"/>
        </w:rPr>
        <w:t xml:space="preserve"> ולבקר את חוליהם ולקבור את מתיהם באותו בית קברות ולתת לענייהם צדקה כי זה דרכי שלום וככה הקב"ה רוצה שנחיה. </w:t>
      </w:r>
    </w:p>
    <w:p w14:paraId="5F7E3FDC" w14:textId="77777777" w:rsidR="00616B77" w:rsidRPr="00616B77" w:rsidRDefault="00616B77" w:rsidP="00441116">
      <w:pPr>
        <w:pStyle w:val="Heading2"/>
        <w:rPr>
          <w:lang w:val="en-IL"/>
        </w:rPr>
      </w:pPr>
      <w:r w:rsidRPr="00616B77">
        <w:rPr>
          <w:rtl/>
          <w:lang w:val="en-IL"/>
        </w:rPr>
        <w:t>לסיכום</w:t>
      </w:r>
    </w:p>
    <w:p w14:paraId="0964C04E" w14:textId="77777777" w:rsidR="00616B77" w:rsidRPr="00616B77" w:rsidRDefault="00616B77" w:rsidP="00441116">
      <w:pPr>
        <w:ind w:firstLine="0"/>
        <w:rPr>
          <w:rtl/>
          <w:lang w:val="en-IL"/>
        </w:rPr>
      </w:pPr>
      <w:r w:rsidRPr="00616B77">
        <w:rPr>
          <w:rtl/>
          <w:lang w:val="en-IL"/>
        </w:rPr>
        <w:t>לדעתי אפשר לראות שיש שני סוגי מקרים ביחס הלא שווה לגויים. </w:t>
      </w:r>
    </w:p>
    <w:p w14:paraId="79321A98" w14:textId="1063C5A1" w:rsidR="00616B77" w:rsidRPr="00616B77" w:rsidRDefault="00616B77" w:rsidP="00616B77">
      <w:pPr>
        <w:rPr>
          <w:rtl/>
          <w:lang w:val="en-IL"/>
        </w:rPr>
      </w:pPr>
      <w:r w:rsidRPr="00616B77">
        <w:rPr>
          <w:rtl/>
          <w:lang w:val="en-IL"/>
        </w:rPr>
        <w:t>את הסוג הראשון ראינו בעיקר בהלכות גזלה ואבדה והלכות רוצח ושמירת נפש פרקים י"ב ו י"ג. שם יש רושם ששוכחים שעומד מולנו בן אדם - אדם שהוא אולי טוב, אולי רע, ואם חושבים על ממוצע בני האדם הוא כנראה לא רשע. הנחת היסוד אצל הרמב״ם היא שיש סיבה לחשוד בגוי שיעשה משהו ערמומי. לא מניחים לגבי גוי שהוא פשוט</w:t>
      </w:r>
      <w:r w:rsidR="009A0C2A">
        <w:rPr>
          <w:rtl/>
          <w:lang w:val="en-IL"/>
        </w:rPr>
        <w:t xml:space="preserve"> </w:t>
      </w:r>
      <w:r w:rsidRPr="00616B77">
        <w:rPr>
          <w:rtl/>
          <w:lang w:val="en-IL"/>
        </w:rPr>
        <w:t>אדם, שהוא פשוט רופא, פשוט הולך בדרך וסתם איבד את הדברים שלו, פשוט סידר את הדברים שלו לא טוב על החמור שלו וכדומה. מה שעולה מדברי הרמב"ם הוא שרואים גוי כמרושע שרוצה להרוג אותנו תמיד, ואז צריך להתרחק ממנו בכל מחיר. היוצא דופן היחיד הוא כאשר זה פוגע ביחסי אנוש שלנו מול הגויים, כי זה עשוי לגרום להוצאת שם רע על ישראל או על הקב"ה - וזו תוצאה שהרמב"ם לא רוצה. </w:t>
      </w:r>
    </w:p>
    <w:p w14:paraId="12332425" w14:textId="6FFEB129" w:rsidR="00616B77" w:rsidRPr="00616B77" w:rsidRDefault="00616B77" w:rsidP="00616B77">
      <w:pPr>
        <w:rPr>
          <w:rtl/>
          <w:lang w:val="en-IL"/>
        </w:rPr>
      </w:pPr>
      <w:r w:rsidRPr="00616B77">
        <w:rPr>
          <w:rtl/>
          <w:lang w:val="en-IL"/>
        </w:rPr>
        <w:t xml:space="preserve">הסוג השני של מקרים הוא המקרים מהלכות מלכים ומלחמות ומהלכות חובל ומזיק. שם הרמב"ם אומר שצריך לתת עונש חמור יותר לגויים רק בגלל שהם גויים, או לתת עונש גם על דברים שישראל לא היה נענש עליהם. קשה לי </w:t>
      </w:r>
      <w:r w:rsidRPr="00616B77">
        <w:rPr>
          <w:rtl/>
          <w:lang w:val="en-IL"/>
        </w:rPr>
        <w:lastRenderedPageBreak/>
        <w:t>להבין את הפסיקה של הרמב"ם שנותנת לאנשים עונש רק בגלל מי שהם - רק בגלל שהם גויים.</w:t>
      </w:r>
      <w:r w:rsidR="009A0C2A">
        <w:rPr>
          <w:rtl/>
          <w:lang w:val="en-IL"/>
        </w:rPr>
        <w:t xml:space="preserve"> </w:t>
      </w:r>
    </w:p>
    <w:p w14:paraId="4EFE5AB6" w14:textId="77777777" w:rsidR="00616B77" w:rsidRPr="00616B77" w:rsidRDefault="00616B77" w:rsidP="00502952">
      <w:pPr>
        <w:ind w:firstLine="0"/>
        <w:rPr>
          <w:rtl/>
          <w:lang w:val="en-IL"/>
        </w:rPr>
      </w:pPr>
      <w:r w:rsidRPr="00616B77">
        <w:rPr>
          <w:rtl/>
          <w:lang w:val="en-IL"/>
        </w:rPr>
        <w:t>אני חושב שגם במקרים שיש יחס שווה לגויים מתחלקים לשני סוגי מקרים. </w:t>
      </w:r>
    </w:p>
    <w:p w14:paraId="0EEAC599" w14:textId="77777777" w:rsidR="00616B77" w:rsidRPr="00616B77" w:rsidRDefault="00616B77" w:rsidP="00616B77">
      <w:pPr>
        <w:rPr>
          <w:rtl/>
          <w:lang w:val="en-IL"/>
        </w:rPr>
      </w:pPr>
      <w:r w:rsidRPr="00616B77">
        <w:rPr>
          <w:rtl/>
          <w:lang w:val="en-IL"/>
        </w:rPr>
        <w:t xml:space="preserve">הסוג הראשון של המקרים הוא המקרים מהלכות דעות, מהלכות גזלה ואבדה וגם מהלכות מלכים ומלחמות בעיקר פרק ט'. המקרים הללו הם מקרים בהם יש סט ערכים בסיסי מאוד שנדרשים </w:t>
      </w:r>
      <w:r w:rsidRPr="00616B77">
        <w:rPr>
          <w:b/>
          <w:bCs/>
          <w:rtl/>
          <w:lang w:val="en-IL"/>
        </w:rPr>
        <w:t xml:space="preserve">כולם </w:t>
      </w:r>
      <w:r w:rsidRPr="00616B77">
        <w:rPr>
          <w:rtl/>
          <w:lang w:val="en-IL"/>
        </w:rPr>
        <w:t>לנהוג לפיהם, כל בני האדם - ולכן האיסורים והדרישות קיימים באופן שווה לגויים ולישראל. אסור לעבוד עבודה זרה, צריך לדבר עם כולם אמת ואסור לגזול. כל אלה הם ערכים בסיסים שהרמב"ם חושב שלכולם צריך להיות ולכן כולם צריכים להתנהג לפיהם כלפי כולם כולל גויים. </w:t>
      </w:r>
    </w:p>
    <w:p w14:paraId="5FAB2B03" w14:textId="3377AF77" w:rsidR="00616B77" w:rsidRPr="00616B77" w:rsidRDefault="00616B77" w:rsidP="00616B77">
      <w:pPr>
        <w:rPr>
          <w:rtl/>
          <w:lang w:val="en-IL"/>
        </w:rPr>
      </w:pPr>
      <w:r w:rsidRPr="00616B77">
        <w:rPr>
          <w:rtl/>
          <w:lang w:val="en-IL"/>
        </w:rPr>
        <w:t>הסוג השני של מקרים הוא המקרים מהלכות מלכים ומלחמות הפעם מפרק י'. שם ניתן לראות שהרמב"ם חושב שבגלל שאנחנו חיים ביחד, בקהילה, אז צריך להיות נחמדים אחד לשני, לפרנס את העניים של כולם, לקבור את כל המתים - אפילו ביחד, ולבקר את החולים של כולם. אנחנו חיים ביחד אז צריך ממש לחיות ביחד, למרות שכנראה יש הבדלים, לפעמים מהותיים, בינינו. אפשר גם לראות את זה מהמקרים של פסיקה לא שוויונית, שכתוב בהם שאולי דווקא כן צריך לנהוג באופן זהה, כדי שנוכל לחיות ביחד ולא ישנאו אותנו. לדוגמא המקרה מהלכות רוצח ושמירת נפש מפרק י״ג</w:t>
      </w:r>
      <w:r w:rsidR="004E2EC6">
        <w:rPr>
          <w:rStyle w:val="FootnoteReference"/>
          <w:rtl/>
          <w:lang w:val="en-IL"/>
        </w:rPr>
        <w:footnoteReference w:id="15"/>
      </w:r>
      <w:r w:rsidRPr="00616B77">
        <w:rPr>
          <w:rtl/>
          <w:lang w:val="en-IL"/>
        </w:rPr>
        <w:t xml:space="preserve"> שכתוב שם בסוף "אינו חייב </w:t>
      </w:r>
      <w:proofErr w:type="spellStart"/>
      <w:r w:rsidRPr="00616B77">
        <w:rPr>
          <w:rtl/>
          <w:lang w:val="en-IL"/>
        </w:rPr>
        <w:t>להטפל</w:t>
      </w:r>
      <w:proofErr w:type="spellEnd"/>
      <w:r w:rsidRPr="00616B77">
        <w:rPr>
          <w:rtl/>
          <w:lang w:val="en-IL"/>
        </w:rPr>
        <w:t xml:space="preserve"> בהן אלא משום איבה" בשביל שלא תהייה איבה בינינו, בשביל שלא נשנא אחד את השני, אז צריך לעזור, גם במקרה שאולי לא הייתי עוזר אם לא היינו חיים ביחד. ניתן גם לראות את זה מהלכות גזלה ואבדה בפרק י"א שם</w:t>
      </w:r>
      <w:r w:rsidR="00097811">
        <w:rPr>
          <w:rStyle w:val="FootnoteReference"/>
          <w:rtl/>
          <w:lang w:val="en-IL"/>
        </w:rPr>
        <w:footnoteReference w:id="16"/>
      </w:r>
      <w:r w:rsidRPr="00616B77">
        <w:rPr>
          <w:rtl/>
          <w:lang w:val="en-IL"/>
        </w:rPr>
        <w:t xml:space="preserve"> כתוב: "ואם החזירה לקדש את הקב"ה, כדי שיפארו את ישראל וידעו בהן שהן בעלי אמונה הרי זה משובח". תהיה נחמד לגויים ותחזיר להם את האבדות שלהם רק כדי שישראל יצאו טובים ואמינים בעיניהם או כדי לקדש את שם הקב"ה, אלו הסיבות היחידות להיות נחמד לגויים.</w:t>
      </w:r>
    </w:p>
    <w:p w14:paraId="449E0747" w14:textId="77777777" w:rsidR="00616B77" w:rsidRPr="00616B77" w:rsidRDefault="00616B77" w:rsidP="001C5C54">
      <w:pPr>
        <w:pStyle w:val="Heading2"/>
        <w:rPr>
          <w:rtl/>
          <w:lang w:val="en-IL"/>
        </w:rPr>
      </w:pPr>
      <w:r w:rsidRPr="00616B77">
        <w:rPr>
          <w:rtl/>
          <w:lang w:val="en-IL"/>
        </w:rPr>
        <w:t>סוף דבר</w:t>
      </w:r>
    </w:p>
    <w:p w14:paraId="7D8A0BED" w14:textId="687D20DC" w:rsidR="00616B77" w:rsidRPr="00616B77" w:rsidRDefault="00616B77" w:rsidP="001C5C54">
      <w:pPr>
        <w:ind w:firstLine="0"/>
        <w:rPr>
          <w:rtl/>
          <w:lang w:val="en-IL"/>
        </w:rPr>
      </w:pPr>
      <w:r w:rsidRPr="00616B77">
        <w:rPr>
          <w:rtl/>
          <w:lang w:val="en-IL"/>
        </w:rPr>
        <w:t xml:space="preserve">מחשבה אחרונה: אני שואל את עצמי אם הרמב"ם חושב שמעבר לסט ערכים </w:t>
      </w:r>
      <w:r w:rsidRPr="00616B77">
        <w:rPr>
          <w:rtl/>
          <w:lang w:val="en-IL"/>
        </w:rPr>
        <w:lastRenderedPageBreak/>
        <w:t xml:space="preserve">שראוי שיהיה לכולם, מה שבאמת חשוב זה חיי הקהילה. הייתה לו ראיה צרה וקהילתית. ולכן, לפי פסיקת הרמב"ם, אם יש אנשים </w:t>
      </w:r>
      <w:r w:rsidR="00500A54" w:rsidRPr="00616B77">
        <w:rPr>
          <w:rFonts w:hint="cs"/>
          <w:rtl/>
          <w:lang w:val="en-IL"/>
        </w:rPr>
        <w:t>באזורך</w:t>
      </w:r>
      <w:r w:rsidRPr="00616B77">
        <w:rPr>
          <w:rtl/>
          <w:lang w:val="en-IL"/>
        </w:rPr>
        <w:t xml:space="preserve"> שצריכים עזרה כמו צדקה או קבורת המת - אז עוזרים להם, כי אתם חיים ביחד, ואתה רוצה לחיות במקום שטוב ונחמד לחיות בו. בנוסף, אם אתה אי פעם תצטרך עזרה, אז כדי שיעזרו לך - וזה יקרה אם תעזור לאחרים. לכן ההלכות האלה לא רק מדברות על היהודים שאתה חי איתם אלה כל האנשים שאתה חי איתם. כי בשביל שיהיה לך טוב גם צריך שיהיה טוב לאנשים מסביבך. </w:t>
      </w:r>
    </w:p>
    <w:p w14:paraId="33F87AD6" w14:textId="77777777" w:rsidR="00616B77" w:rsidRPr="00616B77" w:rsidRDefault="00616B77" w:rsidP="00616B77">
      <w:pPr>
        <w:rPr>
          <w:rtl/>
          <w:lang w:val="en-IL"/>
        </w:rPr>
      </w:pPr>
      <w:r w:rsidRPr="00616B77">
        <w:rPr>
          <w:rtl/>
          <w:lang w:val="en-IL"/>
        </w:rPr>
        <w:t>אני תוהה אם היום כשאנחנו חיים בעולם יותר פתוח ויותר גדול, לא רק חשוב הקהילה הקטנה שאתה חי בה תהייה בטוב יחד, אלה יש תפיסה יותר הומניסטית רחבה שצריך לדאוג לכל העולם כולו לא רק לעולם היהודי. בנוסף אני חושב שהרבה הוגים יהודים הושפעו מהרמב"ם ולכן גם רואים בראיה צרה יותר וקהילתית את העולם היהודי היום. אבל לדעתי אולי ההוגים האלה רק קראו את המילים שכתב הרמב"ם ולא חשבו על המשמעות שלהם. צריך להסתכל על התמונה הרחבה ולראות את העולם כולו ולהבין שאנחנו לא לבד כאן בעולם וגם לא לבד בארץ שלנו, ובשביל שיהיה לכולנו הרבה יותר טוב צריך להבין את מה שהרמב"ם ניסה להגיד בגדול, מעבר לפרטים, ולהבין איך אנחנו יכולים לעשות לכולם טוב פה, לא רק ליהודים, כי אנחנו חיים פה ביחד בשטח לא גדול ואם לא יהיה פה טוב לחלק מהאנשים לא יהיה פה טוב לאף אחד. </w:t>
      </w:r>
    </w:p>
    <w:p w14:paraId="0058296D" w14:textId="62FA8726" w:rsidR="00C87786" w:rsidRDefault="00616B77" w:rsidP="006B489C">
      <w:pPr>
        <w:rPr>
          <w:rtl/>
        </w:rPr>
      </w:pPr>
      <w:r w:rsidRPr="00616B77">
        <w:rPr>
          <w:rtl/>
          <w:lang w:val="en-IL"/>
        </w:rPr>
        <w:t xml:space="preserve">אני נשאר עם השאלה המטרידה: האם הוגים יהודיים רבים - ולכן היהדות באופן כללי – מחזיקה בתפיסה ש"השב תשיבם </w:t>
      </w:r>
      <w:r w:rsidRPr="00616B77">
        <w:rPr>
          <w:b/>
          <w:bCs/>
          <w:rtl/>
          <w:lang w:val="en-IL"/>
        </w:rPr>
        <w:t>לאחיך</w:t>
      </w:r>
      <w:r w:rsidRPr="00616B77">
        <w:rPr>
          <w:rtl/>
          <w:lang w:val="en-IL"/>
        </w:rPr>
        <w:t xml:space="preserve">" ולכן כל מה שחשוב לי ושאכפת לי ממנו זה היהודים, במקום להחזיק בתפיסה ש"טוב ה' </w:t>
      </w:r>
      <w:r w:rsidRPr="00616B77">
        <w:rPr>
          <w:b/>
          <w:bCs/>
          <w:rtl/>
          <w:lang w:val="en-IL"/>
        </w:rPr>
        <w:t xml:space="preserve">לכל </w:t>
      </w:r>
      <w:r w:rsidRPr="00616B77">
        <w:rPr>
          <w:rtl/>
          <w:lang w:val="en-IL"/>
        </w:rPr>
        <w:t xml:space="preserve">ורחמיו על </w:t>
      </w:r>
      <w:r w:rsidRPr="00616B77">
        <w:rPr>
          <w:b/>
          <w:bCs/>
          <w:rtl/>
          <w:lang w:val="en-IL"/>
        </w:rPr>
        <w:t xml:space="preserve">כל </w:t>
      </w:r>
      <w:r w:rsidRPr="00616B77">
        <w:rPr>
          <w:rtl/>
          <w:lang w:val="en-IL"/>
        </w:rPr>
        <w:t>מעשיו" ו"</w:t>
      </w:r>
      <w:r w:rsidRPr="00616B77">
        <w:rPr>
          <w:b/>
          <w:bCs/>
          <w:rtl/>
          <w:lang w:val="en-IL"/>
        </w:rPr>
        <w:t>דרכיה</w:t>
      </w:r>
      <w:r w:rsidRPr="00616B77">
        <w:rPr>
          <w:rtl/>
          <w:lang w:val="en-IL"/>
        </w:rPr>
        <w:t xml:space="preserve"> דרכי נועם וכל נתיבותיה שלום". זה מוביל בקלות לתפיסה גזענית ורעה וזה מוביל לזה שרע לכולם. בעצם מה שאני רוצה להגיד זה שחסר לי שאין אמירה חזקה יותר לגבי הגויים שגרים בסמיכות אלינו ושאנו גרים בסמיכות אליהם כי ככה חיים בארץ ישראל ובמדינת ישראל היום, ושצריך לזכור שהם גם אנשים שנבראו בצלם אלוקים ולכן תאהב אותם ואל תשנא אותם רק בגלל שאתה חושב שהם שונאים אותך - כנראה שחלקם כן, אבל רובם לא. זה שיש גויים ששונאים אותנו לא אומר שהם כולם שונאים אותנו, גם אצלנו יש קיצוניים ששונאים את כל מי שלא כמונו זה לא אומר שכולם חושבים כך ומסכימים איתם.</w:t>
      </w:r>
    </w:p>
    <w:sectPr w:rsidR="00C87786"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CA1B1" w14:textId="77777777" w:rsidR="00C36D61" w:rsidRDefault="00C36D61" w:rsidP="00612B20">
      <w:pPr>
        <w:spacing w:line="240" w:lineRule="auto"/>
      </w:pPr>
      <w:r>
        <w:separator/>
      </w:r>
    </w:p>
  </w:endnote>
  <w:endnote w:type="continuationSeparator" w:id="0">
    <w:p w14:paraId="5211B15B" w14:textId="77777777" w:rsidR="00C36D61" w:rsidRDefault="00C36D61"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07220"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86BF4" w14:textId="77777777" w:rsidR="00C36D61" w:rsidRDefault="00C36D61" w:rsidP="008D6718">
      <w:pPr>
        <w:spacing w:line="240" w:lineRule="auto"/>
        <w:ind w:firstLine="0"/>
        <w:rPr>
          <w:rtl/>
        </w:rPr>
      </w:pPr>
    </w:p>
  </w:footnote>
  <w:footnote w:type="continuationSeparator" w:id="0">
    <w:p w14:paraId="13917AF1" w14:textId="77777777" w:rsidR="00C36D61" w:rsidRPr="00187664" w:rsidRDefault="00C36D61" w:rsidP="00187664">
      <w:pPr>
        <w:pStyle w:val="Footer"/>
        <w:rPr>
          <w:szCs w:val="22"/>
          <w:rtl/>
        </w:rPr>
      </w:pPr>
    </w:p>
  </w:footnote>
  <w:footnote w:id="1">
    <w:p w14:paraId="0F4FE9E4" w14:textId="6D7B4341" w:rsidR="00E649DB" w:rsidRDefault="00E649DB">
      <w:pPr>
        <w:pStyle w:val="FootnoteText"/>
        <w:rPr>
          <w:rFonts w:hint="cs"/>
        </w:rPr>
      </w:pPr>
      <w:r>
        <w:rPr>
          <w:rStyle w:val="FootnoteReference"/>
        </w:rPr>
        <w:footnoteRef/>
      </w:r>
      <w:r>
        <w:rPr>
          <w:rtl/>
        </w:rPr>
        <w:t xml:space="preserve"> </w:t>
      </w:r>
      <w:r w:rsidR="00E13D13">
        <w:rPr>
          <w:rtl/>
        </w:rPr>
        <w:tab/>
      </w:r>
      <w:r w:rsidRPr="00E649DB">
        <w:rPr>
          <w:rFonts w:hint="eastAsia"/>
          <w:rtl/>
        </w:rPr>
        <w:t>הלכות</w:t>
      </w:r>
      <w:r w:rsidRPr="00E649DB">
        <w:rPr>
          <w:rtl/>
        </w:rPr>
        <w:t xml:space="preserve"> </w:t>
      </w:r>
      <w:r w:rsidRPr="00E649DB">
        <w:rPr>
          <w:rFonts w:hint="eastAsia"/>
          <w:rtl/>
        </w:rPr>
        <w:t>גדלה</w:t>
      </w:r>
      <w:r w:rsidRPr="00E649DB">
        <w:rPr>
          <w:rtl/>
        </w:rPr>
        <w:t xml:space="preserve"> </w:t>
      </w:r>
      <w:r w:rsidRPr="00E649DB">
        <w:rPr>
          <w:rFonts w:hint="eastAsia"/>
          <w:rtl/>
        </w:rPr>
        <w:t>ואבודה</w:t>
      </w:r>
      <w:r w:rsidRPr="00E649DB">
        <w:rPr>
          <w:rtl/>
        </w:rPr>
        <w:t xml:space="preserve"> </w:t>
      </w:r>
      <w:r w:rsidRPr="00E649DB">
        <w:rPr>
          <w:rFonts w:hint="eastAsia"/>
          <w:rtl/>
        </w:rPr>
        <w:t>פרק</w:t>
      </w:r>
      <w:r w:rsidRPr="00E649DB">
        <w:rPr>
          <w:rtl/>
        </w:rPr>
        <w:t xml:space="preserve"> </w:t>
      </w:r>
      <w:r w:rsidRPr="00E649DB">
        <w:rPr>
          <w:rFonts w:hint="eastAsia"/>
          <w:rtl/>
        </w:rPr>
        <w:t>יא</w:t>
      </w:r>
      <w:r w:rsidRPr="00E649DB">
        <w:rPr>
          <w:rtl/>
        </w:rPr>
        <w:t xml:space="preserve"> </w:t>
      </w:r>
      <w:r w:rsidRPr="00E649DB">
        <w:rPr>
          <w:rFonts w:hint="eastAsia"/>
          <w:rtl/>
        </w:rPr>
        <w:t>הלכה</w:t>
      </w:r>
      <w:r w:rsidRPr="00E649DB">
        <w:rPr>
          <w:rtl/>
        </w:rPr>
        <w:t xml:space="preserve"> </w:t>
      </w:r>
      <w:r w:rsidRPr="00E649DB">
        <w:rPr>
          <w:rFonts w:hint="eastAsia"/>
          <w:rtl/>
        </w:rPr>
        <w:t>א</w:t>
      </w:r>
      <w:r w:rsidRPr="00E649DB">
        <w:rPr>
          <w:rtl/>
        </w:rPr>
        <w:t>'</w:t>
      </w:r>
    </w:p>
  </w:footnote>
  <w:footnote w:id="2">
    <w:p w14:paraId="1CE6364D" w14:textId="2D273EF2" w:rsidR="00870021" w:rsidRDefault="00870021">
      <w:pPr>
        <w:pStyle w:val="FootnoteText"/>
        <w:rPr>
          <w:rFonts w:hint="cs"/>
        </w:rPr>
      </w:pPr>
      <w:r>
        <w:rPr>
          <w:rStyle w:val="FootnoteReference"/>
        </w:rPr>
        <w:footnoteRef/>
      </w:r>
      <w:r>
        <w:rPr>
          <w:rtl/>
        </w:rPr>
        <w:t xml:space="preserve"> </w:t>
      </w:r>
      <w:r w:rsidR="00E13D13">
        <w:rPr>
          <w:rtl/>
        </w:rPr>
        <w:tab/>
      </w:r>
      <w:r w:rsidRPr="00870021">
        <w:rPr>
          <w:rFonts w:hint="eastAsia"/>
          <w:rtl/>
        </w:rPr>
        <w:t>שם</w:t>
      </w:r>
      <w:r w:rsidRPr="00870021">
        <w:rPr>
          <w:rtl/>
        </w:rPr>
        <w:t xml:space="preserve">, </w:t>
      </w:r>
      <w:r w:rsidRPr="00870021">
        <w:rPr>
          <w:rFonts w:hint="eastAsia"/>
          <w:rtl/>
        </w:rPr>
        <w:t>הלכה</w:t>
      </w:r>
      <w:r w:rsidRPr="00870021">
        <w:rPr>
          <w:rtl/>
        </w:rPr>
        <w:t xml:space="preserve"> </w:t>
      </w:r>
      <w:r w:rsidRPr="00870021">
        <w:rPr>
          <w:rFonts w:hint="eastAsia"/>
          <w:rtl/>
        </w:rPr>
        <w:t>ג</w:t>
      </w:r>
      <w:r w:rsidRPr="00870021">
        <w:rPr>
          <w:rtl/>
        </w:rPr>
        <w:t>'</w:t>
      </w:r>
    </w:p>
  </w:footnote>
  <w:footnote w:id="3">
    <w:p w14:paraId="22A4825F" w14:textId="6D418E77" w:rsidR="00C903C3" w:rsidRDefault="00C903C3" w:rsidP="00C903C3">
      <w:pPr>
        <w:pStyle w:val="FootnoteText"/>
        <w:rPr>
          <w:rFonts w:hint="cs"/>
          <w:rtl/>
        </w:rPr>
      </w:pPr>
      <w:r>
        <w:rPr>
          <w:rStyle w:val="FootnoteReference"/>
        </w:rPr>
        <w:footnoteRef/>
      </w:r>
      <w:r>
        <w:rPr>
          <w:rtl/>
        </w:rPr>
        <w:t xml:space="preserve"> </w:t>
      </w:r>
      <w:r w:rsidR="00E13D13">
        <w:rPr>
          <w:rtl/>
        </w:rPr>
        <w:tab/>
      </w:r>
      <w:r w:rsidRPr="00511DA4">
        <w:rPr>
          <w:rFonts w:hint="eastAsia"/>
          <w:rtl/>
        </w:rPr>
        <w:t>הלכה</w:t>
      </w:r>
      <w:r w:rsidRPr="00511DA4">
        <w:rPr>
          <w:rtl/>
        </w:rPr>
        <w:t xml:space="preserve"> </w:t>
      </w:r>
      <w:r w:rsidRPr="00511DA4">
        <w:rPr>
          <w:rFonts w:hint="eastAsia"/>
          <w:rtl/>
        </w:rPr>
        <w:t>ז</w:t>
      </w:r>
      <w:r w:rsidRPr="00511DA4">
        <w:rPr>
          <w:rtl/>
        </w:rPr>
        <w:t>'</w:t>
      </w:r>
    </w:p>
  </w:footnote>
  <w:footnote w:id="4">
    <w:p w14:paraId="1F49F52F" w14:textId="409A890D" w:rsidR="00FC3B2E" w:rsidRDefault="00FC3B2E" w:rsidP="00FC3B2E">
      <w:pPr>
        <w:pStyle w:val="FootnoteText"/>
        <w:rPr>
          <w:rFonts w:hint="cs"/>
          <w:rtl/>
        </w:rPr>
      </w:pPr>
      <w:r>
        <w:rPr>
          <w:rStyle w:val="FootnoteReference"/>
        </w:rPr>
        <w:footnoteRef/>
      </w:r>
      <w:r>
        <w:rPr>
          <w:rtl/>
        </w:rPr>
        <w:t xml:space="preserve"> </w:t>
      </w:r>
      <w:r w:rsidR="00E13D13">
        <w:rPr>
          <w:rtl/>
        </w:rPr>
        <w:tab/>
      </w:r>
      <w:r w:rsidRPr="00973799">
        <w:rPr>
          <w:rFonts w:hint="eastAsia"/>
          <w:rtl/>
        </w:rPr>
        <w:t>הלכה</w:t>
      </w:r>
      <w:r w:rsidRPr="00973799">
        <w:rPr>
          <w:rtl/>
        </w:rPr>
        <w:t xml:space="preserve"> </w:t>
      </w:r>
      <w:r w:rsidRPr="00973799">
        <w:rPr>
          <w:rFonts w:hint="eastAsia"/>
          <w:rtl/>
        </w:rPr>
        <w:t>ט</w:t>
      </w:r>
      <w:r w:rsidRPr="00973799">
        <w:rPr>
          <w:rtl/>
        </w:rPr>
        <w:t>'</w:t>
      </w:r>
    </w:p>
  </w:footnote>
  <w:footnote w:id="5">
    <w:p w14:paraId="1CD70F5B" w14:textId="40C01DAE" w:rsidR="006B135D" w:rsidRDefault="006B135D" w:rsidP="006B135D">
      <w:pPr>
        <w:pStyle w:val="FootnoteText"/>
        <w:rPr>
          <w:rFonts w:hint="cs"/>
          <w:rtl/>
        </w:rPr>
      </w:pPr>
      <w:r>
        <w:rPr>
          <w:rStyle w:val="FootnoteReference"/>
        </w:rPr>
        <w:footnoteRef/>
      </w:r>
      <w:r>
        <w:rPr>
          <w:rtl/>
        </w:rPr>
        <w:t xml:space="preserve"> </w:t>
      </w:r>
      <w:r w:rsidR="00E13D13">
        <w:rPr>
          <w:rtl/>
        </w:rPr>
        <w:tab/>
      </w:r>
      <w:r w:rsidRPr="00542E5F">
        <w:rPr>
          <w:rFonts w:hint="eastAsia"/>
          <w:rtl/>
        </w:rPr>
        <w:t>הלכה</w:t>
      </w:r>
      <w:r w:rsidRPr="00542E5F">
        <w:rPr>
          <w:rtl/>
        </w:rPr>
        <w:t xml:space="preserve"> </w:t>
      </w:r>
      <w:r w:rsidRPr="00542E5F">
        <w:rPr>
          <w:rFonts w:hint="eastAsia"/>
          <w:rtl/>
        </w:rPr>
        <w:t>י</w:t>
      </w:r>
      <w:r w:rsidRPr="00542E5F">
        <w:rPr>
          <w:rtl/>
        </w:rPr>
        <w:t>"</w:t>
      </w:r>
      <w:r w:rsidRPr="00542E5F">
        <w:rPr>
          <w:rFonts w:hint="eastAsia"/>
          <w:rtl/>
        </w:rPr>
        <w:t>א</w:t>
      </w:r>
    </w:p>
  </w:footnote>
  <w:footnote w:id="6">
    <w:p w14:paraId="13BEC948" w14:textId="24530E37" w:rsidR="00156D59" w:rsidRDefault="00156D59" w:rsidP="00156D59">
      <w:pPr>
        <w:pStyle w:val="FootnoteText"/>
        <w:rPr>
          <w:rFonts w:hint="cs"/>
        </w:rPr>
      </w:pPr>
      <w:r>
        <w:rPr>
          <w:rStyle w:val="FootnoteReference"/>
        </w:rPr>
        <w:footnoteRef/>
      </w:r>
      <w:r>
        <w:rPr>
          <w:rtl/>
        </w:rPr>
        <w:t xml:space="preserve"> </w:t>
      </w:r>
      <w:r w:rsidR="00E13D13">
        <w:rPr>
          <w:rtl/>
        </w:rPr>
        <w:tab/>
      </w:r>
      <w:r w:rsidRPr="00423E5D">
        <w:rPr>
          <w:rFonts w:hint="eastAsia"/>
          <w:rtl/>
        </w:rPr>
        <w:t>הלכה</w:t>
      </w:r>
      <w:r w:rsidRPr="00423E5D">
        <w:rPr>
          <w:rtl/>
        </w:rPr>
        <w:t xml:space="preserve"> </w:t>
      </w:r>
      <w:r w:rsidRPr="00423E5D">
        <w:rPr>
          <w:rFonts w:hint="eastAsia"/>
          <w:rtl/>
        </w:rPr>
        <w:t>ט</w:t>
      </w:r>
      <w:r w:rsidRPr="00423E5D">
        <w:rPr>
          <w:rtl/>
        </w:rPr>
        <w:t>'</w:t>
      </w:r>
    </w:p>
  </w:footnote>
  <w:footnote w:id="7">
    <w:p w14:paraId="7539382A" w14:textId="759A5D9E" w:rsidR="00AC1AF4" w:rsidRDefault="00AC1AF4">
      <w:pPr>
        <w:pStyle w:val="FootnoteText"/>
        <w:rPr>
          <w:rFonts w:hint="cs"/>
          <w:rtl/>
        </w:rPr>
      </w:pPr>
      <w:r>
        <w:rPr>
          <w:rStyle w:val="FootnoteReference"/>
        </w:rPr>
        <w:footnoteRef/>
      </w:r>
      <w:r w:rsidR="009D0481">
        <w:rPr>
          <w:rFonts w:hint="cs"/>
          <w:rtl/>
          <w:lang w:val="en-IL"/>
        </w:rPr>
        <w:t xml:space="preserve"> </w:t>
      </w:r>
      <w:r w:rsidR="00E13D13">
        <w:rPr>
          <w:rtl/>
          <w:lang w:val="en-IL"/>
        </w:rPr>
        <w:tab/>
      </w:r>
      <w:r w:rsidR="009D0481">
        <w:rPr>
          <w:rFonts w:hint="cs"/>
          <w:rtl/>
          <w:lang w:val="en-IL"/>
        </w:rPr>
        <w:t xml:space="preserve">רמב"ם, ספר </w:t>
      </w:r>
      <w:r w:rsidR="009D0481" w:rsidRPr="00616B77">
        <w:rPr>
          <w:rtl/>
          <w:lang w:val="en-IL"/>
        </w:rPr>
        <w:t>שופטים</w:t>
      </w:r>
      <w:r w:rsidR="009D0481">
        <w:rPr>
          <w:rFonts w:hint="cs"/>
          <w:rtl/>
          <w:lang w:val="en-IL"/>
        </w:rPr>
        <w:t>,</w:t>
      </w:r>
      <w:r w:rsidR="009D0481" w:rsidRPr="00616B77">
        <w:rPr>
          <w:rtl/>
          <w:lang w:val="en-IL"/>
        </w:rPr>
        <w:t xml:space="preserve"> הלכות מלכים ומלחמות פרק ט'</w:t>
      </w:r>
      <w:r>
        <w:rPr>
          <w:rtl/>
        </w:rPr>
        <w:t xml:space="preserve"> </w:t>
      </w:r>
      <w:r w:rsidRPr="00AC1AF4">
        <w:rPr>
          <w:rFonts w:hint="eastAsia"/>
          <w:rtl/>
        </w:rPr>
        <w:t>הלכה</w:t>
      </w:r>
      <w:r w:rsidRPr="00AC1AF4">
        <w:rPr>
          <w:rtl/>
        </w:rPr>
        <w:t xml:space="preserve"> </w:t>
      </w:r>
      <w:r w:rsidRPr="00AC1AF4">
        <w:rPr>
          <w:rFonts w:hint="eastAsia"/>
          <w:rtl/>
        </w:rPr>
        <w:t>ט</w:t>
      </w:r>
      <w:r w:rsidRPr="00AC1AF4">
        <w:rPr>
          <w:rtl/>
        </w:rPr>
        <w:t>'</w:t>
      </w:r>
    </w:p>
  </w:footnote>
  <w:footnote w:id="8">
    <w:p w14:paraId="327406C0" w14:textId="1424991F" w:rsidR="00020D34" w:rsidRDefault="00020D34">
      <w:pPr>
        <w:pStyle w:val="FootnoteText"/>
        <w:rPr>
          <w:rFonts w:hint="cs"/>
        </w:rPr>
      </w:pPr>
      <w:r>
        <w:rPr>
          <w:rStyle w:val="FootnoteReference"/>
        </w:rPr>
        <w:footnoteRef/>
      </w:r>
      <w:r>
        <w:rPr>
          <w:rtl/>
        </w:rPr>
        <w:t xml:space="preserve"> </w:t>
      </w:r>
      <w:r w:rsidR="00E13D13">
        <w:rPr>
          <w:rtl/>
        </w:rPr>
        <w:tab/>
      </w:r>
      <w:r w:rsidRPr="00020D34">
        <w:rPr>
          <w:rFonts w:hint="eastAsia"/>
          <w:rtl/>
        </w:rPr>
        <w:t>הלכה</w:t>
      </w:r>
      <w:r w:rsidRPr="00020D34">
        <w:rPr>
          <w:rtl/>
        </w:rPr>
        <w:t xml:space="preserve"> </w:t>
      </w:r>
      <w:r w:rsidRPr="00020D34">
        <w:rPr>
          <w:rFonts w:hint="eastAsia"/>
          <w:rtl/>
        </w:rPr>
        <w:t>א</w:t>
      </w:r>
      <w:r w:rsidRPr="00020D34">
        <w:rPr>
          <w:rtl/>
        </w:rPr>
        <w:t>'</w:t>
      </w:r>
    </w:p>
  </w:footnote>
  <w:footnote w:id="9">
    <w:p w14:paraId="22E45545" w14:textId="7F7ACADD" w:rsidR="00D157E6" w:rsidRDefault="00D157E6">
      <w:pPr>
        <w:pStyle w:val="FootnoteText"/>
        <w:rPr>
          <w:rFonts w:hint="cs"/>
        </w:rPr>
      </w:pPr>
      <w:r>
        <w:rPr>
          <w:rStyle w:val="FootnoteReference"/>
        </w:rPr>
        <w:footnoteRef/>
      </w:r>
      <w:r>
        <w:rPr>
          <w:rtl/>
        </w:rPr>
        <w:t xml:space="preserve"> </w:t>
      </w:r>
      <w:r w:rsidR="00E13D13">
        <w:rPr>
          <w:rtl/>
        </w:rPr>
        <w:tab/>
      </w:r>
      <w:r w:rsidRPr="00D157E6">
        <w:rPr>
          <w:rFonts w:hint="eastAsia"/>
          <w:rtl/>
        </w:rPr>
        <w:t>הלכה</w:t>
      </w:r>
      <w:r w:rsidRPr="00D157E6">
        <w:rPr>
          <w:rtl/>
        </w:rPr>
        <w:t xml:space="preserve"> </w:t>
      </w:r>
      <w:r w:rsidRPr="00D157E6">
        <w:rPr>
          <w:rFonts w:hint="eastAsia"/>
          <w:rtl/>
        </w:rPr>
        <w:t>ג</w:t>
      </w:r>
      <w:r w:rsidRPr="00D157E6">
        <w:rPr>
          <w:rtl/>
        </w:rPr>
        <w:t>'</w:t>
      </w:r>
    </w:p>
  </w:footnote>
  <w:footnote w:id="10">
    <w:p w14:paraId="18601092" w14:textId="405AD1D4" w:rsidR="005E4094" w:rsidRDefault="005E4094" w:rsidP="005E4094">
      <w:pPr>
        <w:pStyle w:val="FootnoteText"/>
        <w:rPr>
          <w:rFonts w:hint="cs"/>
        </w:rPr>
      </w:pPr>
      <w:r>
        <w:rPr>
          <w:rStyle w:val="FootnoteReference"/>
        </w:rPr>
        <w:footnoteRef/>
      </w:r>
      <w:r>
        <w:rPr>
          <w:rtl/>
        </w:rPr>
        <w:t xml:space="preserve"> </w:t>
      </w:r>
      <w:r w:rsidR="00E13D13">
        <w:rPr>
          <w:rtl/>
        </w:rPr>
        <w:tab/>
      </w:r>
      <w:r w:rsidRPr="00FB2229">
        <w:rPr>
          <w:rFonts w:hint="eastAsia"/>
          <w:rtl/>
        </w:rPr>
        <w:t>פרק</w:t>
      </w:r>
      <w:r w:rsidRPr="00FB2229">
        <w:rPr>
          <w:rtl/>
        </w:rPr>
        <w:t xml:space="preserve"> </w:t>
      </w:r>
      <w:r w:rsidRPr="00FB2229">
        <w:rPr>
          <w:rFonts w:hint="eastAsia"/>
          <w:rtl/>
        </w:rPr>
        <w:t>ב</w:t>
      </w:r>
      <w:r w:rsidRPr="00FB2229">
        <w:rPr>
          <w:rtl/>
        </w:rPr>
        <w:t xml:space="preserve"> </w:t>
      </w:r>
      <w:r w:rsidRPr="00FB2229">
        <w:rPr>
          <w:rFonts w:hint="eastAsia"/>
          <w:rtl/>
        </w:rPr>
        <w:t>הלכה</w:t>
      </w:r>
      <w:r w:rsidRPr="00FB2229">
        <w:rPr>
          <w:rtl/>
        </w:rPr>
        <w:t xml:space="preserve"> </w:t>
      </w:r>
      <w:r w:rsidRPr="00FB2229">
        <w:rPr>
          <w:rFonts w:hint="eastAsia"/>
          <w:rtl/>
        </w:rPr>
        <w:t>ו</w:t>
      </w:r>
    </w:p>
  </w:footnote>
  <w:footnote w:id="11">
    <w:p w14:paraId="1018D158" w14:textId="7F568AD9" w:rsidR="00116DA1" w:rsidRDefault="00116DA1">
      <w:pPr>
        <w:pStyle w:val="FootnoteText"/>
        <w:rPr>
          <w:rFonts w:hint="cs"/>
          <w:rtl/>
        </w:rPr>
      </w:pPr>
      <w:r>
        <w:rPr>
          <w:rStyle w:val="FootnoteReference"/>
        </w:rPr>
        <w:footnoteRef/>
      </w:r>
      <w:r>
        <w:rPr>
          <w:rtl/>
        </w:rPr>
        <w:t xml:space="preserve"> </w:t>
      </w:r>
      <w:r w:rsidR="00E13D13">
        <w:rPr>
          <w:rtl/>
        </w:rPr>
        <w:tab/>
      </w:r>
      <w:r w:rsidRPr="00116DA1">
        <w:rPr>
          <w:rFonts w:hint="eastAsia"/>
          <w:rtl/>
        </w:rPr>
        <w:t>שם</w:t>
      </w:r>
    </w:p>
  </w:footnote>
  <w:footnote w:id="12">
    <w:p w14:paraId="220CED68" w14:textId="05E05022" w:rsidR="00D62B30" w:rsidRDefault="00D62B30">
      <w:pPr>
        <w:pStyle w:val="FootnoteText"/>
        <w:rPr>
          <w:rFonts w:hint="cs"/>
          <w:rtl/>
        </w:rPr>
      </w:pPr>
      <w:r>
        <w:rPr>
          <w:rStyle w:val="FootnoteReference"/>
        </w:rPr>
        <w:footnoteRef/>
      </w:r>
      <w:r>
        <w:rPr>
          <w:rtl/>
        </w:rPr>
        <w:t xml:space="preserve"> </w:t>
      </w:r>
      <w:r w:rsidR="00E13D13">
        <w:rPr>
          <w:rtl/>
        </w:rPr>
        <w:tab/>
      </w:r>
      <w:r w:rsidRPr="00D62B30">
        <w:rPr>
          <w:rFonts w:hint="eastAsia"/>
          <w:rtl/>
        </w:rPr>
        <w:t>הלכה</w:t>
      </w:r>
      <w:r w:rsidRPr="00D62B30">
        <w:rPr>
          <w:rtl/>
        </w:rPr>
        <w:t xml:space="preserve"> </w:t>
      </w:r>
      <w:r w:rsidRPr="00D62B30">
        <w:rPr>
          <w:rFonts w:hint="eastAsia"/>
          <w:rtl/>
        </w:rPr>
        <w:t>ב</w:t>
      </w:r>
      <w:r w:rsidRPr="00D62B30">
        <w:rPr>
          <w:rtl/>
        </w:rPr>
        <w:t>'</w:t>
      </w:r>
    </w:p>
  </w:footnote>
  <w:footnote w:id="13">
    <w:p w14:paraId="3399C7A3" w14:textId="23C61661" w:rsidR="00AA1AB4" w:rsidRDefault="00AA1AB4">
      <w:pPr>
        <w:pStyle w:val="FootnoteText"/>
        <w:rPr>
          <w:rFonts w:hint="cs"/>
        </w:rPr>
      </w:pPr>
      <w:r>
        <w:rPr>
          <w:rStyle w:val="FootnoteReference"/>
        </w:rPr>
        <w:footnoteRef/>
      </w:r>
      <w:r>
        <w:rPr>
          <w:rtl/>
        </w:rPr>
        <w:t xml:space="preserve"> </w:t>
      </w:r>
      <w:r w:rsidR="00E13D13">
        <w:rPr>
          <w:rtl/>
        </w:rPr>
        <w:tab/>
      </w:r>
      <w:r w:rsidRPr="00AA1AB4">
        <w:rPr>
          <w:rFonts w:hint="eastAsia"/>
          <w:rtl/>
        </w:rPr>
        <w:t>הלכה</w:t>
      </w:r>
      <w:r w:rsidRPr="00AA1AB4">
        <w:rPr>
          <w:rtl/>
        </w:rPr>
        <w:t xml:space="preserve"> </w:t>
      </w:r>
      <w:r w:rsidRPr="00AA1AB4">
        <w:rPr>
          <w:rFonts w:hint="eastAsia"/>
          <w:rtl/>
        </w:rPr>
        <w:t>ב</w:t>
      </w:r>
      <w:r w:rsidRPr="00AA1AB4">
        <w:rPr>
          <w:rtl/>
        </w:rPr>
        <w:t>'</w:t>
      </w:r>
    </w:p>
  </w:footnote>
  <w:footnote w:id="14">
    <w:p w14:paraId="2384EDA0" w14:textId="2177B95E" w:rsidR="009969B8" w:rsidRDefault="009969B8">
      <w:pPr>
        <w:pStyle w:val="FootnoteText"/>
        <w:rPr>
          <w:rFonts w:hint="cs"/>
          <w:rtl/>
        </w:rPr>
      </w:pPr>
      <w:r>
        <w:rPr>
          <w:rStyle w:val="FootnoteReference"/>
        </w:rPr>
        <w:footnoteRef/>
      </w:r>
      <w:r>
        <w:rPr>
          <w:rtl/>
        </w:rPr>
        <w:t xml:space="preserve"> </w:t>
      </w:r>
      <w:r w:rsidR="00E13D13">
        <w:rPr>
          <w:rtl/>
        </w:rPr>
        <w:tab/>
      </w:r>
      <w:r w:rsidRPr="009969B8">
        <w:rPr>
          <w:rFonts w:hint="eastAsia"/>
          <w:rtl/>
        </w:rPr>
        <w:t>הלכה</w:t>
      </w:r>
      <w:r w:rsidRPr="009969B8">
        <w:rPr>
          <w:rtl/>
        </w:rPr>
        <w:t xml:space="preserve"> </w:t>
      </w:r>
      <w:r w:rsidRPr="009969B8">
        <w:rPr>
          <w:rFonts w:hint="eastAsia"/>
          <w:rtl/>
        </w:rPr>
        <w:t>י</w:t>
      </w:r>
      <w:r w:rsidRPr="009969B8">
        <w:rPr>
          <w:rtl/>
        </w:rPr>
        <w:t>"</w:t>
      </w:r>
      <w:r w:rsidRPr="009969B8">
        <w:rPr>
          <w:rFonts w:hint="eastAsia"/>
          <w:rtl/>
        </w:rPr>
        <w:t>ב</w:t>
      </w:r>
    </w:p>
  </w:footnote>
  <w:footnote w:id="15">
    <w:p w14:paraId="1B5F7AA8" w14:textId="20F20747" w:rsidR="004E2EC6" w:rsidRDefault="004E2EC6">
      <w:pPr>
        <w:pStyle w:val="FootnoteText"/>
        <w:rPr>
          <w:rFonts w:hint="cs"/>
          <w:rtl/>
        </w:rPr>
      </w:pPr>
      <w:r>
        <w:rPr>
          <w:rStyle w:val="FootnoteReference"/>
        </w:rPr>
        <w:footnoteRef/>
      </w:r>
      <w:r>
        <w:rPr>
          <w:rtl/>
        </w:rPr>
        <w:t xml:space="preserve"> </w:t>
      </w:r>
      <w:r w:rsidR="00E13D13">
        <w:rPr>
          <w:rtl/>
        </w:rPr>
        <w:tab/>
      </w:r>
      <w:r w:rsidRPr="004E2EC6">
        <w:rPr>
          <w:rFonts w:hint="eastAsia"/>
          <w:rtl/>
        </w:rPr>
        <w:t>הלכה</w:t>
      </w:r>
      <w:r w:rsidRPr="004E2EC6">
        <w:rPr>
          <w:rtl/>
        </w:rPr>
        <w:t xml:space="preserve"> </w:t>
      </w:r>
      <w:r w:rsidRPr="004E2EC6">
        <w:rPr>
          <w:rFonts w:hint="eastAsia"/>
          <w:rtl/>
        </w:rPr>
        <w:t>ט</w:t>
      </w:r>
      <w:r w:rsidRPr="004E2EC6">
        <w:rPr>
          <w:rtl/>
        </w:rPr>
        <w:t>'</w:t>
      </w:r>
    </w:p>
  </w:footnote>
  <w:footnote w:id="16">
    <w:p w14:paraId="28744037" w14:textId="495C41FD" w:rsidR="00097811" w:rsidRDefault="00097811">
      <w:pPr>
        <w:pStyle w:val="FootnoteText"/>
        <w:rPr>
          <w:rFonts w:hint="cs"/>
          <w:rtl/>
        </w:rPr>
      </w:pPr>
      <w:r>
        <w:rPr>
          <w:rStyle w:val="FootnoteReference"/>
        </w:rPr>
        <w:footnoteRef/>
      </w:r>
      <w:r>
        <w:rPr>
          <w:rtl/>
        </w:rPr>
        <w:t xml:space="preserve"> </w:t>
      </w:r>
      <w:r w:rsidR="00E13D13">
        <w:rPr>
          <w:rtl/>
        </w:rPr>
        <w:tab/>
      </w:r>
      <w:r w:rsidRPr="00097811">
        <w:rPr>
          <w:rFonts w:hint="eastAsia"/>
          <w:rtl/>
        </w:rPr>
        <w:t>הלכה</w:t>
      </w:r>
      <w:r w:rsidRPr="00097811">
        <w:rPr>
          <w:rtl/>
        </w:rPr>
        <w:t xml:space="preserve"> </w:t>
      </w:r>
      <w:r w:rsidRPr="00097811">
        <w:rPr>
          <w:rFonts w:hint="eastAsia"/>
          <w:rtl/>
        </w:rPr>
        <w:t>ג</w:t>
      </w:r>
      <w:r w:rsidRPr="00097811">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F47E7" w14:textId="3E3D1506"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616B77">
      <w:rPr>
        <w:rFonts w:ascii="Heebo Light" w:hAnsi="Heebo Light" w:cs="Heebo Light"/>
        <w:noProof/>
        <w:sz w:val="18"/>
        <w:szCs w:val="18"/>
      </w:rPr>
      <w:fldChar w:fldCharType="separate"/>
    </w:r>
    <w:r w:rsidR="00D336E7">
      <w:rPr>
        <w:rFonts w:ascii="Heebo Light" w:hAnsi="Heebo Light" w:cs="Heebo Light"/>
        <w:noProof/>
        <w:sz w:val="18"/>
        <w:szCs w:val="18"/>
        <w:rtl/>
      </w:rPr>
      <w:t>רפאל קמפבל הוכשטיין</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649EB" w14:textId="1711078C"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3978F4">
      <w:rPr>
        <w:rFonts w:ascii="Heebo Light" w:hAnsi="Heebo Light" w:cs="Heebo Light"/>
        <w:noProof/>
        <w:sz w:val="18"/>
        <w:szCs w:val="18"/>
        <w:rtl/>
      </w:rPr>
      <w:fldChar w:fldCharType="begin"/>
    </w:r>
    <w:r w:rsidR="003978F4">
      <w:rPr>
        <w:rFonts w:ascii="Heebo Light" w:hAnsi="Heebo Light" w:cs="Heebo Light"/>
        <w:noProof/>
        <w:sz w:val="18"/>
        <w:szCs w:val="18"/>
        <w:rtl/>
      </w:rPr>
      <w:instrText xml:space="preserve"> </w:instrText>
    </w:r>
    <w:r w:rsidR="003978F4">
      <w:rPr>
        <w:rFonts w:ascii="Heebo Light" w:hAnsi="Heebo Light" w:cs="Heebo Light"/>
        <w:noProof/>
        <w:sz w:val="18"/>
        <w:szCs w:val="18"/>
      </w:rPr>
      <w:instrText>STYLEREF  Title  \* MERGEFORMAT</w:instrText>
    </w:r>
    <w:r w:rsidR="003978F4">
      <w:rPr>
        <w:rFonts w:ascii="Heebo Light" w:hAnsi="Heebo Light" w:cs="Heebo Light"/>
        <w:noProof/>
        <w:sz w:val="18"/>
        <w:szCs w:val="18"/>
        <w:rtl/>
      </w:rPr>
      <w:instrText xml:space="preserve"> </w:instrText>
    </w:r>
    <w:r w:rsidR="001C5C54">
      <w:rPr>
        <w:rFonts w:ascii="Heebo Light" w:hAnsi="Heebo Light" w:cs="Heebo Light"/>
        <w:noProof/>
        <w:sz w:val="18"/>
        <w:szCs w:val="18"/>
        <w:rtl/>
      </w:rPr>
      <w:fldChar w:fldCharType="separate"/>
    </w:r>
    <w:r w:rsidR="006B489C">
      <w:rPr>
        <w:rFonts w:ascii="Heebo Light" w:hAnsi="Heebo Light" w:cs="Heebo Light"/>
        <w:noProof/>
        <w:sz w:val="18"/>
        <w:szCs w:val="18"/>
        <w:rtl/>
      </w:rPr>
      <w:t>היחס לגויים במשנה תורה לרמב"ם</w:t>
    </w:r>
    <w:r w:rsidR="003978F4">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96F0"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7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77"/>
    <w:rsid w:val="000151DF"/>
    <w:rsid w:val="00020D34"/>
    <w:rsid w:val="000409AA"/>
    <w:rsid w:val="00097811"/>
    <w:rsid w:val="000A2278"/>
    <w:rsid w:val="000C7944"/>
    <w:rsid w:val="000E0D53"/>
    <w:rsid w:val="00116DA1"/>
    <w:rsid w:val="00117507"/>
    <w:rsid w:val="00156D59"/>
    <w:rsid w:val="00187664"/>
    <w:rsid w:val="001C0B80"/>
    <w:rsid w:val="001C5C54"/>
    <w:rsid w:val="001C67F9"/>
    <w:rsid w:val="001F7962"/>
    <w:rsid w:val="00265448"/>
    <w:rsid w:val="002D60F4"/>
    <w:rsid w:val="002F4E37"/>
    <w:rsid w:val="003430B8"/>
    <w:rsid w:val="00353C23"/>
    <w:rsid w:val="003711E9"/>
    <w:rsid w:val="003978F4"/>
    <w:rsid w:val="003D5576"/>
    <w:rsid w:val="00423E5D"/>
    <w:rsid w:val="00424810"/>
    <w:rsid w:val="00426FAE"/>
    <w:rsid w:val="00427F42"/>
    <w:rsid w:val="00441116"/>
    <w:rsid w:val="004545B2"/>
    <w:rsid w:val="00466C8B"/>
    <w:rsid w:val="00472414"/>
    <w:rsid w:val="004C023A"/>
    <w:rsid w:val="004C1236"/>
    <w:rsid w:val="004D4620"/>
    <w:rsid w:val="004E2EC6"/>
    <w:rsid w:val="004F3731"/>
    <w:rsid w:val="00500A54"/>
    <w:rsid w:val="00502952"/>
    <w:rsid w:val="00511DA4"/>
    <w:rsid w:val="005208F8"/>
    <w:rsid w:val="00526CD8"/>
    <w:rsid w:val="00542E5F"/>
    <w:rsid w:val="00543B5E"/>
    <w:rsid w:val="005805DA"/>
    <w:rsid w:val="005E3F7A"/>
    <w:rsid w:val="005E4094"/>
    <w:rsid w:val="005F33A2"/>
    <w:rsid w:val="00612B20"/>
    <w:rsid w:val="00616B77"/>
    <w:rsid w:val="00654F62"/>
    <w:rsid w:val="00662B22"/>
    <w:rsid w:val="006B135D"/>
    <w:rsid w:val="006B489C"/>
    <w:rsid w:val="006D3893"/>
    <w:rsid w:val="006E6632"/>
    <w:rsid w:val="00703411"/>
    <w:rsid w:val="007075C6"/>
    <w:rsid w:val="00737F13"/>
    <w:rsid w:val="00755E25"/>
    <w:rsid w:val="007606B7"/>
    <w:rsid w:val="007A51BA"/>
    <w:rsid w:val="007A671B"/>
    <w:rsid w:val="007D6473"/>
    <w:rsid w:val="00870021"/>
    <w:rsid w:val="008D1F83"/>
    <w:rsid w:val="008D6718"/>
    <w:rsid w:val="00930A17"/>
    <w:rsid w:val="009616FC"/>
    <w:rsid w:val="00967280"/>
    <w:rsid w:val="00973799"/>
    <w:rsid w:val="00986546"/>
    <w:rsid w:val="00987353"/>
    <w:rsid w:val="00991A43"/>
    <w:rsid w:val="009969B8"/>
    <w:rsid w:val="009A0C2A"/>
    <w:rsid w:val="009D0481"/>
    <w:rsid w:val="009E7FBB"/>
    <w:rsid w:val="00A03896"/>
    <w:rsid w:val="00A31408"/>
    <w:rsid w:val="00A47FA6"/>
    <w:rsid w:val="00AA1AB4"/>
    <w:rsid w:val="00AB2BC4"/>
    <w:rsid w:val="00AC1AF4"/>
    <w:rsid w:val="00B1141A"/>
    <w:rsid w:val="00B32378"/>
    <w:rsid w:val="00B41A38"/>
    <w:rsid w:val="00B5596B"/>
    <w:rsid w:val="00B75439"/>
    <w:rsid w:val="00BB325B"/>
    <w:rsid w:val="00BC159F"/>
    <w:rsid w:val="00C02286"/>
    <w:rsid w:val="00C10D32"/>
    <w:rsid w:val="00C11C42"/>
    <w:rsid w:val="00C221FC"/>
    <w:rsid w:val="00C32744"/>
    <w:rsid w:val="00C34F0E"/>
    <w:rsid w:val="00C36D61"/>
    <w:rsid w:val="00C56CAF"/>
    <w:rsid w:val="00C87786"/>
    <w:rsid w:val="00C903C3"/>
    <w:rsid w:val="00D157E6"/>
    <w:rsid w:val="00D336E7"/>
    <w:rsid w:val="00D62B30"/>
    <w:rsid w:val="00D676EA"/>
    <w:rsid w:val="00D90F5E"/>
    <w:rsid w:val="00DB175E"/>
    <w:rsid w:val="00DD25DD"/>
    <w:rsid w:val="00DD6DF2"/>
    <w:rsid w:val="00DE02A3"/>
    <w:rsid w:val="00E05934"/>
    <w:rsid w:val="00E07AB3"/>
    <w:rsid w:val="00E13D13"/>
    <w:rsid w:val="00E32AA0"/>
    <w:rsid w:val="00E34842"/>
    <w:rsid w:val="00E649DB"/>
    <w:rsid w:val="00EE361A"/>
    <w:rsid w:val="00F10AF3"/>
    <w:rsid w:val="00F15862"/>
    <w:rsid w:val="00F84C02"/>
    <w:rsid w:val="00F938E7"/>
    <w:rsid w:val="00FB2229"/>
    <w:rsid w:val="00FB28D6"/>
    <w:rsid w:val="00FC3B2E"/>
    <w:rsid w:val="00FD4F7B"/>
    <w:rsid w:val="00FD7421"/>
    <w:rsid w:val="00FD744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C3A5B"/>
  <w15:docId w15:val="{5AC72041-3E71-4C00-AAA2-209949BD1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19</TotalTime>
  <Pages>7</Pages>
  <Words>1581</Words>
  <Characters>9017</Characters>
  <Application>Microsoft Office Word</Application>
  <DocSecurity>0</DocSecurity>
  <Lines>75</Lines>
  <Paragraphs>21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69</cp:revision>
  <dcterms:created xsi:type="dcterms:W3CDTF">2026-03-17T15:07:00Z</dcterms:created>
  <dcterms:modified xsi:type="dcterms:W3CDTF">2026-03-17T15:26:00Z</dcterms:modified>
</cp:coreProperties>
</file>