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44FE" w14:textId="5FD133A7" w:rsidR="00FE5984" w:rsidRDefault="0028009E" w:rsidP="00471539">
      <w:pPr>
        <w:pStyle w:val="a"/>
        <w:bidi w:val="0"/>
        <w:rPr>
          <w:rtl/>
          <w:lang w:val="en-GB"/>
        </w:rPr>
      </w:pPr>
      <w:r>
        <w:rPr>
          <w:rFonts w:hint="cs"/>
          <w:rtl/>
          <w:lang w:val="en-GB"/>
        </w:rPr>
        <w:t>דוד שלזינגר</w:t>
      </w:r>
    </w:p>
    <w:p w14:paraId="5720DD50" w14:textId="3B6641EA" w:rsidR="0028009E" w:rsidRPr="00B86B7B" w:rsidRDefault="00653828" w:rsidP="0028009E">
      <w:pPr>
        <w:pStyle w:val="Title"/>
        <w:bidi w:val="0"/>
        <w:rPr>
          <w:b/>
          <w:bCs w:val="0"/>
          <w:lang w:val="en-GB"/>
        </w:rPr>
      </w:pPr>
      <w:r w:rsidRPr="00B86B7B">
        <w:rPr>
          <w:rFonts w:hint="cs"/>
          <w:b/>
          <w:bCs w:val="0"/>
          <w:rtl/>
          <w:lang w:val="en-GB"/>
        </w:rPr>
        <w:t>גדול כבוד הבריות</w:t>
      </w:r>
    </w:p>
    <w:p w14:paraId="2642CD10" w14:textId="00B02B65" w:rsidR="0028009E" w:rsidRPr="0028009E" w:rsidRDefault="0028009E" w:rsidP="0028009E">
      <w:pPr>
        <w:pStyle w:val="Subtitle"/>
        <w:rPr>
          <w:lang w:val="en-IL"/>
        </w:rPr>
      </w:pPr>
      <w:r w:rsidRPr="0028009E">
        <w:rPr>
          <w:rtl/>
          <w:lang w:val="en-GB"/>
        </w:rPr>
        <w:t>חקירת המושג</w:t>
      </w:r>
      <w:r>
        <w:rPr>
          <w:rFonts w:hint="cs"/>
          <w:rtl/>
          <w:lang w:val="en-IL"/>
        </w:rPr>
        <w:t xml:space="preserve"> </w:t>
      </w:r>
      <w:r w:rsidRPr="0028009E">
        <w:rPr>
          <w:rtl/>
          <w:lang w:val="en-GB"/>
        </w:rPr>
        <w:t>כבוד הבריות</w:t>
      </w:r>
    </w:p>
    <w:p w14:paraId="22C12B34" w14:textId="6DE82104" w:rsidR="002104E7" w:rsidRDefault="006A2E2B" w:rsidP="002104E7">
      <w:pPr>
        <w:spacing w:before="240"/>
        <w:ind w:firstLine="0"/>
        <w:rPr>
          <w:rtl/>
          <w:lang w:val="en-GB"/>
        </w:rPr>
      </w:pPr>
      <w:r w:rsidRPr="006A2E2B">
        <w:rPr>
          <w:rtl/>
          <w:lang w:val="en-GB"/>
        </w:rPr>
        <w:t xml:space="preserve">המאמר הזה נכתב בהשראת הספר </w:t>
      </w:r>
      <w:r w:rsidRPr="006A2E2B">
        <w:t>"</w:t>
      </w:r>
      <w:r w:rsidRPr="006A2E2B">
        <w:rPr>
          <w:rtl/>
          <w:lang w:val="en-GB"/>
        </w:rPr>
        <w:t>דרכה של הלכה</w:t>
      </w:r>
      <w:r w:rsidRPr="006A2E2B">
        <w:t xml:space="preserve">" </w:t>
      </w:r>
      <w:r w:rsidRPr="006A2E2B">
        <w:rPr>
          <w:rtl/>
          <w:lang w:val="en-GB"/>
        </w:rPr>
        <w:t>מאת הרב דניאל שפרבר, הדן בנושאים הלכתיים סביב שיתוף נשים בתפילה ובכלל מדבר על עקרונות בהלכה הקשורים לשינוים תרבותיים-תפיסתיים וההשלכות שיכולות להיות להם על פסיקה מודרנית. הספר מתמקד בעיקר בסוגיית קריאת נשים בתורה, והשימוש במושג כבוד הבריות נעשה בעיקר בתוך הפריזמה הזו. בנוסף, הספר כתוב בפורמט של עיון הלכתי קלאסי</w:t>
      </w:r>
      <w:r w:rsidR="00A44CFA">
        <w:rPr>
          <w:rFonts w:hint="cs"/>
          <w:rtl/>
          <w:lang w:val="en-GB"/>
        </w:rPr>
        <w:t xml:space="preserve"> - </w:t>
      </w:r>
      <w:r w:rsidRPr="006A2E2B">
        <w:rPr>
          <w:rtl/>
          <w:lang w:val="en-GB"/>
        </w:rPr>
        <w:t>תפיסה סינכרונית של מקורות והבאת המושגים הנידונים בצורת מכלול, בלי להבדיל בין התקופות השונות או לנסות להגדיר את התפתחות המושג, והתוצאה היא שמסקנת הספר נשענת בעיקר על דברי ראשונים ואחרונים. המאמר ינסה להגדיר את המושג עצמו בלי קשר ישיר לעניין הלכתי ספציפי ולהבין אותו אך ורק על פי הסוגיות בגמרא, ודווקא יתמקד במקורות קדומים יותר</w:t>
      </w:r>
      <w:r w:rsidR="00F95DE6">
        <w:rPr>
          <w:rFonts w:hint="cs"/>
          <w:rtl/>
        </w:rPr>
        <w:t xml:space="preserve"> - </w:t>
      </w:r>
      <w:r w:rsidRPr="006A2E2B">
        <w:rPr>
          <w:rtl/>
          <w:lang w:val="en-GB"/>
        </w:rPr>
        <w:t>בעיקר מתקופת המשנה והגמרא, במטרה לתת זווית יותר מחקרית של כוונת הגמרא בביטוי זה</w:t>
      </w:r>
      <w:r w:rsidRPr="006A2E2B">
        <w:t xml:space="preserve">, </w:t>
      </w:r>
      <w:r w:rsidRPr="006A2E2B">
        <w:rPr>
          <w:rtl/>
          <w:lang w:val="en-GB"/>
        </w:rPr>
        <w:t>עם האופציה שהעיון יביא למסקנות שונות מדברי הפוסקים של אלף השנים האחרונות</w:t>
      </w:r>
      <w:r w:rsidRPr="006A2E2B">
        <w:t>.</w:t>
      </w:r>
    </w:p>
    <w:p w14:paraId="1853D7D6" w14:textId="77777777" w:rsidR="002104E7" w:rsidRPr="002104E7" w:rsidRDefault="002104E7" w:rsidP="002104E7">
      <w:pPr>
        <w:pStyle w:val="Heading1"/>
        <w:rPr>
          <w:lang w:val="en-IL"/>
        </w:rPr>
      </w:pPr>
      <w:r w:rsidRPr="002104E7">
        <w:rPr>
          <w:rtl/>
          <w:lang w:val="en-GB"/>
        </w:rPr>
        <w:t>כבוד הבריות</w:t>
      </w:r>
    </w:p>
    <w:p w14:paraId="6747131A" w14:textId="2A09B0B7" w:rsidR="00C125C5" w:rsidRPr="00C125C5" w:rsidRDefault="00C125C5" w:rsidP="00C95E71">
      <w:pPr>
        <w:ind w:firstLine="0"/>
        <w:rPr>
          <w:lang w:val="en-IL"/>
        </w:rPr>
      </w:pPr>
      <w:r w:rsidRPr="00C125C5">
        <w:rPr>
          <w:rtl/>
          <w:lang w:val="en-GB"/>
        </w:rPr>
        <w:t>כבוד הבריות הוא בעיניי מושג המעורר הרבה שאלות ותהיות. הוא מופיע בש"ס תשע פעמים בהקשרים שונים: פעמיים במקורות תנאיים בגמרא בהקשרים כלליים, ובשאר המקרים מופיע המשפט העלום "גדול כבוד הבריות שדוחה לא תעשה שבתורה". כעת אציג את מגוון הסוגיות בהן הביטוי מופיע ואנסה להגדירו על פיהם.</w:t>
      </w:r>
    </w:p>
    <w:p w14:paraId="72E1AF07" w14:textId="0C90C672" w:rsidR="002104E7" w:rsidRDefault="00A3573D" w:rsidP="00A3573D">
      <w:pPr>
        <w:pStyle w:val="Heading2"/>
        <w:rPr>
          <w:rtl/>
          <w:lang w:val="en-IL"/>
        </w:rPr>
      </w:pPr>
      <w:r w:rsidRPr="00A3573D">
        <w:rPr>
          <w:rtl/>
          <w:lang w:val="en-IL"/>
        </w:rPr>
        <w:lastRenderedPageBreak/>
        <w:t>מקורות תנאיים</w:t>
      </w:r>
    </w:p>
    <w:p w14:paraId="70DF0410" w14:textId="62993086" w:rsidR="00AB4A74" w:rsidRPr="00AB4A74" w:rsidRDefault="00AB4A74" w:rsidP="00AB4A74">
      <w:pPr>
        <w:pStyle w:val="Quote"/>
        <w:rPr>
          <w:lang w:val="en-IL"/>
        </w:rPr>
      </w:pPr>
      <w:r w:rsidRPr="00AB4A74">
        <w:rPr>
          <w:rtl/>
          <w:lang w:val="en-IL"/>
        </w:rPr>
        <w:t>מַעֲשֶׂה בְּרַבִּי אֱלִיעֶזֶר וְרַבִּי יְהוֹשֻׁעַ וְרַבִּי צָדוֹק שֶׁהָיוּ מְסוּבִּין בְּבֵית הַמִּשְׁתֶּה בְּנוֹ שֶׁל רַבָּן גַּמְלִיאֵל, וְהָיָה רַבָּן גַּמְלִיאֵל עוֹמֵד וּמַשְׁקֶה עֲלֵיהֶם. נָתַן הַכּוֹס לְרַבִּי אֱלִיעֶזֶר וְלֹא נְטָלוֹ, נְתָנוֹ לְרַבִּי יְהוֹשֻׁעַ וְקִיבְּלוֹ. אָמַר לוֹ רַבִּי אֱלִיעֶזֶר: מָה זֶה יְהוֹשֻׁעַ? אָנוּ יוֹשְׁבִין וְרַבָּן גַּמְלִיאֵל בְּרִיבִּי עוֹמֵד וּמַשְׁקֶה עָלֵינוּ?! אֲמַר לֵיהּ: מָצִינוּ גָּדוֹל מִמֶּנּוּ שֶׁשִּׁמֵּשׁ, אַבְרָהָם גָּדוֹל מִמֶּנּוּ – וְשִׁמֵּשׁ. אַבְרָהָם גְּדוֹל הַדּוֹר הָיָה, וְכָתוּב בּוֹ: ״וְהוּא עָמַד עֲלֵיהֶם״. וְשֶׁמָּא תֹּאמְרוּ: כְּמַלְאֲכֵי הַשָּׁרֵת נִדְמוּ לוֹ – לֹא נִדְמוּ לוֹ אֶלָּא לְעַרְבִיִּים. וְאָנוּ, לֹא יְהֵא רַבָּן גַּמְלִיאֵל בְּרִיבִּי עוֹמֵד וּמַשְׁקֶה עָלֵינוּ?! אָמַר לָהֶם רַבִּי צָדוֹק: עַד מָתַי אַתֶּם מַנִּיחִים כְּבוֹדוֹ שֶׁל מָקוֹם וְאַתֶּם עוֹסְקִים בִּכְבוֹד הַבְּרִיּוֹת? הַקָּדוֹשׁ בָּרוּךְ הוּא מֵשִׁיב רוּחוֹת, וּמַעֲלֶה נְשִׂיאִים, וּמוֹרִיד מָטָר, וּמַצְמִיחַ אֲדָמָה, וְעוֹרֵךְ שׁוּלְחָן לִפְנֵי כׇּל אֶחָד וְאֶחָד, וְאָנוּ לֹא יְהֵא רַבָּן גַּמְלִיאֵל בְּרִיבִּי עוֹמֵד וּמַשְׁקֶה עָלֵינוּ?</w:t>
      </w:r>
      <w:r w:rsidR="00F83FB9">
        <w:rPr>
          <w:rStyle w:val="FootnoteReference"/>
          <w:rtl/>
          <w:lang w:val="en-IL"/>
        </w:rPr>
        <w:footnoteReference w:id="1"/>
      </w:r>
    </w:p>
    <w:p w14:paraId="69D0CE64" w14:textId="1FB59882" w:rsidR="00045D14" w:rsidRPr="00045D14" w:rsidRDefault="00045D14" w:rsidP="00045D14">
      <w:pPr>
        <w:ind w:firstLine="0"/>
        <w:rPr>
          <w:lang w:val="en-IL"/>
        </w:rPr>
      </w:pPr>
      <w:r w:rsidRPr="00045D14">
        <w:rPr>
          <w:rtl/>
          <w:lang w:val="en-IL"/>
        </w:rPr>
        <w:t>אגדה זו מופיעה לאחר דיון על יכולתם של בעלי סמכות למחול על כבודם. רב אשי טוען שרב יכול ונשיא לא: רבן גמליאל אירח את ר' אליעזר, ר' יהושע ור' צדוק, וכשבא להגיש להם משקה, ר' צדוק ור' יהושע התכבדו ור' אליעזר לא. ר' אליעזר שואל למה הסכימו לרבם למזוג להם, ואלו ענו שאברהם שימש את המלאכים בבואם לספר לאשתו על יצחק, שבשעתו נראו לאברהם שהיה גדול הדור כערביים פשוטים. ר' צדוק הצטרף ואמר: כבוד הבריות</w:t>
      </w:r>
      <w:r w:rsidR="003624B8">
        <w:rPr>
          <w:rtl/>
          <w:lang w:val="en-IL"/>
        </w:rPr>
        <w:t xml:space="preserve"> (</w:t>
      </w:r>
      <w:r w:rsidRPr="00045D14">
        <w:rPr>
          <w:rtl/>
          <w:lang w:val="en-IL"/>
        </w:rPr>
        <w:t xml:space="preserve">בהקשר הזה כבודו של אדם גדול ממך) לא רלוונטי פה, משום שהקב"ה משמש את כולנו במזון וחיים למרות גדולתו. הגמרא מתרצת: רב אשי אמר על מלך שלא יכול למחול על כבודו ולא על נשיא, וזה נלמד </w:t>
      </w:r>
      <w:proofErr w:type="spellStart"/>
      <w:r w:rsidRPr="00045D14">
        <w:rPr>
          <w:rtl/>
          <w:lang w:val="en-IL"/>
        </w:rPr>
        <w:t>מ״שׂוֹם</w:t>
      </w:r>
      <w:proofErr w:type="spellEnd"/>
      <w:r w:rsidRPr="00045D14">
        <w:rPr>
          <w:rtl/>
          <w:lang w:val="en-IL"/>
        </w:rPr>
        <w:t xml:space="preserve"> תָּשִׂים עָלֶיךָ מֶלֶךְ". הברייתא הזו</w:t>
      </w:r>
      <w:r w:rsidR="003624B8">
        <w:rPr>
          <w:rtl/>
          <w:lang w:val="en-IL"/>
        </w:rPr>
        <w:t xml:space="preserve"> (</w:t>
      </w:r>
      <w:r w:rsidRPr="00045D14">
        <w:rPr>
          <w:rtl/>
          <w:lang w:val="en-IL"/>
        </w:rPr>
        <w:t>ושתי המקורות שנביא אחריה) מוכיחה לנו שכבוד הבריות היה קיים במשנה, ושזו מפרשת את המושג בכלליות – הכבוד ששייך לברואים בעולם הזה. להגדרה זו חשיבות גדולה בהבנתנו את העמדה של הגמרא בקשר לכבוד הבריות, כפי שנראה לאחר 2 המקורות הבאים:</w:t>
      </w:r>
    </w:p>
    <w:p w14:paraId="0A8AC0A0" w14:textId="2AE09996" w:rsidR="00045D14" w:rsidRPr="00045D14" w:rsidRDefault="00045D14" w:rsidP="00045D14">
      <w:pPr>
        <w:pStyle w:val="Quote"/>
        <w:rPr>
          <w:rtl/>
          <w:lang w:val="en-IL"/>
        </w:rPr>
      </w:pPr>
      <w:r w:rsidRPr="00045D14">
        <w:rPr>
          <w:rtl/>
          <w:lang w:val="en-IL"/>
        </w:rPr>
        <w:t xml:space="preserve">אָמַר רַבִּי מֵאִיר: בֹּא וּרְאֵה כַּמָּה גָּדוֹל כֹּחַ שֶׁל מְלָאכָה: שׁוֹר, שֶׁבִּיטְּלוֹ מִמְּלַאכְתּוֹ – חֲמִשָּׁה; שֶׂה, שֶׁלֹּא בִּיטְּלוֹ מִמְּלַאכְתּוֹ – אַרְבָּעָה. אָמַר רַבָּן יוֹחָנָן בֶּן זַכַּאי, בֹּא וּרְאֵה כַּמָּה גָּדוֹל כְּבוֹד הַבְּרִיּוֹת: שׁוֹר, שֶׁהָלַךְ בְּרַגְלָיו – חֲמִשָּׁה; שֶׂה, שֶׁהִרְכִּיבוֹ עַל </w:t>
      </w:r>
      <w:r w:rsidRPr="00045D14">
        <w:rPr>
          <w:rtl/>
          <w:lang w:val="en-IL"/>
        </w:rPr>
        <w:lastRenderedPageBreak/>
        <w:t>כְּתֵיפוֹ – אַרְבָּעָה.</w:t>
      </w:r>
      <w:r w:rsidR="001114D3">
        <w:rPr>
          <w:rStyle w:val="FootnoteReference"/>
          <w:rtl/>
          <w:lang w:val="en-IL"/>
        </w:rPr>
        <w:footnoteReference w:id="2"/>
      </w:r>
    </w:p>
    <w:p w14:paraId="61FD65C9" w14:textId="65D6FC28" w:rsidR="00045D14" w:rsidRPr="00045D14" w:rsidRDefault="00045D14" w:rsidP="00486D47">
      <w:pPr>
        <w:ind w:firstLine="0"/>
        <w:rPr>
          <w:lang w:val="en-IL"/>
        </w:rPr>
      </w:pPr>
      <w:r w:rsidRPr="00045D14">
        <w:rPr>
          <w:rtl/>
          <w:lang w:val="en-IL"/>
        </w:rPr>
        <w:t>הגמרא דנה בעדיפות של גזל ע"פ גניבה, ואז ר' מאיר ו</w:t>
      </w:r>
      <w:r w:rsidR="009C3106">
        <w:rPr>
          <w:rtl/>
          <w:lang w:val="en-IL"/>
        </w:rPr>
        <w:t>רבן יוחנן בן זכאי</w:t>
      </w:r>
      <w:r w:rsidRPr="00045D14">
        <w:rPr>
          <w:rtl/>
          <w:lang w:val="en-IL"/>
        </w:rPr>
        <w:t xml:space="preserve"> מביאים </w:t>
      </w:r>
      <w:r w:rsidR="00BB0069">
        <w:rPr>
          <w:rFonts w:hint="cs"/>
          <w:rtl/>
          <w:lang w:val="en-IL"/>
        </w:rPr>
        <w:t>שני</w:t>
      </w:r>
      <w:r w:rsidRPr="00045D14">
        <w:rPr>
          <w:rtl/>
          <w:lang w:val="en-IL"/>
        </w:rPr>
        <w:t xml:space="preserve"> דרושים בעניין תשלומים על גניבת שור לעומת גניבת שה – מדאורייתא נתון לנו שעל גניבת שור משלם פי חמישה ממחירו ועל גניבת שה משלם פי ארבעה. ר' מאיר תולה את זה במלאכה שהשור היה יכול לעשות לו לא היה נגנב ו</w:t>
      </w:r>
      <w:r w:rsidR="009C3106">
        <w:rPr>
          <w:rtl/>
          <w:lang w:val="en-IL"/>
        </w:rPr>
        <w:t>רבן יוחנן בן זכאי</w:t>
      </w:r>
      <w:r w:rsidRPr="00045D14">
        <w:rPr>
          <w:rtl/>
          <w:lang w:val="en-IL"/>
        </w:rPr>
        <w:t xml:space="preserve"> תולה זאת בכך שגנב של שה סוחב אותו ומביך את עצמו ונדרש לשלם פחות משום כבוד הבריות. אם נקשר לסוגיות בשבת ובעירובין, אותם נראה בהמשך, נראה שהמושג מתייחס לכבוד כאל הביטוי ההופכי למבוכה או להלבנת פנים. הקטע הזה שוב מראה לנו מקור תנאי</w:t>
      </w:r>
      <w:r w:rsidR="00A41FFE">
        <w:rPr>
          <w:rFonts w:hint="cs"/>
          <w:rtl/>
          <w:lang w:val="en-IL"/>
        </w:rPr>
        <w:t xml:space="preserve"> </w:t>
      </w:r>
      <w:r w:rsidR="003624B8">
        <w:rPr>
          <w:rtl/>
          <w:lang w:val="en-IL"/>
        </w:rPr>
        <w:t xml:space="preserve"> (</w:t>
      </w:r>
      <w:r w:rsidRPr="00045D14">
        <w:rPr>
          <w:rtl/>
          <w:lang w:val="en-IL"/>
        </w:rPr>
        <w:t>המופיע גם בתוספתא) שמתייחס לכבוד הבריות על פי הגדרתו המילולית, כאשר אין ממנו סיוג של ממש במטרה להגדיר אותו בפריזמה הלכתית. נראה את אותו הדבר אם נעיף מבט בספרי דברים</w:t>
      </w:r>
      <w:r w:rsidR="004940BB">
        <w:rPr>
          <w:rStyle w:val="FootnoteReference"/>
          <w:rtl/>
          <w:lang w:val="en-IL"/>
        </w:rPr>
        <w:footnoteReference w:id="3"/>
      </w:r>
      <w:r w:rsidRPr="00045D14">
        <w:rPr>
          <w:rtl/>
          <w:lang w:val="en-IL"/>
        </w:rPr>
        <w:t>:</w:t>
      </w:r>
    </w:p>
    <w:p w14:paraId="5136B7CB" w14:textId="745ACEF7" w:rsidR="00045D14" w:rsidRPr="00045D14" w:rsidRDefault="00045D14" w:rsidP="00455360">
      <w:pPr>
        <w:pStyle w:val="Quote"/>
        <w:rPr>
          <w:rtl/>
          <w:lang w:val="en-IL"/>
        </w:rPr>
      </w:pPr>
      <w:r w:rsidRPr="00045D14">
        <w:rPr>
          <w:rtl/>
          <w:lang w:val="en-IL"/>
        </w:rPr>
        <w:t>בוא וראה כמה חס המקום על כבוד הבריות מפני הירא ורך הלבב כשהוא חוזר יאמרו שמא בנה בית שמא נטע כרם שמא ארס אשה וכולם היו צריכים להביא עדותם חוץ מן הירא ורך הלבב שעדיו עמו שמע קול הגפת תריסים ונבעת קול צהלת סוסים ומרתת קול ליעוז קרנים ונבהל רואה שימוט סייפים ומים יורדים בין ברכיו.</w:t>
      </w:r>
      <w:r w:rsidR="00455360">
        <w:rPr>
          <w:rStyle w:val="FootnoteReference"/>
          <w:rtl/>
          <w:lang w:val="en-IL"/>
        </w:rPr>
        <w:footnoteReference w:id="4"/>
      </w:r>
    </w:p>
    <w:p w14:paraId="3B35D68A" w14:textId="06931AB1" w:rsidR="00045D14" w:rsidRPr="00045D14" w:rsidRDefault="00045D14" w:rsidP="00CB75AF">
      <w:pPr>
        <w:ind w:firstLine="0"/>
        <w:rPr>
          <w:rtl/>
          <w:lang w:val="en-IL"/>
        </w:rPr>
      </w:pPr>
      <w:r w:rsidRPr="00045D14">
        <w:rPr>
          <w:rtl/>
          <w:lang w:val="en-IL"/>
        </w:rPr>
        <w:t xml:space="preserve">הספרי מדגים לנו את התפקיד של כבוד הבריות בתקופת המשנה – מושג שמשמעותו היא ההיפך ממבוכה והלבנת פנים, כלומר לשמור על כבוד הבריות </w:t>
      </w:r>
      <w:r w:rsidR="00A37128">
        <w:rPr>
          <w:rFonts w:hint="cs"/>
          <w:rtl/>
          <w:lang w:val="en-IL"/>
        </w:rPr>
        <w:t>משמעו</w:t>
      </w:r>
      <w:r w:rsidRPr="00045D14">
        <w:rPr>
          <w:rtl/>
          <w:lang w:val="en-IL"/>
        </w:rPr>
        <w:t xml:space="preserve"> להימנע מהלבנת פני הבריות ולשמור על כבודם. המקורות שראינו זה עתה מציירים לנו תמונה של כבוד הבריות בתפיסתו התנאית, וכעת נעבור להגדיר את המושג בתפיסתו בגמרא המוגדרת בעיקר על פי המשפט: "גדול כבוד הבריות שדוחה לא תעשה שבתורה".</w:t>
      </w:r>
    </w:p>
    <w:p w14:paraId="3AA65875" w14:textId="77777777" w:rsidR="00164A00" w:rsidRPr="00164A00" w:rsidRDefault="00164A00" w:rsidP="00164A00">
      <w:pPr>
        <w:pStyle w:val="Heading2"/>
        <w:rPr>
          <w:lang w:val="en-IL"/>
        </w:rPr>
      </w:pPr>
      <w:r w:rsidRPr="00164A00">
        <w:rPr>
          <w:rtl/>
          <w:lang w:val="en-IL"/>
        </w:rPr>
        <w:t>מקורות בגמרא</w:t>
      </w:r>
    </w:p>
    <w:p w14:paraId="51438D9F" w14:textId="6122A5BA" w:rsidR="00B1674E" w:rsidRPr="00B1674E" w:rsidRDefault="00B1674E" w:rsidP="00B1674E">
      <w:pPr>
        <w:pStyle w:val="Quote"/>
        <w:rPr>
          <w:rFonts w:hint="cs"/>
          <w:lang w:val="en-IL"/>
        </w:rPr>
      </w:pPr>
      <w:r w:rsidRPr="00B1674E">
        <w:rPr>
          <w:rtl/>
          <w:lang w:val="en-IL"/>
        </w:rPr>
        <w:t xml:space="preserve">תָּא שְׁמַע: גָּדוֹל כְּבוֹד הַבְּרִיּוֹת שֶׁדּוֹחֶה [אֶת] לֹא תַעֲשֶׂה שֶׁבַּתּוֹרָה. וְאַמַּאי? לֵימָא </w:t>
      </w:r>
      <w:r w:rsidRPr="00B1674E">
        <w:rPr>
          <w:rtl/>
          <w:lang w:val="en-IL"/>
        </w:rPr>
        <w:lastRenderedPageBreak/>
        <w:t>״אֵין חׇכְמָה וְאֵין תְּבוּנָה וְאֵין עֵצָה לְנֶגֶד ה׳״! תַּרְגְּמַהּ רַב בַּר שְׁבָא קַמֵּיהּ דְּרַב כָּהֲנָא בְּלָאו דְּ״לֹא תָסוּר״. אֲחִיכוּ עֲלֵיהּ, לָאו דְּ״לֹא תָסוּר״ דְאוֹרָיְיתָא הִיא?! אָמַר רַב כָּהֲנָא: גַּבְרָא רַבָּה אָמַר מִילְּתָא, לָא תְּחִיכוּ עֲלֵיהּ. כׇּל מִילֵּי דְרַבָּנַן אַסְמְכִינְהוּ עַל לָאו דְּ״לֹא תָסוּר״, וּמִשּׁוּם כְּבוֹדוֹ שְׁרוֹ רַבָּנַן.</w:t>
      </w:r>
      <w:r w:rsidR="007E691D">
        <w:rPr>
          <w:rStyle w:val="FootnoteReference"/>
          <w:rtl/>
          <w:lang w:val="en-IL"/>
        </w:rPr>
        <w:footnoteReference w:id="5"/>
      </w:r>
    </w:p>
    <w:p w14:paraId="279CDF2F" w14:textId="359F65DF" w:rsidR="00B1674E" w:rsidRPr="00B1674E" w:rsidRDefault="00B1674E" w:rsidP="008B2320">
      <w:pPr>
        <w:ind w:firstLine="0"/>
        <w:rPr>
          <w:rtl/>
          <w:lang w:val="en-IL"/>
        </w:rPr>
      </w:pPr>
      <w:r w:rsidRPr="00B1674E">
        <w:rPr>
          <w:rtl/>
          <w:lang w:val="en-IL"/>
        </w:rPr>
        <w:t>בסוגייה הזו ככל הנראה</w:t>
      </w:r>
      <w:r w:rsidR="00DF0C0F">
        <w:rPr>
          <w:rStyle w:val="FootnoteReference"/>
          <w:rtl/>
          <w:lang w:val="en-IL"/>
        </w:rPr>
        <w:footnoteReference w:id="6"/>
      </w:r>
      <w:r w:rsidRPr="00B1674E">
        <w:rPr>
          <w:rtl/>
          <w:lang w:val="en-IL"/>
        </w:rPr>
        <w:t xml:space="preserve"> הובא לראשונה הפירוש המאוחר למשפט "גדול כבוד הבריות" לפיו הכוונה היא רק למצוות דרבנן, ולכן זו תהיה סוגיית היסוד שלנו בגמרא בהקשר של כבוד הבריות. בהמשך נראה שכל השימושים בביטוי נעשים על פי הרעיון שמובא כאן: הכוונה ב"לא תעשה" היא ספציפית מצוות "לא תסור" המורה על מצוות דרבנן.</w:t>
      </w:r>
    </w:p>
    <w:p w14:paraId="482AE06C" w14:textId="23891FA9" w:rsidR="00B1674E" w:rsidRPr="00B1674E" w:rsidRDefault="00B1674E" w:rsidP="008B2320">
      <w:pPr>
        <w:pStyle w:val="Quote"/>
        <w:rPr>
          <w:rtl/>
          <w:lang w:val="en-IL"/>
        </w:rPr>
      </w:pPr>
      <w:r w:rsidRPr="00B1674E">
        <w:rPr>
          <w:rtl/>
          <w:lang w:val="en-IL"/>
        </w:rPr>
        <w:t>בָּעֵי רָבָא: מִקְרָא מְגִילָּה וּמֵת מִצְוָה הֵי מִינַּיְיהוּ עֲדִיף? מִקְרָא מְגִילָּה עֲדִיף מִשּׁוּם פַּרְסוֹמֵי נִיסָּא, אוֹ דִּלְמָא מֵת מִצְוָה עֲדִיף מִשּׁוּם כְּבוֹד הַבְּרִיּוֹת? בָּתַר דְּבַעְיָא הֲדַר פַּשְׁטַהּ: מֵת מִצְוָה עֲדִיף, דְּאָמַר מָר: גָּדוֹל כְּבוֹד הַבְּרִיּוֹת שֶׁדּוֹחֶה אֶת לֹא תַעֲשֶׂה שֶׁבַּתּוֹרָה.</w:t>
      </w:r>
      <w:r w:rsidR="008B2320">
        <w:rPr>
          <w:rStyle w:val="FootnoteReference"/>
          <w:rtl/>
          <w:lang w:val="en-IL"/>
        </w:rPr>
        <w:footnoteReference w:id="7"/>
      </w:r>
    </w:p>
    <w:p w14:paraId="2FF05A9D" w14:textId="5C1C3C64" w:rsidR="00B1674E" w:rsidRPr="00B1674E" w:rsidRDefault="00C43FAF" w:rsidP="00C43FAF">
      <w:pPr>
        <w:ind w:firstLine="0"/>
        <w:rPr>
          <w:rFonts w:hint="cs"/>
          <w:rtl/>
          <w:lang w:val="en-IL"/>
        </w:rPr>
      </w:pPr>
      <w:r>
        <w:rPr>
          <w:rFonts w:hint="cs"/>
          <w:rtl/>
          <w:lang w:val="en-IL"/>
        </w:rPr>
        <w:t xml:space="preserve">לפי </w:t>
      </w:r>
      <w:r w:rsidR="00B1674E" w:rsidRPr="00B1674E">
        <w:rPr>
          <w:rtl/>
          <w:lang w:val="en-IL"/>
        </w:rPr>
        <w:t>רש"י המשפט הזה מבטא גם את דרשת "פעמים שאתה מתעלם" שמופיעה בבבלי ברכות אחרי הקטע שהבאנו.</w:t>
      </w:r>
    </w:p>
    <w:p w14:paraId="32D10889" w14:textId="0673612F" w:rsidR="00B1674E" w:rsidRPr="00B1674E" w:rsidRDefault="004E0960" w:rsidP="00C5619B">
      <w:pPr>
        <w:rPr>
          <w:rtl/>
          <w:lang w:val="en-IL"/>
        </w:rPr>
      </w:pPr>
      <w:r w:rsidRPr="00B1674E">
        <w:rPr>
          <w:rFonts w:hint="cs"/>
          <w:rtl/>
          <w:lang w:val="en-IL"/>
        </w:rPr>
        <w:t>הסוגיה</w:t>
      </w:r>
      <w:r w:rsidR="00B1674E" w:rsidRPr="00B1674E">
        <w:rPr>
          <w:rtl/>
          <w:lang w:val="en-IL"/>
        </w:rPr>
        <w:t xml:space="preserve"> מדברת על כבוד המת ועורכת השוואה בין מגילה לבין כבוד המת. רבא שואל: מה קודם – הזמן של קריאת מגילה שהוא דרבנן שדוחה עבודת המקדש או הזמן של קבורת המת? נשאלת השאלה למה רבא מדבר פה על דין דאורייתא של קבורה ומדבר עליו בהקשר של "כבוד הבריות". אנחנו עונים – רבא מפריד בין המצווה עצמה לזמן ולמעמד שלה, שהוא דרבנן וממילא במעמד נמוך יותר. לכן הוא אומר – אפילו שזה מגילה שיש עליה מצווה ברוב עם הדרת מלך ושלכתחילה צריכה מניין, הזמן והמעמד של קבורת המת גוברים משום כבוד הבריות שהוא בעקיפין גם כבוד המת בהקשר לסוגייתנו.</w:t>
      </w:r>
    </w:p>
    <w:p w14:paraId="18413EE6" w14:textId="3757C588" w:rsidR="00B1674E" w:rsidRPr="00B1674E" w:rsidRDefault="00B1674E" w:rsidP="00C5619B">
      <w:pPr>
        <w:pStyle w:val="Quote"/>
        <w:rPr>
          <w:rtl/>
          <w:lang w:val="en-IL"/>
        </w:rPr>
      </w:pPr>
      <w:r w:rsidRPr="00B1674E">
        <w:rPr>
          <w:rtl/>
          <w:lang w:val="en-IL"/>
        </w:rPr>
        <w:t xml:space="preserve">הָהוּא שָׁכְבָא דַּהֲוָה בִּדְרוֹקֶרֶת, שְׁרָא רַב נַחְמָן בַּר יִצְחָק לְאַפּוֹקֵיהּ לְכַרְמְלִית. אֲמַר לֵיהּ רַבִּי יוֹחָנָן אֲחוּהּ </w:t>
      </w:r>
      <w:proofErr w:type="spellStart"/>
      <w:r w:rsidRPr="00B1674E">
        <w:rPr>
          <w:rtl/>
          <w:lang w:val="en-IL"/>
        </w:rPr>
        <w:t>דְּמָר</w:t>
      </w:r>
      <w:proofErr w:type="spellEnd"/>
      <w:r w:rsidRPr="00B1674E">
        <w:rPr>
          <w:rtl/>
          <w:lang w:val="en-IL"/>
        </w:rPr>
        <w:t xml:space="preserve"> בְּרֵיהּ </w:t>
      </w:r>
      <w:proofErr w:type="spellStart"/>
      <w:r w:rsidRPr="00B1674E">
        <w:rPr>
          <w:rtl/>
          <w:lang w:val="en-IL"/>
        </w:rPr>
        <w:t>דְּרַבְנָא</w:t>
      </w:r>
      <w:proofErr w:type="spellEnd"/>
      <w:r w:rsidRPr="00B1674E">
        <w:rPr>
          <w:rtl/>
          <w:lang w:val="en-IL"/>
        </w:rPr>
        <w:t xml:space="preserve"> לָרַב נַחְמָן בַּר יִצְחָק: כְּמַאן, כְּרַבִּי שִׁמְעוֹן? </w:t>
      </w:r>
      <w:proofErr w:type="spellStart"/>
      <w:r w:rsidRPr="00B1674E">
        <w:rPr>
          <w:rtl/>
          <w:lang w:val="en-IL"/>
        </w:rPr>
        <w:lastRenderedPageBreak/>
        <w:t>אֵימַר</w:t>
      </w:r>
      <w:proofErr w:type="spellEnd"/>
      <w:r w:rsidRPr="00B1674E">
        <w:rPr>
          <w:rtl/>
          <w:lang w:val="en-IL"/>
        </w:rPr>
        <w:t xml:space="preserve"> </w:t>
      </w:r>
      <w:proofErr w:type="spellStart"/>
      <w:r w:rsidRPr="00B1674E">
        <w:rPr>
          <w:rtl/>
          <w:lang w:val="en-IL"/>
        </w:rPr>
        <w:t>דְּפָטַר</w:t>
      </w:r>
      <w:proofErr w:type="spellEnd"/>
      <w:r w:rsidRPr="00B1674E">
        <w:rPr>
          <w:rtl/>
          <w:lang w:val="en-IL"/>
        </w:rPr>
        <w:t xml:space="preserve"> רַבִּי שִׁמְעוֹן מֵחִיּוּב חַטָּאת, </w:t>
      </w:r>
      <w:proofErr w:type="spellStart"/>
      <w:r w:rsidRPr="00B1674E">
        <w:rPr>
          <w:rtl/>
          <w:lang w:val="en-IL"/>
        </w:rPr>
        <w:t>אִיסּוּרָא</w:t>
      </w:r>
      <w:proofErr w:type="spellEnd"/>
      <w:r w:rsidRPr="00B1674E">
        <w:rPr>
          <w:rtl/>
          <w:lang w:val="en-IL"/>
        </w:rPr>
        <w:t xml:space="preserve"> דְרַבָּנַן </w:t>
      </w:r>
      <w:proofErr w:type="spellStart"/>
      <w:r w:rsidRPr="00B1674E">
        <w:rPr>
          <w:rtl/>
          <w:lang w:val="en-IL"/>
        </w:rPr>
        <w:t>מִיהָא</w:t>
      </w:r>
      <w:proofErr w:type="spellEnd"/>
      <w:r w:rsidRPr="00B1674E">
        <w:rPr>
          <w:rtl/>
          <w:lang w:val="en-IL"/>
        </w:rPr>
        <w:t xml:space="preserve"> אִיכָּא! אֲמַר לֵיהּ: </w:t>
      </w:r>
      <w:proofErr w:type="spellStart"/>
      <w:r w:rsidRPr="00B1674E">
        <w:rPr>
          <w:rtl/>
          <w:lang w:val="en-IL"/>
        </w:rPr>
        <w:t>הָאֱלֹהִים</w:t>
      </w:r>
      <w:proofErr w:type="spellEnd"/>
      <w:r w:rsidRPr="00B1674E">
        <w:rPr>
          <w:rtl/>
          <w:lang w:val="en-IL"/>
        </w:rPr>
        <w:t xml:space="preserve">, </w:t>
      </w:r>
      <w:proofErr w:type="spellStart"/>
      <w:r w:rsidRPr="00B1674E">
        <w:rPr>
          <w:rtl/>
          <w:lang w:val="en-IL"/>
        </w:rPr>
        <w:t>דְּעָיְילַת</w:t>
      </w:r>
      <w:proofErr w:type="spellEnd"/>
      <w:r w:rsidRPr="00B1674E">
        <w:rPr>
          <w:rtl/>
          <w:lang w:val="en-IL"/>
        </w:rPr>
        <w:t xml:space="preserve">ְּ בֵּיהּ אַתְּ? וַאֲפִילּוּ לְרַבִּי יְהוּדָה שְׁרֵי, דְּמִי </w:t>
      </w:r>
      <w:proofErr w:type="spellStart"/>
      <w:r w:rsidRPr="00B1674E">
        <w:rPr>
          <w:rtl/>
          <w:lang w:val="en-IL"/>
        </w:rPr>
        <w:t>קָאָמֵינָא</w:t>
      </w:r>
      <w:proofErr w:type="spellEnd"/>
      <w:r w:rsidRPr="00B1674E">
        <w:rPr>
          <w:rtl/>
          <w:lang w:val="en-IL"/>
        </w:rPr>
        <w:t xml:space="preserve"> לִרְשׁוּת הָרַבִּים? לְכַרְמְלִית </w:t>
      </w:r>
      <w:proofErr w:type="spellStart"/>
      <w:r w:rsidRPr="00B1674E">
        <w:rPr>
          <w:rtl/>
          <w:lang w:val="en-IL"/>
        </w:rPr>
        <w:t>קָאָמֵינָא</w:t>
      </w:r>
      <w:proofErr w:type="spellEnd"/>
      <w:r w:rsidRPr="00B1674E">
        <w:rPr>
          <w:rtl/>
          <w:lang w:val="en-IL"/>
        </w:rPr>
        <w:t>, גָּדוֹל כְּבוֹד הַבְּרִיּוֹת שֶׁדּוֹחֶה אֶת ״לֹא תַעֲשֶׂה״ שֶׁבַּתּוֹרָה.</w:t>
      </w:r>
      <w:r w:rsidR="00C5619B">
        <w:rPr>
          <w:rStyle w:val="FootnoteReference"/>
          <w:rtl/>
          <w:lang w:val="en-IL"/>
        </w:rPr>
        <w:footnoteReference w:id="8"/>
      </w:r>
    </w:p>
    <w:p w14:paraId="727E5DFE" w14:textId="155FCA23" w:rsidR="00B1674E" w:rsidRPr="00B1674E" w:rsidRDefault="00B1674E" w:rsidP="00793AB1">
      <w:pPr>
        <w:ind w:firstLine="0"/>
        <w:rPr>
          <w:rtl/>
          <w:lang w:val="en-IL"/>
        </w:rPr>
      </w:pPr>
      <w:r w:rsidRPr="00B1674E">
        <w:rPr>
          <w:rtl/>
          <w:lang w:val="en-IL"/>
        </w:rPr>
        <w:t xml:space="preserve">הגמרא מביאה </w:t>
      </w:r>
      <w:r w:rsidR="0033002D" w:rsidRPr="00B1674E">
        <w:rPr>
          <w:rFonts w:hint="cs"/>
          <w:rtl/>
          <w:lang w:val="en-IL"/>
        </w:rPr>
        <w:t>אגדתה</w:t>
      </w:r>
      <w:r w:rsidRPr="00B1674E">
        <w:rPr>
          <w:rtl/>
          <w:lang w:val="en-IL"/>
        </w:rPr>
        <w:t>: הייתה גופה ברחוב בעיר דרוקרת שבבבל ורב נחמן התיר להעבירה לכרמלית בשבת. רבי יוחנן שאלו – כאיזה תנא אתה פוסק, שמותר לך להעביר גופה מרשות לרשות? אם אתה פוסק כרבי שמעון, שמקל לעומת ר' יהודה, תזכור שהוא פוטר רק מחיוב חטאת אך עדיין אוסר מדין דרבנן. עונה לו רב נחמן – האם עיינת בכלל במשנה זו? אפילו ר' יהודה, שמחמיר ומחייב בחטאת, היה מתיר במקרה זה – משום שההזזה היא לכרמלית וכרמלית היא סייג שעשו חכמים, וכבוד הבריות יכול לגבור על דברי חכמים. זהו סיפור המדגים כיצד כבוד הבריות שאפשר שוב להחליפו בכבוד המת גובר על איסורי דרבנן כמו כרמלית, ובנוסף רומז לנו שמקור המשפט גדול כבוד הבריות הוא כנראה תנאי או לפחות מקבל יחס דומה למקור תנאי מהגמרא.</w:t>
      </w:r>
    </w:p>
    <w:p w14:paraId="1FE6DD5E" w14:textId="4151E0E4" w:rsidR="00B1674E" w:rsidRPr="00B1674E" w:rsidRDefault="00B1674E" w:rsidP="00793AB1">
      <w:pPr>
        <w:pStyle w:val="Quote"/>
        <w:rPr>
          <w:rtl/>
          <w:lang w:val="en-IL"/>
        </w:rPr>
      </w:pPr>
      <w:r w:rsidRPr="00B1674E">
        <w:rPr>
          <w:rtl/>
          <w:lang w:val="en-IL"/>
        </w:rPr>
        <w:t xml:space="preserve">אֲמַר לֵיהּ </w:t>
      </w:r>
      <w:proofErr w:type="spellStart"/>
      <w:r w:rsidRPr="00B1674E">
        <w:rPr>
          <w:rtl/>
          <w:lang w:val="en-IL"/>
        </w:rPr>
        <w:t>אַבָּיֵי</w:t>
      </w:r>
      <w:proofErr w:type="spellEnd"/>
      <w:r w:rsidRPr="00B1674E">
        <w:rPr>
          <w:rtl/>
          <w:lang w:val="en-IL"/>
        </w:rPr>
        <w:t xml:space="preserve"> לְרַב יוֹסֵף: יָרְדוּ עָלֶיהָ גְּשָׁמִים </w:t>
      </w:r>
      <w:proofErr w:type="spellStart"/>
      <w:r w:rsidRPr="00B1674E">
        <w:rPr>
          <w:rtl/>
          <w:lang w:val="en-IL"/>
        </w:rPr>
        <w:t>וְנִטַּשְׁטְשׁו</w:t>
      </w:r>
      <w:proofErr w:type="spellEnd"/>
      <w:r w:rsidRPr="00B1674E">
        <w:rPr>
          <w:rtl/>
          <w:lang w:val="en-IL"/>
        </w:rPr>
        <w:t xml:space="preserve">ּ מַהוּ? אֲמַר לֵיהּ: אִם הָיָה רִישּׁוּמָן נִיכָּר — מוּתָּר. </w:t>
      </w:r>
      <w:proofErr w:type="spellStart"/>
      <w:r w:rsidRPr="00B1674E">
        <w:rPr>
          <w:rtl/>
          <w:lang w:val="en-IL"/>
        </w:rPr>
        <w:t>בְּעָא</w:t>
      </w:r>
      <w:proofErr w:type="spellEnd"/>
      <w:r w:rsidRPr="00B1674E">
        <w:rPr>
          <w:rtl/>
          <w:lang w:val="en-IL"/>
        </w:rPr>
        <w:t xml:space="preserve"> מִינֵּיהּ רַבָּהּ בַּר רַב </w:t>
      </w:r>
      <w:proofErr w:type="spellStart"/>
      <w:r w:rsidRPr="00B1674E">
        <w:rPr>
          <w:rtl/>
          <w:lang w:val="en-IL"/>
        </w:rPr>
        <w:t>שֵׁילָא</w:t>
      </w:r>
      <w:proofErr w:type="spellEnd"/>
      <w:r w:rsidRPr="00B1674E">
        <w:rPr>
          <w:rtl/>
          <w:lang w:val="en-IL"/>
        </w:rPr>
        <w:t xml:space="preserve"> מֵרַב </w:t>
      </w:r>
      <w:proofErr w:type="spellStart"/>
      <w:r w:rsidRPr="00B1674E">
        <w:rPr>
          <w:rtl/>
          <w:lang w:val="en-IL"/>
        </w:rPr>
        <w:t>חִסְדָּא</w:t>
      </w:r>
      <w:proofErr w:type="spellEnd"/>
      <w:r w:rsidRPr="00B1674E">
        <w:rPr>
          <w:rtl/>
          <w:lang w:val="en-IL"/>
        </w:rPr>
        <w:t>: מַהוּ לְהַעֲלוֹתָם אַחֲרָיו לַגַּג? אֲמַר לֵיהּ: גָּדוֹל כְּבוֹד הַבְּרִיּוֹת שֶׁדּוֹחֶה אֶת ״לֹא תַעֲשֶׂה״ שֶׁבַּתּוֹרָה.</w:t>
      </w:r>
      <w:r w:rsidR="00793AB1">
        <w:rPr>
          <w:rStyle w:val="FootnoteReference"/>
          <w:rtl/>
          <w:lang w:val="en-IL"/>
        </w:rPr>
        <w:footnoteReference w:id="9"/>
      </w:r>
    </w:p>
    <w:p w14:paraId="76C72AC0" w14:textId="70C9CBF0" w:rsidR="00B1674E" w:rsidRPr="00B1674E" w:rsidRDefault="00B1674E" w:rsidP="00870E57">
      <w:pPr>
        <w:ind w:firstLine="0"/>
        <w:rPr>
          <w:lang w:val="en-IL"/>
        </w:rPr>
      </w:pPr>
      <w:r w:rsidRPr="00B1674E">
        <w:rPr>
          <w:rtl/>
          <w:lang w:val="en-IL"/>
        </w:rPr>
        <w:t>כאן הגמרא דנה בדין מוקצה בהקשר של התניית אבן לשימוש בשירותים, ושואלת האם מותר לקחת לגג אבן שירד עליה גשם כך שהייעוד שלה פחות ניכר. התשובה – כבוד הבריות דוחה לא תעשה שבתורה</w:t>
      </w:r>
      <w:r w:rsidR="003624B8">
        <w:rPr>
          <w:rtl/>
          <w:lang w:val="en-IL"/>
        </w:rPr>
        <w:t xml:space="preserve"> (</w:t>
      </w:r>
      <w:r w:rsidRPr="00B1674E">
        <w:rPr>
          <w:rtl/>
          <w:lang w:val="en-IL"/>
        </w:rPr>
        <w:t xml:space="preserve">כלומר מוקצה במקרה הזה). בסוגייה לעיל בעירובין נראה שיש קשר </w:t>
      </w:r>
      <w:r w:rsidR="0033002D" w:rsidRPr="00B1674E">
        <w:rPr>
          <w:rFonts w:hint="cs"/>
          <w:rtl/>
          <w:lang w:val="en-IL"/>
        </w:rPr>
        <w:t>מסוים</w:t>
      </w:r>
      <w:r w:rsidRPr="00B1674E">
        <w:rPr>
          <w:rtl/>
          <w:lang w:val="en-IL"/>
        </w:rPr>
        <w:t xml:space="preserve"> לצרכים-</w:t>
      </w:r>
    </w:p>
    <w:p w14:paraId="51BFEC27" w14:textId="468EF6C5" w:rsidR="00B1674E" w:rsidRPr="00B1674E" w:rsidRDefault="00B1674E" w:rsidP="003A4B1F">
      <w:pPr>
        <w:pStyle w:val="Quote"/>
        <w:rPr>
          <w:rtl/>
          <w:lang w:val="en-IL"/>
        </w:rPr>
      </w:pPr>
      <w:proofErr w:type="spellStart"/>
      <w:r w:rsidRPr="00B1674E">
        <w:rPr>
          <w:rtl/>
          <w:lang w:val="en-IL"/>
        </w:rPr>
        <w:t>בְּעו</w:t>
      </w:r>
      <w:proofErr w:type="spellEnd"/>
      <w:r w:rsidRPr="00B1674E">
        <w:rPr>
          <w:rtl/>
          <w:lang w:val="en-IL"/>
        </w:rPr>
        <w:t>ֹ מִינֵּיהּ מֵרַבָּה: הוּצְרַךְ לִנְקָבָיו מַהוּ? אָמַר לָהֶם: גָּדוֹל כְּבוֹד הַבְּרִיּוֹת שֶׁדּוֹחֶה אֶת לֹא תַעֲשֶׂה שֶׁבַּתּוֹרָה.</w:t>
      </w:r>
      <w:r w:rsidR="003A4B1F">
        <w:rPr>
          <w:rStyle w:val="FootnoteReference"/>
          <w:rtl/>
          <w:lang w:val="en-IL"/>
        </w:rPr>
        <w:footnoteReference w:id="10"/>
      </w:r>
    </w:p>
    <w:p w14:paraId="4AD37D4B" w14:textId="77777777" w:rsidR="00B1674E" w:rsidRPr="00B1674E" w:rsidRDefault="00B1674E" w:rsidP="006C55DC">
      <w:pPr>
        <w:ind w:firstLine="0"/>
        <w:rPr>
          <w:rtl/>
          <w:lang w:val="en-IL"/>
        </w:rPr>
      </w:pPr>
      <w:r w:rsidRPr="00B1674E">
        <w:rPr>
          <w:rtl/>
          <w:lang w:val="en-IL"/>
        </w:rPr>
        <w:t xml:space="preserve">הסוגייה דנה בדיני יציאה מהתחום. המשנה אומרת: "מִי שֶׁהוֹצִיאוּהוּ </w:t>
      </w:r>
      <w:proofErr w:type="spellStart"/>
      <w:r w:rsidRPr="00B1674E">
        <w:rPr>
          <w:rtl/>
          <w:lang w:val="en-IL"/>
        </w:rPr>
        <w:t>נׇכְרִים</w:t>
      </w:r>
      <w:proofErr w:type="spellEnd"/>
      <w:r w:rsidRPr="00B1674E">
        <w:rPr>
          <w:rtl/>
          <w:lang w:val="en-IL"/>
        </w:rPr>
        <w:t xml:space="preserve">, אוֹ רוּחַ רָעָה — אֵין לוֹ אֶלָּא אַרְבַּע אַמּוֹת." שואלים את רבה – מה יעשה אדם שצריך </w:t>
      </w:r>
      <w:r w:rsidRPr="00B1674E">
        <w:rPr>
          <w:rtl/>
          <w:lang w:val="en-IL"/>
        </w:rPr>
        <w:lastRenderedPageBreak/>
        <w:t>להתפנות אם הוא מוגבל לארבע אמות של תנועה? רבה עונה – גדול כבוד הבריות, כלומר דין דרבנן ארבע אמות מתבטל בפני כבוד הבריות.</w:t>
      </w:r>
    </w:p>
    <w:p w14:paraId="2E7A7A04" w14:textId="4202DB54" w:rsidR="00B1674E" w:rsidRPr="00B1674E" w:rsidRDefault="00B1674E" w:rsidP="00B1674E">
      <w:pPr>
        <w:rPr>
          <w:rtl/>
          <w:lang w:val="en-IL"/>
        </w:rPr>
      </w:pPr>
      <w:r w:rsidRPr="00B1674E">
        <w:rPr>
          <w:rtl/>
          <w:lang w:val="en-IL"/>
        </w:rPr>
        <w:t>כעת נעבור לירושלמי, ונביט בסוגייה</w:t>
      </w:r>
      <w:r w:rsidR="003624B8">
        <w:rPr>
          <w:rtl/>
          <w:lang w:val="en-IL"/>
        </w:rPr>
        <w:t xml:space="preserve"> (</w:t>
      </w:r>
      <w:r w:rsidRPr="00B1674E">
        <w:rPr>
          <w:rtl/>
          <w:lang w:val="en-IL"/>
        </w:rPr>
        <w:t>כמעט) הגורלית ביותר במהלך:</w:t>
      </w:r>
    </w:p>
    <w:p w14:paraId="2BA7C824" w14:textId="2C13877D" w:rsidR="00B1674E" w:rsidRPr="00B1674E" w:rsidRDefault="00B1674E" w:rsidP="0033002D">
      <w:pPr>
        <w:pStyle w:val="Quote"/>
        <w:rPr>
          <w:rtl/>
          <w:lang w:val="en-IL"/>
        </w:rPr>
      </w:pPr>
      <w:r w:rsidRPr="00B1674E">
        <w:rPr>
          <w:rtl/>
          <w:lang w:val="en-IL"/>
        </w:rPr>
        <w:t xml:space="preserve">מַהוּ שֶׁיִּטָּמֵא אָדָם לִכְבוֹד הָרַבִּים? תַּנִּי הָיוּ שְׁנֵי דְרָכִים מַתְאִימוֹת. אַחַת רְחוֹקָה וּטְהוֹרָה וְאַחַת קְרוֹבָה </w:t>
      </w:r>
      <w:proofErr w:type="spellStart"/>
      <w:r w:rsidRPr="00B1674E">
        <w:rPr>
          <w:rtl/>
          <w:lang w:val="en-IL"/>
        </w:rPr>
        <w:t>וּטְמֵיאָה</w:t>
      </w:r>
      <w:proofErr w:type="spellEnd"/>
      <w:r w:rsidRPr="00B1674E">
        <w:rPr>
          <w:rtl/>
          <w:lang w:val="en-IL"/>
        </w:rPr>
        <w:t xml:space="preserve">. אִם הָיוּ הָרַבִּים </w:t>
      </w:r>
      <w:proofErr w:type="spellStart"/>
      <w:r w:rsidRPr="00B1674E">
        <w:rPr>
          <w:rtl/>
          <w:lang w:val="en-IL"/>
        </w:rPr>
        <w:t>הוֹלְכִין</w:t>
      </w:r>
      <w:proofErr w:type="spellEnd"/>
      <w:r w:rsidRPr="00B1674E">
        <w:rPr>
          <w:rtl/>
          <w:lang w:val="en-IL"/>
        </w:rPr>
        <w:t xml:space="preserve"> בָּרְחוֹקָה הוֹלֵךְ עִמָּהֶן. וְאִם לָאו הוֹלֵךְ בַּקְּרוֹבָה מִפְּנֵי כְּבוֹד הָרַבִּים. עַד כְּדוֹן בְּטוּמְאָה שֶׁהוּא מִדִּבְרֵיהֶן. וַאֲפִילוּ בְּטוּמְאָה שֶׁהוּא מִדְּבַר תוֹרָה?! מִן מַה דְאָמַר רִבִּי </w:t>
      </w:r>
      <w:proofErr w:type="spellStart"/>
      <w:r w:rsidRPr="00B1674E">
        <w:rPr>
          <w:rtl/>
          <w:lang w:val="en-IL"/>
        </w:rPr>
        <w:t>זְעִירָא</w:t>
      </w:r>
      <w:proofErr w:type="spellEnd"/>
      <w:r w:rsidRPr="00B1674E">
        <w:rPr>
          <w:rtl/>
          <w:lang w:val="en-IL"/>
        </w:rPr>
        <w:t xml:space="preserve">. גָּדוֹל כְּבוֹד הַבִּרְיוֹת שֶׁדּוֹחֶה </w:t>
      </w:r>
      <w:proofErr w:type="spellStart"/>
      <w:r w:rsidRPr="00B1674E">
        <w:rPr>
          <w:rtl/>
          <w:lang w:val="en-IL"/>
        </w:rPr>
        <w:t>לְמִצְוָה</w:t>
      </w:r>
      <w:proofErr w:type="spellEnd"/>
      <w:r w:rsidRPr="00B1674E">
        <w:rPr>
          <w:rtl/>
          <w:lang w:val="en-IL"/>
        </w:rPr>
        <w:t xml:space="preserve"> בְלֹא תַעֲשֶׂה שָׁעָה אַחַת. </w:t>
      </w:r>
      <w:proofErr w:type="spellStart"/>
      <w:r w:rsidRPr="00B1674E">
        <w:rPr>
          <w:rtl/>
          <w:lang w:val="en-IL"/>
        </w:rPr>
        <w:t>הָדָא</w:t>
      </w:r>
      <w:proofErr w:type="spellEnd"/>
      <w:r w:rsidRPr="00B1674E">
        <w:rPr>
          <w:rtl/>
          <w:lang w:val="en-IL"/>
        </w:rPr>
        <w:t xml:space="preserve"> אָמְרָה וַאֲפִילוּ בְּטוּמְאָה שֶׁהָיָה מִדְּבַר תּוֹרָה.</w:t>
      </w:r>
      <w:r w:rsidR="00B540A7">
        <w:rPr>
          <w:rStyle w:val="FootnoteReference"/>
          <w:rtl/>
          <w:lang w:val="en-IL"/>
        </w:rPr>
        <w:footnoteReference w:id="11"/>
      </w:r>
    </w:p>
    <w:p w14:paraId="5EB5DB01" w14:textId="120002C1" w:rsidR="00B1674E" w:rsidRPr="00B1674E" w:rsidRDefault="00B1674E" w:rsidP="00C529D4">
      <w:pPr>
        <w:ind w:firstLine="0"/>
        <w:rPr>
          <w:rtl/>
          <w:lang w:val="en-IL"/>
        </w:rPr>
      </w:pPr>
      <w:r w:rsidRPr="00B1674E">
        <w:rPr>
          <w:rtl/>
          <w:lang w:val="en-IL"/>
        </w:rPr>
        <w:t xml:space="preserve">זהו המקור היחיד בירושלמי בו מופיע המושג "כבוד הבריות". מביאים משנה שטוענת כי מותר להיטמא לטומאת מת מפני "כבוד הרבים" </w:t>
      </w:r>
      <w:r w:rsidR="003624B8">
        <w:rPr>
          <w:rtl/>
          <w:lang w:val="en-IL"/>
        </w:rPr>
        <w:t xml:space="preserve"> (</w:t>
      </w:r>
      <w:r w:rsidRPr="00B1674E">
        <w:rPr>
          <w:rtl/>
          <w:lang w:val="en-IL"/>
        </w:rPr>
        <w:t xml:space="preserve">מושג שבהחלט נדון בו בהמשך), הגמרא שואלת: המשנה אמורה בטומאה דרבנן, אבל מה בדבר טומאת מת שהיא דאורייתא? וסיום הסוגיה הוא "מִן מַה דְאָמַר רִבִּי </w:t>
      </w:r>
      <w:proofErr w:type="spellStart"/>
      <w:r w:rsidRPr="00B1674E">
        <w:rPr>
          <w:rtl/>
          <w:lang w:val="en-IL"/>
        </w:rPr>
        <w:t>זְעִירָא</w:t>
      </w:r>
      <w:proofErr w:type="spellEnd"/>
      <w:r w:rsidRPr="00B1674E">
        <w:rPr>
          <w:rtl/>
          <w:lang w:val="en-IL"/>
        </w:rPr>
        <w:t xml:space="preserve">. גָּדוֹל כְּבוֹד הַבִּרְיוֹת שֶׁדּוֹחֶה </w:t>
      </w:r>
      <w:proofErr w:type="spellStart"/>
      <w:r w:rsidRPr="00B1674E">
        <w:rPr>
          <w:rtl/>
          <w:lang w:val="en-IL"/>
        </w:rPr>
        <w:t>לְמִצְוָה</w:t>
      </w:r>
      <w:proofErr w:type="spellEnd"/>
      <w:r w:rsidRPr="00B1674E">
        <w:rPr>
          <w:rtl/>
          <w:lang w:val="en-IL"/>
        </w:rPr>
        <w:t xml:space="preserve"> בְלֹא תַעֲשֶׂה שָׁעָה אַחַת. </w:t>
      </w:r>
      <w:proofErr w:type="spellStart"/>
      <w:r w:rsidRPr="00B1674E">
        <w:rPr>
          <w:rtl/>
          <w:lang w:val="en-IL"/>
        </w:rPr>
        <w:t>הָדָא</w:t>
      </w:r>
      <w:proofErr w:type="spellEnd"/>
      <w:r w:rsidRPr="00B1674E">
        <w:rPr>
          <w:rtl/>
          <w:lang w:val="en-IL"/>
        </w:rPr>
        <w:t xml:space="preserve"> אָמְרָה וַאֲפִילוּ בְּטוּמְאָה שֶׁהָיָה מִדְּבַר תּוֹרָה." זהו שינוי פרדיגמה מוחלט מהמקורות הקודמים, כפי שנדגים כעת:</w:t>
      </w:r>
    </w:p>
    <w:p w14:paraId="7F751BFA" w14:textId="77777777" w:rsidR="00CE4C6D" w:rsidRPr="00CE4C6D" w:rsidRDefault="00CE4C6D" w:rsidP="00CE4C6D">
      <w:pPr>
        <w:pStyle w:val="Heading2"/>
        <w:rPr>
          <w:lang w:val="en-IL"/>
        </w:rPr>
      </w:pPr>
      <w:r w:rsidRPr="00CE4C6D">
        <w:rPr>
          <w:rtl/>
          <w:lang w:val="en-IL"/>
        </w:rPr>
        <w:t>בעיית המקבילה</w:t>
      </w:r>
    </w:p>
    <w:p w14:paraId="30B1182D" w14:textId="4BBEC057" w:rsidR="000D756C" w:rsidRDefault="00B90661" w:rsidP="00E83D9E">
      <w:pPr>
        <w:ind w:firstLine="0"/>
        <w:rPr>
          <w:rtl/>
          <w:lang w:val="en-IL"/>
        </w:rPr>
      </w:pPr>
      <w:r w:rsidRPr="00B90661">
        <w:rPr>
          <w:rtl/>
          <w:lang w:val="en-IL"/>
        </w:rPr>
        <w:t xml:space="preserve">לסוגייה האחרונה שהבאנו בירושלמי נזיר ישנה סוגייה מקבילה בירושלמי ברכות. חשוב לציין שהסוגייה בברכות היא בהלכה א' של פרק "מי שמתו", בדומה לסוגייה שלנו בבבלי ברכות. ההבדל בין הגרסאות שחשוב למטרת מאמר זה, הוא שבברכות המשפט הוא "גדול כבוד </w:t>
      </w:r>
      <w:r w:rsidRPr="00B90661">
        <w:rPr>
          <w:i/>
          <w:iCs/>
          <w:rtl/>
          <w:lang w:val="en-IL"/>
        </w:rPr>
        <w:t>הרבים"</w:t>
      </w:r>
      <w:r w:rsidRPr="00B90661">
        <w:rPr>
          <w:rtl/>
          <w:lang w:val="en-IL"/>
        </w:rPr>
        <w:t>. האור לישרים בברכות אומר: "'כבוד הבריות' הוא ביטוי בבלי, ו'כבוד הרבים' הוא ביטוי ירושלמי. הגרסה במקבילה היא אשגרה</w:t>
      </w:r>
      <w:r w:rsidR="00CE76C4">
        <w:rPr>
          <w:rStyle w:val="FootnoteReference"/>
          <w:rtl/>
          <w:lang w:val="en-IL"/>
        </w:rPr>
        <w:footnoteReference w:id="12"/>
      </w:r>
      <w:r w:rsidRPr="00B90661">
        <w:rPr>
          <w:rtl/>
          <w:lang w:val="en-IL"/>
        </w:rPr>
        <w:t xml:space="preserve">, אולי על פי הבבלי. בגיליון כתב יד מינכן לבבלי ברכות </w:t>
      </w:r>
      <w:proofErr w:type="spellStart"/>
      <w:r w:rsidRPr="00B90661">
        <w:rPr>
          <w:rtl/>
          <w:lang w:val="en-IL"/>
        </w:rPr>
        <w:t>יט,ב</w:t>
      </w:r>
      <w:proofErr w:type="spellEnd"/>
      <w:r w:rsidRPr="00B90661">
        <w:rPr>
          <w:rtl/>
          <w:lang w:val="en-IL"/>
        </w:rPr>
        <w:t xml:space="preserve"> מובא הקטע הזה מהירושלמי בנזיר, ושם יש 'כבוד הרבים' כמו כאן".</w:t>
      </w:r>
      <w:r w:rsidR="00A33B73">
        <w:rPr>
          <w:rStyle w:val="FootnoteReference"/>
          <w:rtl/>
          <w:lang w:val="en-IL"/>
        </w:rPr>
        <w:footnoteReference w:id="13"/>
      </w:r>
      <w:r w:rsidRPr="00B90661">
        <w:rPr>
          <w:rtl/>
          <w:lang w:val="en-IL"/>
        </w:rPr>
        <w:t xml:space="preserve"> המידע הזה חשוב לנו משתי סיבות – 1. אנחנו צריכים להביט במושג כבוד הרבים ולהבין אם משמעותו דומה או שונה לכבוד הבריות בבבלי, ו-2. זה אולי אומר שהסוגייה בנזיר מועתקת מברכות ועברה עריכה ע"פ הבבלי, מה שאומר שההבנה שלנו את המידע </w:t>
      </w:r>
      <w:r w:rsidRPr="00B90661">
        <w:rPr>
          <w:rtl/>
          <w:lang w:val="en-IL"/>
        </w:rPr>
        <w:lastRenderedPageBreak/>
        <w:t>בסוגייה משתנה לחלוטין</w:t>
      </w:r>
      <w:r w:rsidR="003624B8">
        <w:rPr>
          <w:rtl/>
          <w:lang w:val="en-IL"/>
        </w:rPr>
        <w:t xml:space="preserve"> (</w:t>
      </w:r>
      <w:r w:rsidRPr="00B90661">
        <w:rPr>
          <w:rtl/>
          <w:lang w:val="en-IL"/>
        </w:rPr>
        <w:t>בהמשך נפרט למה זה).</w:t>
      </w:r>
    </w:p>
    <w:p w14:paraId="47438327" w14:textId="77777777" w:rsidR="00790CB3" w:rsidRPr="00790CB3" w:rsidRDefault="00790CB3" w:rsidP="00790CB3">
      <w:pPr>
        <w:pStyle w:val="Heading2"/>
        <w:rPr>
          <w:lang w:val="en-IL"/>
        </w:rPr>
      </w:pPr>
      <w:r w:rsidRPr="00790CB3">
        <w:rPr>
          <w:rtl/>
          <w:lang w:val="en-IL"/>
        </w:rPr>
        <w:t>כבוד הרבים</w:t>
      </w:r>
    </w:p>
    <w:p w14:paraId="246026AF" w14:textId="77777777" w:rsidR="00790CB3" w:rsidRDefault="00790CB3" w:rsidP="00790CB3">
      <w:pPr>
        <w:ind w:firstLine="0"/>
        <w:rPr>
          <w:rtl/>
          <w:lang w:val="en-IL"/>
        </w:rPr>
      </w:pPr>
      <w:r w:rsidRPr="00790CB3">
        <w:rPr>
          <w:rtl/>
          <w:lang w:val="en-IL"/>
        </w:rPr>
        <w:t>חוץ מהסוגיות בברכות ובנזיר, הביטוי כבוד הרבים מופיע עוד פעמיים בירושלמי.</w:t>
      </w:r>
    </w:p>
    <w:p w14:paraId="3A7DF1E5" w14:textId="66A45ED8" w:rsidR="00B26545" w:rsidRPr="00790CB3" w:rsidRDefault="00B26545" w:rsidP="00D51696">
      <w:pPr>
        <w:rPr>
          <w:lang w:val="en-IL"/>
        </w:rPr>
      </w:pPr>
      <w:r>
        <w:rPr>
          <w:rFonts w:hint="cs"/>
          <w:rtl/>
          <w:lang w:val="en-IL"/>
        </w:rPr>
        <w:t>במסכת מגילה:</w:t>
      </w:r>
    </w:p>
    <w:p w14:paraId="0F0F5D21" w14:textId="0B1A78F4" w:rsidR="00790CB3" w:rsidRDefault="00790CB3" w:rsidP="00AC20A7">
      <w:pPr>
        <w:pStyle w:val="Quote"/>
        <w:rPr>
          <w:u w:val="single"/>
          <w:rtl/>
          <w:lang w:val="en-IL"/>
        </w:rPr>
      </w:pPr>
      <w:r w:rsidRPr="00790CB3">
        <w:rPr>
          <w:rtl/>
          <w:lang w:val="en-IL"/>
        </w:rPr>
        <w:t xml:space="preserve">זֶה שֶׁהוּא עוֹמֵד לִקְרוֹת בַּתּוֹרָה מִפְּנֵי מַה הוּא עוֹמֵד. מִפְּנֵי כְבוֹדָהּ אוֹ מִפְּנֵי כְבוֹד הָרַבִּים. אִין </w:t>
      </w:r>
      <w:proofErr w:type="spellStart"/>
      <w:r w:rsidRPr="00790CB3">
        <w:rPr>
          <w:rtl/>
          <w:lang w:val="en-IL"/>
        </w:rPr>
        <w:t>תֵּימַר</w:t>
      </w:r>
      <w:proofErr w:type="spellEnd"/>
      <w:r w:rsidRPr="00790CB3">
        <w:rPr>
          <w:rtl/>
          <w:lang w:val="en-IL"/>
        </w:rPr>
        <w:t xml:space="preserve">. מִפְּנֵי כְבוֹדָהּ. אֲפִילוּ בֵינוֹ לְבֵינָהּ. אִין </w:t>
      </w:r>
      <w:proofErr w:type="spellStart"/>
      <w:r w:rsidRPr="00790CB3">
        <w:rPr>
          <w:rtl/>
          <w:lang w:val="en-IL"/>
        </w:rPr>
        <w:t>תֵּימַר</w:t>
      </w:r>
      <w:proofErr w:type="spellEnd"/>
      <w:r w:rsidRPr="00790CB3">
        <w:rPr>
          <w:rtl/>
          <w:lang w:val="en-IL"/>
        </w:rPr>
        <w:t>. מִפְּנֵי כְבוֹד הָרַבִּים. אֲפִילוּ בֵינוֹ לְבֵין עַצְמוֹ. מִפְּנֵי כְבוֹדָהּ הוּא עוֹמֵד. אִם אוֹמֵר אַתְּ כֵּן אַף הוּא מִתְעַצֵּל וְאֵינוֹ קוֹרֵא.</w:t>
      </w:r>
      <w:r w:rsidR="00DD43B6">
        <w:rPr>
          <w:rStyle w:val="FootnoteReference"/>
          <w:rtl/>
          <w:lang w:val="en-IL"/>
        </w:rPr>
        <w:footnoteReference w:id="14"/>
      </w:r>
    </w:p>
    <w:p w14:paraId="337DF741" w14:textId="4A8BFCDA" w:rsidR="00AC20A7" w:rsidRPr="00AC20A7" w:rsidRDefault="00AC20A7" w:rsidP="00AC20A7">
      <w:pPr>
        <w:rPr>
          <w:rtl/>
          <w:lang w:val="en-IL"/>
        </w:rPr>
      </w:pPr>
      <w:r>
        <w:rPr>
          <w:rFonts w:hint="cs"/>
          <w:rtl/>
          <w:lang w:val="en-IL"/>
        </w:rPr>
        <w:t>ובמסכת כלאיים:</w:t>
      </w:r>
    </w:p>
    <w:p w14:paraId="287BEA66" w14:textId="70A684E0" w:rsidR="00790CB3" w:rsidRPr="00790CB3" w:rsidRDefault="00790CB3" w:rsidP="00790CB3">
      <w:pPr>
        <w:pStyle w:val="Quote"/>
        <w:rPr>
          <w:rtl/>
          <w:lang w:val="en-IL"/>
        </w:rPr>
      </w:pPr>
      <w:r w:rsidRPr="00790CB3">
        <w:rPr>
          <w:rtl/>
          <w:lang w:val="en-IL"/>
        </w:rPr>
        <w:t xml:space="preserve">הֲרֵי שֶּׁהָיָה מְהַלֵּךְ בַּשּׁוּק וְנִמְצָא לָבוּשׁ כִּלְאַיִם </w:t>
      </w:r>
      <w:proofErr w:type="spellStart"/>
      <w:r w:rsidRPr="00790CB3">
        <w:rPr>
          <w:rtl/>
          <w:lang w:val="en-IL"/>
        </w:rPr>
        <w:t>תְּרֵין</w:t>
      </w:r>
      <w:proofErr w:type="spellEnd"/>
      <w:r w:rsidRPr="00790CB3">
        <w:rPr>
          <w:rtl/>
          <w:lang w:val="en-IL"/>
        </w:rPr>
        <w:t xml:space="preserve"> </w:t>
      </w:r>
      <w:proofErr w:type="spellStart"/>
      <w:r w:rsidRPr="00790CB3">
        <w:rPr>
          <w:rtl/>
          <w:lang w:val="en-IL"/>
        </w:rPr>
        <w:t>אֲמוֹרָאִין</w:t>
      </w:r>
      <w:proofErr w:type="spellEnd"/>
      <w:r w:rsidRPr="00790CB3">
        <w:rPr>
          <w:rtl/>
          <w:lang w:val="en-IL"/>
        </w:rPr>
        <w:t xml:space="preserve"> חַד אָמַר אָסוּר </w:t>
      </w:r>
      <w:proofErr w:type="spellStart"/>
      <w:r w:rsidRPr="00790CB3">
        <w:rPr>
          <w:rtl/>
          <w:lang w:val="en-IL"/>
        </w:rPr>
        <w:t>וְחָרָנָה</w:t>
      </w:r>
      <w:proofErr w:type="spellEnd"/>
      <w:r w:rsidRPr="00790CB3">
        <w:rPr>
          <w:rtl/>
          <w:lang w:val="en-IL"/>
        </w:rPr>
        <w:t xml:space="preserve"> אָמַר מוּתָּר מָאן דְּאָמַר אָסוּר דְּבַר תּוֹרָה מָאן דְּאָמַר מוּתָּר </w:t>
      </w:r>
      <w:proofErr w:type="spellStart"/>
      <w:r w:rsidRPr="00790CB3">
        <w:rPr>
          <w:rtl/>
          <w:lang w:val="en-IL"/>
        </w:rPr>
        <w:t>כְּהַהִיא</w:t>
      </w:r>
      <w:proofErr w:type="spellEnd"/>
      <w:r w:rsidRPr="00790CB3">
        <w:rPr>
          <w:rtl/>
          <w:lang w:val="en-IL"/>
        </w:rPr>
        <w:t xml:space="preserve"> דְּאָמַר רִבִּי </w:t>
      </w:r>
      <w:proofErr w:type="spellStart"/>
      <w:r w:rsidRPr="00790CB3">
        <w:rPr>
          <w:rtl/>
          <w:lang w:val="en-IL"/>
        </w:rPr>
        <w:t>זְעִירָא</w:t>
      </w:r>
      <w:proofErr w:type="spellEnd"/>
      <w:r w:rsidRPr="00790CB3">
        <w:rPr>
          <w:rtl/>
          <w:lang w:val="en-IL"/>
        </w:rPr>
        <w:t xml:space="preserve"> גָּדוֹל כְּבוֹד הָרַבִּים שֶׁהוּא דוֹחֶה אֶת הַמִּצְוָה בְלֹא תַעֲשֶׂה שָׁעָה אַחַת.</w:t>
      </w:r>
      <w:r w:rsidR="00AD7EB0">
        <w:rPr>
          <w:rStyle w:val="FootnoteReference"/>
          <w:rtl/>
          <w:lang w:val="en-IL"/>
        </w:rPr>
        <w:footnoteReference w:id="15"/>
      </w:r>
    </w:p>
    <w:p w14:paraId="34DC226C" w14:textId="3F8AC46E" w:rsidR="00790CB3" w:rsidRPr="00790CB3" w:rsidRDefault="00790CB3" w:rsidP="00790CB3">
      <w:pPr>
        <w:ind w:firstLine="0"/>
        <w:rPr>
          <w:rtl/>
          <w:lang w:val="en-IL"/>
        </w:rPr>
      </w:pPr>
      <w:r w:rsidRPr="00790CB3">
        <w:rPr>
          <w:rtl/>
          <w:lang w:val="en-IL"/>
        </w:rPr>
        <w:t xml:space="preserve">שתי הסוגיות האלו נותנות לנו הבנה של המושג "כבוד הרבים" שלא משיקה במאה אחוז לכבוד הבריות. הסוגיה במגילה מפרשת עמידה מול הקהל בעלייה לתורה כמשהו שיכול להיות משום כבוד הרבים, שזה פירוש שמדבר דווקא על הכבוד של הפרט כלפי הקהל, והסוגייה בכלאיים מפרשת את חשיבות המושג כגבוהה בהרבה – בהשוואה לבבלי במנחות, שגם דן בענייני לבוש והופך את ההוצאה מרשות לרשות לדין דרבנן, </w:t>
      </w:r>
      <w:r w:rsidR="00DB5DA1" w:rsidRPr="00790CB3">
        <w:rPr>
          <w:rFonts w:hint="cs"/>
          <w:rtl/>
          <w:lang w:val="en-IL"/>
        </w:rPr>
        <w:t>הסוגיה</w:t>
      </w:r>
      <w:r w:rsidRPr="00790CB3">
        <w:rPr>
          <w:rtl/>
          <w:lang w:val="en-IL"/>
        </w:rPr>
        <w:t xml:space="preserve"> פה אומרת בפשטות: אדם הלבוש בשעטנז לא </w:t>
      </w:r>
      <w:r w:rsidR="00DB5DA1" w:rsidRPr="00790CB3">
        <w:rPr>
          <w:rFonts w:hint="cs"/>
          <w:rtl/>
          <w:lang w:val="en-IL"/>
        </w:rPr>
        <w:t>מחויב</w:t>
      </w:r>
      <w:r w:rsidRPr="00790CB3">
        <w:rPr>
          <w:rtl/>
          <w:lang w:val="en-IL"/>
        </w:rPr>
        <w:t xml:space="preserve"> לפשוט את בגדיו, למרות שלבוש </w:t>
      </w:r>
      <w:r w:rsidR="00DB5DA1" w:rsidRPr="00790CB3">
        <w:rPr>
          <w:rFonts w:hint="cs"/>
          <w:rtl/>
          <w:lang w:val="en-IL"/>
        </w:rPr>
        <w:t>שעטנז</w:t>
      </w:r>
      <w:r w:rsidRPr="00790CB3">
        <w:rPr>
          <w:rtl/>
          <w:lang w:val="en-IL"/>
        </w:rPr>
        <w:t xml:space="preserve"> הוא איסור דאורייתא, מסיבה אחת פשוטה: "גָּדוֹל כְּבוֹד הָרַבִּים שֶׁהוּא דוֹחֶה אֶת הַמִּצְוָה בְלֹא תַעֲשֶׂה שָׁעָה אַחַת." כלומר- האדם רשאי להגיע לביתו או למרחב פרטי, ורק אז לפשוט את בגדיו.</w:t>
      </w:r>
    </w:p>
    <w:p w14:paraId="7C215B21" w14:textId="77777777" w:rsidR="00790CB3" w:rsidRPr="00790CB3" w:rsidRDefault="00790CB3" w:rsidP="00905882">
      <w:pPr>
        <w:rPr>
          <w:rtl/>
          <w:lang w:val="en-IL"/>
        </w:rPr>
      </w:pPr>
      <w:r w:rsidRPr="00790CB3">
        <w:rPr>
          <w:rtl/>
          <w:lang w:val="en-IL"/>
        </w:rPr>
        <w:t xml:space="preserve">כעת רצוי שנתייחס לפיל שבחדר: העובדה שהירושלמי הוא המקור הראשון שלנו בו האמירה העלומה הזו מובאת בשם מישהו – ר' </w:t>
      </w:r>
      <w:proofErr w:type="spellStart"/>
      <w:r w:rsidRPr="00790CB3">
        <w:rPr>
          <w:rtl/>
          <w:lang w:val="en-IL"/>
        </w:rPr>
        <w:t>זעירא</w:t>
      </w:r>
      <w:proofErr w:type="spellEnd"/>
      <w:r w:rsidRPr="00790CB3">
        <w:rPr>
          <w:rtl/>
          <w:lang w:val="en-IL"/>
        </w:rPr>
        <w:t xml:space="preserve">, הלא הוא ר' </w:t>
      </w:r>
      <w:proofErr w:type="spellStart"/>
      <w:r w:rsidRPr="00790CB3">
        <w:rPr>
          <w:rtl/>
          <w:lang w:val="en-IL"/>
        </w:rPr>
        <w:t>זירא</w:t>
      </w:r>
      <w:proofErr w:type="spellEnd"/>
      <w:r w:rsidRPr="00790CB3">
        <w:rPr>
          <w:rtl/>
          <w:lang w:val="en-IL"/>
        </w:rPr>
        <w:t xml:space="preserve">. ר' </w:t>
      </w:r>
      <w:proofErr w:type="spellStart"/>
      <w:r w:rsidRPr="00790CB3">
        <w:rPr>
          <w:rtl/>
          <w:lang w:val="en-IL"/>
        </w:rPr>
        <w:t>זירא</w:t>
      </w:r>
      <w:proofErr w:type="spellEnd"/>
      <w:r w:rsidRPr="00790CB3">
        <w:rPr>
          <w:rtl/>
          <w:lang w:val="en-IL"/>
        </w:rPr>
        <w:t xml:space="preserve"> הוא אמורא ארצישראלי מדור שלישי שמופיע הרבה מאוד בתלמוד הבבלי, אך משום מה השם שלו לא מופיע בהקשר למשפט הזה. נציין כרגע שלפי זה "גדול </w:t>
      </w:r>
      <w:r w:rsidRPr="00790CB3">
        <w:rPr>
          <w:rtl/>
          <w:lang w:val="en-IL"/>
        </w:rPr>
        <w:lastRenderedPageBreak/>
        <w:t xml:space="preserve">כבוד הבריות" הוא כנראה לכל המאוחר מהדור השלישי לתקופת האמוראים, ושמפאת העובדה שרק בירושלמי הוא מובא בשם ר' </w:t>
      </w:r>
      <w:proofErr w:type="spellStart"/>
      <w:r w:rsidRPr="00790CB3">
        <w:rPr>
          <w:rtl/>
          <w:lang w:val="en-IL"/>
        </w:rPr>
        <w:t>זירא</w:t>
      </w:r>
      <w:proofErr w:type="spellEnd"/>
      <w:r w:rsidRPr="00790CB3">
        <w:rPr>
          <w:rtl/>
          <w:lang w:val="en-IL"/>
        </w:rPr>
        <w:t xml:space="preserve">, יש סיכוי שהוא גם קדום יותר – במיוחד אם ניקח בחשבון את העובדה שאנחנו יודעים שכבוד הבריות קיים במשנה, ובנוסף את היחס ל"גדול כבוד הבריות" בבבלי: בסוגייה בברכות הוא מובא ב"תא שמע", ובשאר ההופעות שלו הוא מובא או ב"אמר מר" או ללא ציטוט. נראה שהגמרא לא יודעת לשים את האצבע על מקור האמרה, </w:t>
      </w:r>
      <w:r w:rsidRPr="00790CB3">
        <w:rPr>
          <w:i/>
          <w:iCs/>
          <w:rtl/>
          <w:lang w:val="en-IL"/>
        </w:rPr>
        <w:t>אבל יודעת שהיא קדומה ולכן מרגישה צורך לתרגם אותה ולא לבטלה.</w:t>
      </w:r>
    </w:p>
    <w:p w14:paraId="4B1E65DB" w14:textId="722D24C8" w:rsidR="00790CB3" w:rsidRDefault="00905882" w:rsidP="000F65C9">
      <w:pPr>
        <w:pStyle w:val="Heading2"/>
        <w:rPr>
          <w:rtl/>
          <w:lang w:val="en-IL"/>
        </w:rPr>
      </w:pPr>
      <w:r w:rsidRPr="00905882">
        <w:rPr>
          <w:rtl/>
          <w:lang w:val="en-IL"/>
        </w:rPr>
        <w:t>המקבילה ומקומה המקורי</w:t>
      </w:r>
    </w:p>
    <w:p w14:paraId="03150087" w14:textId="77E34D8B" w:rsidR="000F65C9" w:rsidRPr="000F65C9" w:rsidRDefault="000F65C9" w:rsidP="000F65C9">
      <w:pPr>
        <w:ind w:firstLine="0"/>
        <w:rPr>
          <w:lang w:val="en-IL"/>
        </w:rPr>
      </w:pPr>
      <w:r w:rsidRPr="000F65C9">
        <w:rPr>
          <w:rtl/>
          <w:lang w:val="en-IL"/>
        </w:rPr>
        <w:t>אני רוצה לטעון שהסוגייה בנזיר מועתקת מברכות. בפשטות אפשר לראות שהעובדה שבנזיר יש גם את הביטוי כבוד הרבים וגם את כבוד הבריות היא בעייתית, אבל זו לא הוכחה. ובכל זאת, אפשר להוכיח זאת בדרכים אחרות:</w:t>
      </w:r>
    </w:p>
    <w:p w14:paraId="2CE273E3" w14:textId="4F23C289" w:rsidR="005117B4" w:rsidRDefault="000F65C9" w:rsidP="00D67164">
      <w:pPr>
        <w:pStyle w:val="ListParagraph"/>
        <w:rPr>
          <w:lang w:val="en-IL"/>
        </w:rPr>
      </w:pPr>
      <w:r w:rsidRPr="000F65C9">
        <w:rPr>
          <w:b/>
          <w:bCs/>
          <w:rtl/>
          <w:lang w:val="en-IL"/>
        </w:rPr>
        <w:t xml:space="preserve">הקשר הסוגיות – </w:t>
      </w:r>
      <w:r w:rsidRPr="000F65C9">
        <w:rPr>
          <w:rtl/>
          <w:lang w:val="en-IL"/>
        </w:rPr>
        <w:t xml:space="preserve">הסוגייה בברכות היא במקור בקשר למשנת "מי שמתו מוטל לפניו", ולאט לאט מגיעה לנושא של טומאת מת. לעומת זאת הסוגייה בנזיר מתחילה במשנה שדנה בטומאת מת לנזיר </w:t>
      </w:r>
      <w:proofErr w:type="spellStart"/>
      <w:r w:rsidRPr="000F65C9">
        <w:rPr>
          <w:rtl/>
          <w:lang w:val="en-IL"/>
        </w:rPr>
        <w:t>ולכה</w:t>
      </w:r>
      <w:r w:rsidR="00253E8B">
        <w:rPr>
          <w:rFonts w:hint="cs"/>
          <w:rtl/>
          <w:lang w:val="en-IL"/>
        </w:rPr>
        <w:t>אי</w:t>
      </w:r>
      <w:proofErr w:type="spellEnd"/>
      <w:r w:rsidR="00253E8B">
        <w:rPr>
          <w:rFonts w:hint="cs"/>
          <w:rtl/>
          <w:lang w:val="en-IL"/>
        </w:rPr>
        <w:t xml:space="preserve"> </w:t>
      </w:r>
      <w:proofErr w:type="spellStart"/>
      <w:r w:rsidRPr="000F65C9">
        <w:rPr>
          <w:rtl/>
          <w:lang w:val="en-IL"/>
        </w:rPr>
        <w:t>ג</w:t>
      </w:r>
      <w:r w:rsidR="00253E8B">
        <w:rPr>
          <w:rFonts w:hint="cs"/>
          <w:rtl/>
          <w:lang w:val="en-IL"/>
        </w:rPr>
        <w:t>וונא</w:t>
      </w:r>
      <w:proofErr w:type="spellEnd"/>
      <w:r w:rsidR="0026051E">
        <w:rPr>
          <w:rStyle w:val="FootnoteReference"/>
          <w:rtl/>
          <w:lang w:val="en-IL"/>
        </w:rPr>
        <w:footnoteReference w:id="16"/>
      </w:r>
      <w:r w:rsidRPr="000F65C9">
        <w:rPr>
          <w:rtl/>
          <w:lang w:val="en-IL"/>
        </w:rPr>
        <w:t>, מה שיכול להעיד שהמעתיקים נזכרו שבברכות דנו בעניין דומה והעתיקו אותה לנזיר עם שינויים שיתאימו אותה למקרה.</w:t>
      </w:r>
      <w:r w:rsidR="00921021">
        <w:rPr>
          <w:rStyle w:val="FootnoteReference"/>
          <w:rtl/>
          <w:lang w:val="en-IL"/>
        </w:rPr>
        <w:footnoteReference w:id="17"/>
      </w:r>
      <w:r w:rsidRPr="000F65C9">
        <w:rPr>
          <w:rtl/>
          <w:lang w:val="en-IL"/>
        </w:rPr>
        <w:t xml:space="preserve"> הסברא הזו מתחזקת כשמסתכלים על המבנה – בשתי הגרסאות הסוגייה היא במבנה קבוע:</w:t>
      </w:r>
    </w:p>
    <w:p w14:paraId="5E827FC8" w14:textId="32088AA9" w:rsidR="005A1900" w:rsidRPr="003F2B23" w:rsidRDefault="003F2B23" w:rsidP="009E6E92">
      <w:pPr>
        <w:pStyle w:val="Quote"/>
        <w:rPr>
          <w:lang w:val="en-IL"/>
        </w:rPr>
      </w:pPr>
      <w:r>
        <w:rPr>
          <w:rFonts w:hint="cs"/>
          <w:rtl/>
          <w:lang w:val="en-IL"/>
        </w:rPr>
        <w:t>"מהו שיטמא ל_</w:t>
      </w:r>
      <w:r w:rsidR="009E6E92">
        <w:rPr>
          <w:rFonts w:hint="cs"/>
          <w:rtl/>
          <w:lang w:val="en-IL"/>
        </w:rPr>
        <w:t>__</w:t>
      </w:r>
      <w:r>
        <w:rPr>
          <w:rFonts w:hint="cs"/>
          <w:rtl/>
          <w:lang w:val="en-IL"/>
        </w:rPr>
        <w:t xml:space="preserve">?" </w:t>
      </w:r>
      <w:r w:rsidR="00A30C45">
        <w:rPr>
          <w:rFonts w:ascii="Calibri" w:hAnsi="Calibri" w:cs="Calibri"/>
          <w:rtl/>
          <w:lang w:val="en-IL"/>
        </w:rPr>
        <w:t>←</w:t>
      </w:r>
      <w:r w:rsidR="00A30C45">
        <w:rPr>
          <w:rFonts w:hint="cs"/>
          <w:rtl/>
          <w:lang w:val="en-IL"/>
        </w:rPr>
        <w:t xml:space="preserve"> </w:t>
      </w:r>
      <w:r>
        <w:rPr>
          <w:rFonts w:hint="cs"/>
          <w:rtl/>
          <w:lang w:val="en-IL"/>
        </w:rPr>
        <w:t>"תני:</w:t>
      </w:r>
      <w:r w:rsidR="009E6E92">
        <w:rPr>
          <w:rFonts w:hint="cs"/>
          <w:rtl/>
          <w:lang w:val="en-IL"/>
        </w:rPr>
        <w:t>__</w:t>
      </w:r>
      <w:r>
        <w:rPr>
          <w:rFonts w:hint="cs"/>
          <w:rtl/>
          <w:lang w:val="en-IL"/>
        </w:rPr>
        <w:t xml:space="preserve">_" </w:t>
      </w:r>
      <w:r w:rsidR="00A30C45">
        <w:rPr>
          <w:rFonts w:ascii="Calibri" w:hAnsi="Calibri" w:cs="Calibri"/>
          <w:rtl/>
          <w:lang w:val="en-IL"/>
        </w:rPr>
        <w:t>←</w:t>
      </w:r>
      <w:r w:rsidR="00A30C45">
        <w:rPr>
          <w:rFonts w:hint="cs"/>
          <w:rtl/>
          <w:lang w:val="en-IL"/>
        </w:rPr>
        <w:t xml:space="preserve"> </w:t>
      </w:r>
      <w:r>
        <w:rPr>
          <w:rFonts w:hint="cs"/>
          <w:rtl/>
          <w:lang w:val="en-IL"/>
        </w:rPr>
        <w:t>[הגמרא דנה במקור]</w:t>
      </w:r>
    </w:p>
    <w:p w14:paraId="476684CA" w14:textId="3BD025D9" w:rsidR="000F65C9" w:rsidRPr="000F65C9" w:rsidRDefault="000F65C9" w:rsidP="000F65C9">
      <w:pPr>
        <w:pStyle w:val="ListParagraph"/>
        <w:numPr>
          <w:ilvl w:val="0"/>
          <w:numId w:val="0"/>
        </w:numPr>
        <w:ind w:left="425"/>
        <w:rPr>
          <w:rtl/>
          <w:lang w:val="en-IL"/>
        </w:rPr>
      </w:pPr>
      <w:r w:rsidRPr="000F65C9">
        <w:rPr>
          <w:rtl/>
          <w:lang w:val="en-IL"/>
        </w:rPr>
        <w:t xml:space="preserve">בסוגיה בברכות, כל השאלות על טומאת מת קשורות </w:t>
      </w:r>
      <w:r w:rsidR="00253E8B" w:rsidRPr="000F65C9">
        <w:rPr>
          <w:rFonts w:hint="cs"/>
          <w:rtl/>
          <w:lang w:val="en-IL"/>
        </w:rPr>
        <w:t>לכוהני</w:t>
      </w:r>
      <w:r w:rsidR="00253E8B" w:rsidRPr="000F65C9">
        <w:rPr>
          <w:rFonts w:hint="eastAsia"/>
          <w:rtl/>
          <w:lang w:val="en-IL"/>
        </w:rPr>
        <w:t>ם</w:t>
      </w:r>
      <w:r w:rsidRPr="000F65C9">
        <w:rPr>
          <w:rtl/>
          <w:lang w:val="en-IL"/>
        </w:rPr>
        <w:t xml:space="preserve">, מהסיבה הפשוטה שטומאת מת היא חטא מדאורייתא רק </w:t>
      </w:r>
      <w:r w:rsidR="00253E8B" w:rsidRPr="000F65C9">
        <w:rPr>
          <w:rFonts w:hint="cs"/>
          <w:rtl/>
          <w:lang w:val="en-IL"/>
        </w:rPr>
        <w:t>לכוהני</w:t>
      </w:r>
      <w:r w:rsidR="00253E8B" w:rsidRPr="000F65C9">
        <w:rPr>
          <w:rFonts w:hint="eastAsia"/>
          <w:rtl/>
          <w:lang w:val="en-IL"/>
        </w:rPr>
        <w:t>ם</w:t>
      </w:r>
      <w:r w:rsidRPr="000F65C9">
        <w:rPr>
          <w:rtl/>
          <w:lang w:val="en-IL"/>
        </w:rPr>
        <w:t xml:space="preserve">. לעומת זאת, חלק מהסוגיות בנזיר מובאות בלי הקשר </w:t>
      </w:r>
      <w:r w:rsidR="00253E8B" w:rsidRPr="000F65C9">
        <w:rPr>
          <w:rFonts w:hint="cs"/>
          <w:rtl/>
          <w:lang w:val="en-IL"/>
        </w:rPr>
        <w:t>לכוהני</w:t>
      </w:r>
      <w:r w:rsidR="00253E8B" w:rsidRPr="000F65C9">
        <w:rPr>
          <w:rFonts w:hint="eastAsia"/>
          <w:rtl/>
          <w:lang w:val="en-IL"/>
        </w:rPr>
        <w:t>ם</w:t>
      </w:r>
      <w:r w:rsidRPr="000F65C9">
        <w:rPr>
          <w:rtl/>
          <w:lang w:val="en-IL"/>
        </w:rPr>
        <w:t xml:space="preserve"> ומדברות על כלל ישראל.</w:t>
      </w:r>
      <w:r w:rsidR="00D433CC">
        <w:rPr>
          <w:rStyle w:val="FootnoteReference"/>
          <w:rtl/>
          <w:lang w:val="en-IL"/>
        </w:rPr>
        <w:footnoteReference w:id="18"/>
      </w:r>
      <w:r w:rsidRPr="000F65C9">
        <w:rPr>
          <w:rtl/>
          <w:lang w:val="en-IL"/>
        </w:rPr>
        <w:t xml:space="preserve"> </w:t>
      </w:r>
      <w:r w:rsidRPr="000F65C9">
        <w:rPr>
          <w:rtl/>
          <w:lang w:val="en-IL"/>
        </w:rPr>
        <w:lastRenderedPageBreak/>
        <w:t xml:space="preserve">המבנה בברכות הרבה יותר ברור – במקום "מהו שייטמא </w:t>
      </w:r>
      <w:r w:rsidRPr="000F65C9">
        <w:rPr>
          <w:lang w:val="en-IL"/>
        </w:rPr>
        <w:t>X</w:t>
      </w:r>
      <w:r w:rsidRPr="000F65C9">
        <w:rPr>
          <w:rtl/>
          <w:lang w:val="en-IL"/>
        </w:rPr>
        <w:t>", יש לנו "כהן מהו שייטמא" או "מהו שייטמא כהן", ובנוסף הקשר בין המבנה לתוכן יותר הגיוני. </w:t>
      </w:r>
    </w:p>
    <w:p w14:paraId="43011EC3" w14:textId="3A4D180B" w:rsidR="000F65C9" w:rsidRPr="000F65C9" w:rsidRDefault="000F65C9" w:rsidP="000F65C9">
      <w:pPr>
        <w:pStyle w:val="ListParagraph"/>
        <w:rPr>
          <w:rtl/>
          <w:lang w:val="en-IL"/>
        </w:rPr>
      </w:pPr>
      <w:r w:rsidRPr="000F65C9">
        <w:rPr>
          <w:b/>
          <w:bCs/>
          <w:rtl/>
          <w:lang w:val="en-IL"/>
        </w:rPr>
        <w:t xml:space="preserve">הקשר כללי – </w:t>
      </w:r>
      <w:r w:rsidRPr="000F65C9">
        <w:rPr>
          <w:rtl/>
          <w:lang w:val="en-IL"/>
        </w:rPr>
        <w:t>ישנן מספר אנקדוטות בסוגיה שמובילות אותנו חזרה לנושאי אבל\כבוד המת, שבנזיר הן חסרות כל פשר. דוגמא טובה היא המשנה שמובאת לאחר האגדתא שמופיעה בצמוד לסוגייתנו – "תַּנִּי הַכַּתָּפִים</w:t>
      </w:r>
      <w:r w:rsidR="0001209E">
        <w:rPr>
          <w:rStyle w:val="FootnoteReference"/>
          <w:rtl/>
          <w:lang w:val="en-IL"/>
        </w:rPr>
        <w:footnoteReference w:id="19"/>
      </w:r>
      <w:r w:rsidRPr="000F65C9">
        <w:rPr>
          <w:rtl/>
          <w:lang w:val="en-IL"/>
        </w:rPr>
        <w:t xml:space="preserve"> אֲסוּרִים בִּנְעִילַת הַסַּנְדָּל שֶׁמָּא יִפְסֹק סַנְדָּלוֹ שֶׁלְּאֶחָד מֵהֶן וְנִמְצָא מִתְעַכֵּב מִן הַמִּצְוֹת." אין כאן קשר כלל למשנה בנזיר – זה מצביע על האורגניות של הסוגיה כשמסתכלים עליה בהקשר של "מי שמתו", בניגוד לסוגיות בנזיר שאמורות להתמקד בטומאת כהן.</w:t>
      </w:r>
    </w:p>
    <w:p w14:paraId="07C06CCB" w14:textId="63366A1D" w:rsidR="000F65C9" w:rsidRPr="000F65C9" w:rsidRDefault="000F65C9" w:rsidP="00A14A3A">
      <w:pPr>
        <w:ind w:firstLine="0"/>
        <w:rPr>
          <w:rtl/>
          <w:lang w:val="en-IL"/>
        </w:rPr>
      </w:pPr>
      <w:r w:rsidRPr="000F65C9">
        <w:rPr>
          <w:rtl/>
          <w:lang w:val="en-IL"/>
        </w:rPr>
        <w:t xml:space="preserve">עכשיו כשהוכחנו </w:t>
      </w:r>
      <w:r w:rsidR="00253E8B" w:rsidRPr="000F65C9">
        <w:rPr>
          <w:rFonts w:hint="cs"/>
          <w:rtl/>
          <w:lang w:val="en-IL"/>
        </w:rPr>
        <w:t>שהסוגיי</w:t>
      </w:r>
      <w:r w:rsidR="00253E8B" w:rsidRPr="000F65C9">
        <w:rPr>
          <w:rFonts w:hint="eastAsia"/>
          <w:rtl/>
          <w:lang w:val="en-IL"/>
        </w:rPr>
        <w:t>ה</w:t>
      </w:r>
      <w:r w:rsidRPr="000F65C9">
        <w:rPr>
          <w:rtl/>
          <w:lang w:val="en-IL"/>
        </w:rPr>
        <w:t xml:space="preserve"> בברכות הגיעה קודם, נשאל: למה השינויים? למה ההבדלים בנוסח? רוב הסוגייה מועתקת מילה במילה, אבל ישנם שינויי גרסאות שלא נראים מקריים בכלל, במיוחד מה שצוין בסעיף ב' – שבמקרים </w:t>
      </w:r>
      <w:proofErr w:type="spellStart"/>
      <w:r w:rsidRPr="000F65C9">
        <w:rPr>
          <w:rtl/>
          <w:lang w:val="en-IL"/>
        </w:rPr>
        <w:t>מסויימים</w:t>
      </w:r>
      <w:proofErr w:type="spellEnd"/>
      <w:r w:rsidRPr="000F65C9">
        <w:rPr>
          <w:rtl/>
          <w:lang w:val="en-IL"/>
        </w:rPr>
        <w:t xml:space="preserve"> "כהן" מוחלף ב"אדם" או נמחק לגמרי. למה שהמעתיקים ישנו את המינוח כך? בואו נביט בכמה מהמקומות ששונו בנזיר:</w:t>
      </w:r>
    </w:p>
    <w:p w14:paraId="7C1A62F0" w14:textId="77777777" w:rsidR="000F65C9" w:rsidRPr="000F65C9" w:rsidRDefault="000F65C9" w:rsidP="00A14A3A">
      <w:pPr>
        <w:pStyle w:val="Quote"/>
        <w:rPr>
          <w:lang w:val="en-IL"/>
        </w:rPr>
      </w:pPr>
      <w:r w:rsidRPr="000F65C9">
        <w:rPr>
          <w:rtl/>
          <w:lang w:val="en-IL"/>
        </w:rPr>
        <w:t>מַהוּ שֶׁיִּטָּמֵא לִכְבוֹד רַבּוֹ.</w:t>
      </w:r>
    </w:p>
    <w:p w14:paraId="1B527E10" w14:textId="77777777" w:rsidR="000F65C9" w:rsidRPr="000F65C9" w:rsidRDefault="000F65C9" w:rsidP="00A14A3A">
      <w:pPr>
        <w:pStyle w:val="Quote"/>
        <w:rPr>
          <w:rtl/>
          <w:lang w:val="en-IL"/>
        </w:rPr>
      </w:pPr>
      <w:r w:rsidRPr="000F65C9">
        <w:rPr>
          <w:rtl/>
          <w:lang w:val="en-IL"/>
        </w:rPr>
        <w:t xml:space="preserve">מַהוּ שֶׁיִּטָּמֵא </w:t>
      </w:r>
      <w:r w:rsidRPr="000F65C9">
        <w:rPr>
          <w:i/>
          <w:iCs/>
          <w:rtl/>
          <w:lang w:val="en-IL"/>
        </w:rPr>
        <w:t>אָדָם</w:t>
      </w:r>
      <w:r w:rsidRPr="000F65C9">
        <w:rPr>
          <w:rtl/>
          <w:lang w:val="en-IL"/>
        </w:rPr>
        <w:t xml:space="preserve"> לְתַלְמוּד תּוֹרָה.</w:t>
      </w:r>
    </w:p>
    <w:p w14:paraId="46BADC71" w14:textId="77777777" w:rsidR="000F65C9" w:rsidRPr="000F65C9" w:rsidRDefault="000F65C9" w:rsidP="00A14A3A">
      <w:pPr>
        <w:pStyle w:val="Quote"/>
        <w:rPr>
          <w:rtl/>
          <w:lang w:val="en-IL"/>
        </w:rPr>
      </w:pPr>
      <w:r w:rsidRPr="000F65C9">
        <w:rPr>
          <w:rtl/>
          <w:lang w:val="en-IL"/>
        </w:rPr>
        <w:t>מַהוּ שֶׁיִּטָּמֵא לִכְבוֹד אָבִיו וְאִמּוֹ.</w:t>
      </w:r>
    </w:p>
    <w:p w14:paraId="09A7B079" w14:textId="5A42E0FC" w:rsidR="000F65C9" w:rsidRPr="000F65C9" w:rsidRDefault="000F65C9" w:rsidP="00A14A3A">
      <w:pPr>
        <w:pStyle w:val="Quote"/>
        <w:rPr>
          <w:rtl/>
          <w:lang w:val="en-IL"/>
        </w:rPr>
      </w:pPr>
      <w:r w:rsidRPr="000F65C9">
        <w:rPr>
          <w:rtl/>
          <w:lang w:val="en-IL"/>
        </w:rPr>
        <w:t xml:space="preserve">מַהוּ שֶׁיִּטָּמֵא </w:t>
      </w:r>
      <w:r w:rsidRPr="000F65C9">
        <w:rPr>
          <w:i/>
          <w:iCs/>
          <w:rtl/>
          <w:lang w:val="en-IL"/>
        </w:rPr>
        <w:t>אָדָם</w:t>
      </w:r>
      <w:r w:rsidRPr="000F65C9">
        <w:rPr>
          <w:rtl/>
          <w:lang w:val="en-IL"/>
        </w:rPr>
        <w:t xml:space="preserve"> לִכְבוֹד הָרַבִּים</w:t>
      </w:r>
      <w:r w:rsidR="00253E8B">
        <w:rPr>
          <w:rFonts w:hint="cs"/>
          <w:rtl/>
          <w:lang w:val="en-IL"/>
        </w:rPr>
        <w:t xml:space="preserve"> </w:t>
      </w:r>
      <w:r w:rsidR="003624B8">
        <w:rPr>
          <w:rtl/>
          <w:lang w:val="en-IL"/>
        </w:rPr>
        <w:t xml:space="preserve"> (</w:t>
      </w:r>
      <w:r w:rsidR="00253E8B" w:rsidRPr="000F65C9">
        <w:rPr>
          <w:rFonts w:hint="cs"/>
          <w:rtl/>
          <w:lang w:val="en-IL"/>
        </w:rPr>
        <w:t>החוליי</w:t>
      </w:r>
      <w:r w:rsidR="00253E8B" w:rsidRPr="000F65C9">
        <w:rPr>
          <w:rFonts w:hint="eastAsia"/>
          <w:rtl/>
          <w:lang w:val="en-IL"/>
        </w:rPr>
        <w:t>ה</w:t>
      </w:r>
      <w:r w:rsidRPr="000F65C9">
        <w:rPr>
          <w:rtl/>
          <w:lang w:val="en-IL"/>
        </w:rPr>
        <w:t xml:space="preserve"> האחרונה במבנה).</w:t>
      </w:r>
    </w:p>
    <w:p w14:paraId="3AEF8057" w14:textId="77777777" w:rsidR="000F65C9" w:rsidRPr="000F65C9" w:rsidRDefault="000F65C9" w:rsidP="000E4629">
      <w:pPr>
        <w:ind w:firstLine="0"/>
        <w:rPr>
          <w:lang w:val="en-IL"/>
        </w:rPr>
      </w:pPr>
      <w:r w:rsidRPr="000F65C9">
        <w:rPr>
          <w:rtl/>
          <w:lang w:val="en-IL"/>
        </w:rPr>
        <w:t>לגבי המחיקות אי אפשר להגיד בצורה ברורה האם זה בכוונת מכוון ולא השמטה\קיצור, אך לגבי 2 המקרים בהם נאמר "אדם" – תלמוד תורה וכבוד הרבים – אני רוצה להוכיח שהם נוגעים במהות של ההבדל בין גישות הבבלי והירושלמי לנושא הזה. קודם כל, הסיפור שמובא בברכות בהקשר של כבוד הרבים משיק בין הירושלמי לבבלי, עם הבדל מהותי בנוסח: בירושלמי הוא מופיע כך-</w:t>
      </w:r>
    </w:p>
    <w:p w14:paraId="111B6818" w14:textId="77777777" w:rsidR="000F65C9" w:rsidRPr="000F65C9" w:rsidRDefault="000F65C9" w:rsidP="00FF1225">
      <w:pPr>
        <w:pStyle w:val="Quote"/>
        <w:rPr>
          <w:rtl/>
          <w:lang w:val="en-IL"/>
        </w:rPr>
      </w:pPr>
      <w:r w:rsidRPr="000F65C9">
        <w:rPr>
          <w:rtl/>
          <w:lang w:val="en-IL"/>
        </w:rPr>
        <w:t xml:space="preserve">תַּנִּי הָיוּ שָׁם שְׁתֵּי דְרָכִים מַתְאִימוֹת אַחַת רְחוֹקָה וּטְהוֹרָה וְאַחַת קְרוֹבָה וּטְמֵאָה. אִם הָיוּ הָרַבִּים </w:t>
      </w:r>
      <w:proofErr w:type="spellStart"/>
      <w:r w:rsidRPr="000F65C9">
        <w:rPr>
          <w:rtl/>
          <w:lang w:val="en-IL"/>
        </w:rPr>
        <w:t>הוֹלְכִין</w:t>
      </w:r>
      <w:proofErr w:type="spellEnd"/>
      <w:r w:rsidRPr="000F65C9">
        <w:rPr>
          <w:rtl/>
          <w:lang w:val="en-IL"/>
        </w:rPr>
        <w:t xml:space="preserve"> בָּרְחוֹקָה הוֹלֵךְ בָּרְחוֹקָה אִם לָאו הוֹלֵךְ בַּקְּרוֹבָה מִפְּנֵי </w:t>
      </w:r>
      <w:r w:rsidRPr="000F65C9">
        <w:rPr>
          <w:b/>
          <w:bCs/>
          <w:rtl/>
          <w:lang w:val="en-IL"/>
        </w:rPr>
        <w:t xml:space="preserve">כְבוֹד </w:t>
      </w:r>
      <w:r w:rsidRPr="000F65C9">
        <w:rPr>
          <w:b/>
          <w:bCs/>
          <w:rtl/>
          <w:lang w:val="en-IL"/>
        </w:rPr>
        <w:lastRenderedPageBreak/>
        <w:t>הָרַבִּים. </w:t>
      </w:r>
    </w:p>
    <w:p w14:paraId="63752188" w14:textId="77777777" w:rsidR="000F65C9" w:rsidRPr="000F65C9" w:rsidRDefault="000F65C9" w:rsidP="00FF1225">
      <w:pPr>
        <w:ind w:firstLine="0"/>
        <w:rPr>
          <w:rtl/>
          <w:lang w:val="en-IL"/>
        </w:rPr>
      </w:pPr>
      <w:r w:rsidRPr="000F65C9">
        <w:rPr>
          <w:rtl/>
          <w:lang w:val="en-IL"/>
        </w:rPr>
        <w:t>ובבבלי כך:</w:t>
      </w:r>
    </w:p>
    <w:p w14:paraId="1F943CD1" w14:textId="77777777" w:rsidR="000F65C9" w:rsidRPr="000F65C9" w:rsidRDefault="000F65C9" w:rsidP="00FF1225">
      <w:pPr>
        <w:pStyle w:val="Quote"/>
        <w:rPr>
          <w:rtl/>
          <w:lang w:val="en-IL"/>
        </w:rPr>
      </w:pPr>
      <w:proofErr w:type="spellStart"/>
      <w:r w:rsidRPr="000F65C9">
        <w:rPr>
          <w:rtl/>
          <w:lang w:val="en-IL"/>
        </w:rPr>
        <w:t>מֵתִיבִי</w:t>
      </w:r>
      <w:proofErr w:type="spellEnd"/>
      <w:r w:rsidRPr="000F65C9">
        <w:rPr>
          <w:rtl/>
          <w:lang w:val="en-IL"/>
        </w:rPr>
        <w:t xml:space="preserve">: קָבְרוּ אֶת הַמֵּת וְחָזְרוּ, וְלִפְנֵיהֶם שְׁתֵּי דְרָכִים, אַחַת טְהוֹרָה וְאַחַת טְמֵאָה, בָּא בַּטְּהוֹרָה — בָּאִין עִמּוֹ בַּטְּהוֹרָה, בָּא בַּטְּמֵאָה — בָּאִין עִמּוֹ בַּטְּמֵאָה מִשּׁוּם </w:t>
      </w:r>
      <w:r w:rsidRPr="000F65C9">
        <w:rPr>
          <w:b/>
          <w:bCs/>
          <w:rtl/>
          <w:lang w:val="en-IL"/>
        </w:rPr>
        <w:t xml:space="preserve">כְּבוֹדוֹ.                         </w:t>
      </w:r>
      <w:r w:rsidRPr="000F65C9">
        <w:rPr>
          <w:rtl/>
          <w:lang w:val="en-IL"/>
        </w:rPr>
        <w:t>                                   </w:t>
      </w:r>
    </w:p>
    <w:p w14:paraId="14EDF2AC" w14:textId="6265DA51" w:rsidR="000F65C9" w:rsidRPr="000F65C9" w:rsidRDefault="000F65C9" w:rsidP="00427E23">
      <w:pPr>
        <w:ind w:firstLine="0"/>
        <w:rPr>
          <w:rtl/>
          <w:lang w:val="en-IL"/>
        </w:rPr>
      </w:pPr>
      <w:r w:rsidRPr="000F65C9">
        <w:rPr>
          <w:rtl/>
          <w:lang w:val="en-IL"/>
        </w:rPr>
        <w:t>לאף אחד מהסיפורים הללו אין מקור במשנה, ונראה שהסיפור בבבלי הגיע כתוצאה משילוב בין הירושלמי למשנה אחרת בברכות</w:t>
      </w:r>
      <w:r w:rsidR="003510C6">
        <w:rPr>
          <w:rFonts w:hint="cs"/>
          <w:rtl/>
          <w:lang w:val="en-IL"/>
        </w:rPr>
        <w:t>.</w:t>
      </w:r>
      <w:r w:rsidR="006D260B">
        <w:rPr>
          <w:rStyle w:val="FootnoteReference"/>
          <w:rtl/>
          <w:lang w:val="en-IL"/>
        </w:rPr>
        <w:footnoteReference w:id="20"/>
      </w:r>
      <w:r w:rsidRPr="000F65C9">
        <w:rPr>
          <w:rtl/>
          <w:lang w:val="en-IL"/>
        </w:rPr>
        <w:t xml:space="preserve"> ההבדל הזה מדגים קודם כל את הטרנספורמציה שעבר המושג בין הירושלמי לבבלי ברמה המילולית ממש – מקולקטיבי לאינדיבידואלי; מהיחיד שמכבד את הרבים, לרבים שמכבדים את ה"ברייה", כפי שראינו בירושלמי במגילה</w:t>
      </w:r>
      <w:r w:rsidR="00ED0A77">
        <w:rPr>
          <w:rFonts w:hint="cs"/>
          <w:rtl/>
          <w:lang w:val="en-IL"/>
        </w:rPr>
        <w:t xml:space="preserve"> </w:t>
      </w:r>
      <w:r w:rsidR="003624B8">
        <w:rPr>
          <w:rtl/>
          <w:lang w:val="en-IL"/>
        </w:rPr>
        <w:t xml:space="preserve"> (</w:t>
      </w:r>
      <w:r w:rsidRPr="000F65C9">
        <w:rPr>
          <w:rtl/>
          <w:lang w:val="en-IL"/>
        </w:rPr>
        <w:t>מה שגם מסביר בצורה אלגנטית למדי למה הוא איבד מסמכותו). האור לישרים אומר:</w:t>
      </w:r>
    </w:p>
    <w:p w14:paraId="078374AC" w14:textId="2164025D" w:rsidR="000F65C9" w:rsidRPr="000F65C9" w:rsidRDefault="000F65C9" w:rsidP="00B615C5">
      <w:pPr>
        <w:pStyle w:val="Quote"/>
        <w:rPr>
          <w:rFonts w:hint="cs"/>
          <w:rtl/>
          <w:lang w:val="en-IL"/>
        </w:rPr>
      </w:pPr>
      <w:r w:rsidRPr="000F65C9">
        <w:rPr>
          <w:rtl/>
          <w:lang w:val="en-IL"/>
        </w:rPr>
        <w:t xml:space="preserve">בירושלמי אמרו, שכבוד הרבים דוחה לזמן קצר מצוות 'לא תעשה' שבתורה, ולכן כבוד הרבים דוחה אפילו טומאה שהיא מן התורה. ואילו בבבלי אמרו, שכבוד הבריות </w:t>
      </w:r>
      <w:r w:rsidR="003624B8">
        <w:rPr>
          <w:rtl/>
          <w:lang w:val="en-IL"/>
        </w:rPr>
        <w:t xml:space="preserve"> (</w:t>
      </w:r>
      <w:r w:rsidRPr="000F65C9">
        <w:rPr>
          <w:rtl/>
          <w:lang w:val="en-IL"/>
        </w:rPr>
        <w:t xml:space="preserve">כבודו של אדם) דוחה מצוות 'לא תעשה' </w:t>
      </w:r>
      <w:r w:rsidR="003624B8">
        <w:rPr>
          <w:rtl/>
          <w:lang w:val="en-IL"/>
        </w:rPr>
        <w:t xml:space="preserve"> (</w:t>
      </w:r>
      <w:r w:rsidRPr="000F65C9">
        <w:rPr>
          <w:rtl/>
          <w:lang w:val="en-IL"/>
        </w:rPr>
        <w:t>איסורים) שהם מדבריהם, ולכן כבוד הבריות דוחה רק טומאה שהיא מדבריהם. הירושלמי דן בכבודם של הרבים, ואילו הבבלי דן בכבודו של היחיד.</w:t>
      </w:r>
      <w:r w:rsidR="00EA03B5">
        <w:rPr>
          <w:rStyle w:val="FootnoteReference"/>
          <w:rtl/>
          <w:lang w:val="en-IL"/>
        </w:rPr>
        <w:footnoteReference w:id="21"/>
      </w:r>
    </w:p>
    <w:p w14:paraId="591FA933" w14:textId="16A98955" w:rsidR="000F65C9" w:rsidRPr="000F65C9" w:rsidRDefault="000F65C9" w:rsidP="00B615C5">
      <w:pPr>
        <w:ind w:firstLine="0"/>
        <w:rPr>
          <w:rtl/>
          <w:lang w:val="en-IL"/>
        </w:rPr>
      </w:pPr>
      <w:r w:rsidRPr="000F65C9">
        <w:rPr>
          <w:rtl/>
          <w:lang w:val="en-IL"/>
        </w:rPr>
        <w:t>דבר שני</w:t>
      </w:r>
      <w:r w:rsidR="00B615C5">
        <w:rPr>
          <w:rFonts w:hint="cs"/>
          <w:rtl/>
          <w:lang w:val="en-IL"/>
        </w:rPr>
        <w:t xml:space="preserve"> </w:t>
      </w:r>
      <w:r w:rsidR="003624B8">
        <w:rPr>
          <w:rtl/>
          <w:lang w:val="en-IL"/>
        </w:rPr>
        <w:t xml:space="preserve"> (</w:t>
      </w:r>
      <w:r w:rsidRPr="000F65C9">
        <w:rPr>
          <w:rtl/>
          <w:lang w:val="en-IL"/>
        </w:rPr>
        <w:t>ויותר חשוב), ידוע לנו שבהרבה מקרים תועדו הגהות או עריכות בירושלמי שנעשו על פי הבבלי, כפי שקרה בהחלפה בין כבוד הרבים וכבוד הבריות. אני רוצה לטעון – הגישה הכללית בבבלי למושג כבוד הבריות נראית פה בבירור; השאלות בברכות הן "מהו שייטמא כהן לכבוד תורה" ו"מהו שייטמא כהן לכבוד הרבים". על פי הגישה של הבבלי, אין אופציה לשאול שאלות כאלו. לכהן אסור להיטמא למת מדאורייתא, ושום כבוד</w:t>
      </w:r>
      <w:r w:rsidR="007302F1">
        <w:rPr>
          <w:rStyle w:val="FootnoteReference"/>
          <w:rtl/>
          <w:lang w:val="en-IL"/>
        </w:rPr>
        <w:footnoteReference w:id="22"/>
      </w:r>
      <w:r w:rsidRPr="000F65C9">
        <w:rPr>
          <w:rtl/>
          <w:lang w:val="en-IL"/>
        </w:rPr>
        <w:t xml:space="preserve"> לא יכול לגבור על דין זה. השאלה </w:t>
      </w:r>
      <w:r w:rsidRPr="000F65C9">
        <w:rPr>
          <w:rtl/>
          <w:lang w:val="en-IL"/>
        </w:rPr>
        <w:lastRenderedPageBreak/>
        <w:t>האם טומאה נחשבת חטא לישראל נידונה בגמרא והמסקנה היא שלא, אבל גם בעולם שבו היא כן – היא הייתה דרבנן לחלוטין, ואני מאמין שזו הסיבה לשינוי הזה. בניית הנראטיב של הגמרא, על פיו כבוד הבריות לא דוחה דאורייתא, מאוימת ע"י הסוגייה הזו ולכן העתיקו אותה עם השינויים הללו.</w:t>
      </w:r>
    </w:p>
    <w:p w14:paraId="2EAAE4A4" w14:textId="136C8332" w:rsidR="000F65C9" w:rsidRPr="000F65C9" w:rsidRDefault="000F65C9" w:rsidP="000F65C9">
      <w:pPr>
        <w:rPr>
          <w:rtl/>
          <w:lang w:val="en-IL"/>
        </w:rPr>
      </w:pPr>
      <w:r w:rsidRPr="000F65C9">
        <w:rPr>
          <w:rtl/>
          <w:lang w:val="en-IL"/>
        </w:rPr>
        <w:t>המסקנה מכל זה היא: הגמרא נזהרת מהמשפט "גדול כבוד הבריות". היא לא מבינה את המשמעות המלאה של כבוד הבריות, אבל ממה שמובן לה מדובר במושג אמורפי שכל ניסיון להגדיר אותו במדויק או להצמיד אותו לעיקרון אחר ייכשל, והיא בהחלט לא רוצה לייחס לו כוח על דיני דאורייתא. לכן היה צורך להחליש אותו למצב שבו הוא גובר רק על דרבנן. לגמרא פשוט לא היה המשפט המלא; לו היה לה אותו, המושג כבוד הבריות היה כנראה מקבל סטטוס שונה לגמרי. על כל פנים, נתון לנו שהמצב הוא כך: בכל מצב שבו הגמרא רוצה לבטל את כבוד הבריות, היא צריכה שהצד הנגדי בסוגייה יהיה דאורייתא.</w:t>
      </w:r>
      <w:r w:rsidR="008C5A99">
        <w:rPr>
          <w:rStyle w:val="FootnoteReference"/>
          <w:rtl/>
          <w:lang w:val="en-IL"/>
        </w:rPr>
        <w:footnoteReference w:id="23"/>
      </w:r>
      <w:r w:rsidRPr="000F65C9">
        <w:rPr>
          <w:rtl/>
          <w:lang w:val="en-IL"/>
        </w:rPr>
        <w:t xml:space="preserve"> כלומר, לא יהיה זה טיפשי להניח שהגמרא מייחסת לכבוד הבריות כוח לגבור ממש על כל דיני דרבנן, כאשר היא רלוונטית. למה ניתן למושג הזה כל כך הרבה כוח מלכתחילה? בעיניי, נראה מכל השימושים שלו שזהו מושג יסוד בהלכה. בסופו של דבר, התפקיד של הגמרא הוא למסד את ההלכה ולוודא שיהיו לה רגליים איתנות עליהן תוכל לעמוד, לבל יבואו בני אדם ויסלפו דברי אלוקים חיים על פי גחמותיהם האישיות משום שניתן להם החופש לפרש הכל כאוות נפשם. אבל מתחת לכל ההגדרות החזקות שהגמרא נותנת, עומדים עקרונות- המושג כבוד הבריות נותן לנו הצצה אל תוך המנגנון: אם יש מקרה שבו נראה שהתורה פוגעת בכבודם האישי של בני אדם ללא סיבה מוצדקת- הגמרא יודעת שזה לא באמת כך, ושגם אם התשובות עלומות, עלינו להניח שאסור לפסוק שאדם יתחייב להשפיל או לבזות את עצמו או אחרים, בבחינת "כל נתיבותיה שלום".</w:t>
      </w:r>
    </w:p>
    <w:p w14:paraId="29DFE628" w14:textId="77777777" w:rsidR="000F65C9" w:rsidRPr="000F65C9" w:rsidRDefault="000F65C9" w:rsidP="000F65C9">
      <w:pPr>
        <w:rPr>
          <w:rFonts w:hint="cs"/>
          <w:lang w:val="en-IL"/>
        </w:rPr>
      </w:pPr>
    </w:p>
    <w:sectPr w:rsidR="000F65C9" w:rsidRPr="000F65C9"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FD73" w14:textId="77777777" w:rsidR="0063250C" w:rsidRDefault="0063250C" w:rsidP="00612B20">
      <w:pPr>
        <w:spacing w:line="240" w:lineRule="auto"/>
      </w:pPr>
      <w:r>
        <w:separator/>
      </w:r>
    </w:p>
  </w:endnote>
  <w:endnote w:type="continuationSeparator" w:id="0">
    <w:p w14:paraId="7A7B7441" w14:textId="77777777" w:rsidR="0063250C" w:rsidRDefault="0063250C"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892E"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3B8A" w14:textId="77777777" w:rsidR="0063250C" w:rsidRDefault="0063250C" w:rsidP="008D6718">
      <w:pPr>
        <w:spacing w:line="240" w:lineRule="auto"/>
        <w:ind w:firstLine="0"/>
        <w:rPr>
          <w:rtl/>
        </w:rPr>
      </w:pPr>
    </w:p>
  </w:footnote>
  <w:footnote w:type="continuationSeparator" w:id="0">
    <w:p w14:paraId="0A8DA8A7" w14:textId="77777777" w:rsidR="0063250C" w:rsidRPr="00187664" w:rsidRDefault="0063250C" w:rsidP="00187664">
      <w:pPr>
        <w:pStyle w:val="Footer"/>
        <w:rPr>
          <w:szCs w:val="22"/>
          <w:rtl/>
        </w:rPr>
      </w:pPr>
    </w:p>
  </w:footnote>
  <w:footnote w:id="1">
    <w:p w14:paraId="29E77F0A" w14:textId="011E0861" w:rsidR="00F83FB9" w:rsidRDefault="00F83FB9">
      <w:pPr>
        <w:pStyle w:val="FootnoteText"/>
        <w:rPr>
          <w:rFonts w:hint="cs"/>
        </w:rPr>
      </w:pPr>
      <w:r>
        <w:rPr>
          <w:rStyle w:val="FootnoteReference"/>
        </w:rPr>
        <w:footnoteRef/>
      </w:r>
      <w:r>
        <w:rPr>
          <w:rtl/>
        </w:rPr>
        <w:t xml:space="preserve"> </w:t>
      </w:r>
      <w:r w:rsidR="00FF6D00">
        <w:rPr>
          <w:rtl/>
        </w:rPr>
        <w:tab/>
      </w:r>
      <w:r w:rsidRPr="00F83FB9">
        <w:rPr>
          <w:rFonts w:hint="eastAsia"/>
          <w:rtl/>
        </w:rPr>
        <w:t>קידושין</w:t>
      </w:r>
      <w:r w:rsidRPr="00F83FB9">
        <w:rPr>
          <w:rtl/>
        </w:rPr>
        <w:t xml:space="preserve"> </w:t>
      </w:r>
      <w:r w:rsidRPr="00F83FB9">
        <w:rPr>
          <w:rFonts w:hint="eastAsia"/>
          <w:rtl/>
        </w:rPr>
        <w:t>ל״ב</w:t>
      </w:r>
      <w:r w:rsidRPr="00F83FB9">
        <w:rPr>
          <w:rtl/>
        </w:rPr>
        <w:t xml:space="preserve"> </w:t>
      </w:r>
      <w:r w:rsidRPr="00F83FB9">
        <w:rPr>
          <w:rFonts w:hint="eastAsia"/>
          <w:rtl/>
        </w:rPr>
        <w:t>ב</w:t>
      </w:r>
    </w:p>
  </w:footnote>
  <w:footnote w:id="2">
    <w:p w14:paraId="0570D0AF" w14:textId="0EAEB5C9" w:rsidR="001114D3" w:rsidRDefault="001114D3" w:rsidP="001114D3">
      <w:pPr>
        <w:pStyle w:val="FootnoteText"/>
        <w:tabs>
          <w:tab w:val="left" w:pos="2204"/>
        </w:tabs>
        <w:rPr>
          <w:rFonts w:hint="cs"/>
          <w:rtl/>
        </w:rPr>
      </w:pPr>
      <w:r>
        <w:rPr>
          <w:rStyle w:val="FootnoteReference"/>
        </w:rPr>
        <w:footnoteRef/>
      </w:r>
      <w:r>
        <w:rPr>
          <w:rtl/>
        </w:rPr>
        <w:t xml:space="preserve"> </w:t>
      </w:r>
      <w:r w:rsidR="00FF6D00">
        <w:rPr>
          <w:rtl/>
        </w:rPr>
        <w:tab/>
      </w:r>
      <w:r w:rsidRPr="001114D3">
        <w:rPr>
          <w:rFonts w:hint="eastAsia"/>
          <w:rtl/>
        </w:rPr>
        <w:t>בבא</w:t>
      </w:r>
      <w:r w:rsidRPr="001114D3">
        <w:rPr>
          <w:rtl/>
        </w:rPr>
        <w:t xml:space="preserve"> </w:t>
      </w:r>
      <w:r w:rsidRPr="001114D3">
        <w:rPr>
          <w:rFonts w:hint="eastAsia"/>
          <w:rtl/>
        </w:rPr>
        <w:t>קמא</w:t>
      </w:r>
      <w:r w:rsidRPr="001114D3">
        <w:rPr>
          <w:rtl/>
        </w:rPr>
        <w:t xml:space="preserve"> </w:t>
      </w:r>
      <w:r w:rsidRPr="001114D3">
        <w:rPr>
          <w:rFonts w:hint="eastAsia"/>
          <w:rtl/>
        </w:rPr>
        <w:t>ע״ט</w:t>
      </w:r>
      <w:r w:rsidRPr="001114D3">
        <w:rPr>
          <w:rtl/>
        </w:rPr>
        <w:t xml:space="preserve"> </w:t>
      </w:r>
      <w:r w:rsidRPr="001114D3">
        <w:rPr>
          <w:rFonts w:hint="eastAsia"/>
          <w:rtl/>
        </w:rPr>
        <w:t>ב</w:t>
      </w:r>
    </w:p>
  </w:footnote>
  <w:footnote w:id="3">
    <w:p w14:paraId="5EBC583D" w14:textId="36F64862" w:rsidR="004940BB" w:rsidRDefault="004940BB">
      <w:pPr>
        <w:pStyle w:val="FootnoteText"/>
        <w:rPr>
          <w:rFonts w:hint="cs"/>
        </w:rPr>
      </w:pPr>
      <w:r>
        <w:rPr>
          <w:rStyle w:val="FootnoteReference"/>
        </w:rPr>
        <w:footnoteRef/>
      </w:r>
      <w:r w:rsidR="00FF6D00">
        <w:rPr>
          <w:rtl/>
        </w:rPr>
        <w:t xml:space="preserve"> </w:t>
      </w:r>
      <w:r w:rsidR="00FF6D00">
        <w:rPr>
          <w:rtl/>
        </w:rPr>
        <w:tab/>
      </w:r>
      <w:r w:rsidRPr="004940BB">
        <w:rPr>
          <w:rFonts w:hint="eastAsia"/>
          <w:rtl/>
        </w:rPr>
        <w:t>חיבור</w:t>
      </w:r>
      <w:r w:rsidRPr="004940BB">
        <w:rPr>
          <w:rtl/>
        </w:rPr>
        <w:t xml:space="preserve"> </w:t>
      </w:r>
      <w:r w:rsidRPr="004940BB">
        <w:rPr>
          <w:rFonts w:hint="eastAsia"/>
          <w:rtl/>
        </w:rPr>
        <w:t>מתקופת</w:t>
      </w:r>
      <w:r w:rsidRPr="004940BB">
        <w:rPr>
          <w:rtl/>
        </w:rPr>
        <w:t xml:space="preserve"> </w:t>
      </w:r>
      <w:r w:rsidRPr="004940BB">
        <w:rPr>
          <w:rFonts w:hint="eastAsia"/>
          <w:rtl/>
        </w:rPr>
        <w:t>המשנה</w:t>
      </w:r>
      <w:r w:rsidRPr="004940BB">
        <w:rPr>
          <w:rtl/>
        </w:rPr>
        <w:t xml:space="preserve">, </w:t>
      </w:r>
      <w:r w:rsidRPr="004940BB">
        <w:rPr>
          <w:rFonts w:hint="eastAsia"/>
          <w:rtl/>
        </w:rPr>
        <w:t>מיוחס</w:t>
      </w:r>
      <w:r w:rsidRPr="004940BB">
        <w:rPr>
          <w:rtl/>
        </w:rPr>
        <w:t xml:space="preserve"> </w:t>
      </w:r>
      <w:r w:rsidRPr="004940BB">
        <w:rPr>
          <w:rFonts w:hint="eastAsia"/>
          <w:rtl/>
        </w:rPr>
        <w:t>לר</w:t>
      </w:r>
      <w:r w:rsidR="00FF6D00">
        <w:rPr>
          <w:rFonts w:hint="cs"/>
          <w:rtl/>
        </w:rPr>
        <w:t>בי</w:t>
      </w:r>
      <w:r w:rsidRPr="004940BB">
        <w:rPr>
          <w:rtl/>
        </w:rPr>
        <w:t xml:space="preserve"> </w:t>
      </w:r>
      <w:r w:rsidRPr="004940BB">
        <w:rPr>
          <w:rFonts w:hint="eastAsia"/>
          <w:rtl/>
        </w:rPr>
        <w:t>עקיבא</w:t>
      </w:r>
      <w:r w:rsidR="00FF6D00">
        <w:rPr>
          <w:rFonts w:hint="cs"/>
          <w:rtl/>
        </w:rPr>
        <w:t xml:space="preserve"> </w:t>
      </w:r>
      <w:r w:rsidR="003624B8">
        <w:rPr>
          <w:rtl/>
        </w:rPr>
        <w:t>(</w:t>
      </w:r>
      <w:r w:rsidRPr="004940BB">
        <w:rPr>
          <w:rFonts w:hint="eastAsia"/>
          <w:rtl/>
        </w:rPr>
        <w:t>אמצע</w:t>
      </w:r>
      <w:r w:rsidRPr="004940BB">
        <w:rPr>
          <w:rtl/>
        </w:rPr>
        <w:t xml:space="preserve"> </w:t>
      </w:r>
      <w:r w:rsidRPr="004940BB">
        <w:rPr>
          <w:rFonts w:hint="eastAsia"/>
          <w:rtl/>
        </w:rPr>
        <w:t>המאה</w:t>
      </w:r>
      <w:r w:rsidRPr="004940BB">
        <w:rPr>
          <w:rtl/>
        </w:rPr>
        <w:t xml:space="preserve"> </w:t>
      </w:r>
      <w:r w:rsidRPr="004940BB">
        <w:rPr>
          <w:rFonts w:hint="eastAsia"/>
          <w:rtl/>
        </w:rPr>
        <w:t>ה</w:t>
      </w:r>
      <w:r w:rsidRPr="004940BB">
        <w:rPr>
          <w:rtl/>
        </w:rPr>
        <w:t xml:space="preserve">-2 </w:t>
      </w:r>
      <w:r w:rsidRPr="004940BB">
        <w:rPr>
          <w:rFonts w:hint="eastAsia"/>
          <w:rtl/>
        </w:rPr>
        <w:t>לספירה</w:t>
      </w:r>
      <w:r w:rsidRPr="004940BB">
        <w:rPr>
          <w:rtl/>
        </w:rPr>
        <w:t>).</w:t>
      </w:r>
    </w:p>
  </w:footnote>
  <w:footnote w:id="4">
    <w:p w14:paraId="5AC2C028" w14:textId="3C401A0B" w:rsidR="00455360" w:rsidRDefault="00455360">
      <w:pPr>
        <w:pStyle w:val="FootnoteText"/>
        <w:rPr>
          <w:rFonts w:hint="cs"/>
          <w:rtl/>
        </w:rPr>
      </w:pPr>
      <w:r>
        <w:rPr>
          <w:rStyle w:val="FootnoteReference"/>
        </w:rPr>
        <w:footnoteRef/>
      </w:r>
      <w:r>
        <w:rPr>
          <w:rtl/>
        </w:rPr>
        <w:t xml:space="preserve"> </w:t>
      </w:r>
      <w:r w:rsidR="00FF6D00">
        <w:rPr>
          <w:rtl/>
        </w:rPr>
        <w:tab/>
      </w:r>
      <w:r w:rsidRPr="00455360">
        <w:rPr>
          <w:rFonts w:hint="eastAsia"/>
          <w:rtl/>
        </w:rPr>
        <w:t>ספרי</w:t>
      </w:r>
      <w:r w:rsidRPr="00455360">
        <w:rPr>
          <w:rtl/>
        </w:rPr>
        <w:t xml:space="preserve"> </w:t>
      </w:r>
      <w:r w:rsidRPr="00455360">
        <w:rPr>
          <w:rFonts w:hint="eastAsia"/>
          <w:rtl/>
        </w:rPr>
        <w:t>דברים</w:t>
      </w:r>
      <w:r w:rsidRPr="00455360">
        <w:rPr>
          <w:rtl/>
        </w:rPr>
        <w:t xml:space="preserve"> </w:t>
      </w:r>
      <w:r w:rsidRPr="00455360">
        <w:rPr>
          <w:rFonts w:hint="eastAsia"/>
          <w:rtl/>
        </w:rPr>
        <w:t>קצ״ב</w:t>
      </w:r>
    </w:p>
  </w:footnote>
  <w:footnote w:id="5">
    <w:p w14:paraId="093CAF5C" w14:textId="5303C3FF" w:rsidR="007E691D" w:rsidRDefault="007E691D">
      <w:pPr>
        <w:pStyle w:val="FootnoteText"/>
        <w:rPr>
          <w:rFonts w:hint="cs"/>
        </w:rPr>
      </w:pPr>
      <w:r>
        <w:rPr>
          <w:rStyle w:val="FootnoteReference"/>
        </w:rPr>
        <w:footnoteRef/>
      </w:r>
      <w:r>
        <w:rPr>
          <w:rtl/>
        </w:rPr>
        <w:t xml:space="preserve"> </w:t>
      </w:r>
      <w:r w:rsidR="00DB5DA1">
        <w:rPr>
          <w:rtl/>
        </w:rPr>
        <w:tab/>
      </w:r>
      <w:r w:rsidRPr="007E691D">
        <w:rPr>
          <w:rFonts w:hint="eastAsia"/>
          <w:rtl/>
        </w:rPr>
        <w:t>ברכות</w:t>
      </w:r>
      <w:r w:rsidRPr="007E691D">
        <w:rPr>
          <w:rtl/>
        </w:rPr>
        <w:t xml:space="preserve"> </w:t>
      </w:r>
      <w:r w:rsidRPr="007E691D">
        <w:rPr>
          <w:rFonts w:hint="eastAsia"/>
          <w:rtl/>
        </w:rPr>
        <w:t>י״ט</w:t>
      </w:r>
      <w:r w:rsidRPr="007E691D">
        <w:rPr>
          <w:rtl/>
        </w:rPr>
        <w:t xml:space="preserve"> </w:t>
      </w:r>
      <w:r w:rsidRPr="007E691D">
        <w:rPr>
          <w:rFonts w:hint="eastAsia"/>
          <w:rtl/>
        </w:rPr>
        <w:t>ב</w:t>
      </w:r>
    </w:p>
  </w:footnote>
  <w:footnote w:id="6">
    <w:p w14:paraId="3F13E54B" w14:textId="31C9F4E4" w:rsidR="00DF0C0F" w:rsidRDefault="00DF0C0F">
      <w:pPr>
        <w:pStyle w:val="FootnoteText"/>
        <w:rPr>
          <w:rFonts w:hint="cs"/>
          <w:rtl/>
        </w:rPr>
      </w:pPr>
      <w:r>
        <w:rPr>
          <w:rStyle w:val="FootnoteReference"/>
        </w:rPr>
        <w:footnoteRef/>
      </w:r>
      <w:r w:rsidR="00FF6D00">
        <w:rPr>
          <w:rtl/>
        </w:rPr>
        <w:t xml:space="preserve"> </w:t>
      </w:r>
      <w:r w:rsidR="00DB5DA1">
        <w:rPr>
          <w:rtl/>
        </w:rPr>
        <w:tab/>
      </w:r>
      <w:r w:rsidRPr="00DF0C0F">
        <w:rPr>
          <w:rFonts w:hint="eastAsia"/>
          <w:rtl/>
        </w:rPr>
        <w:t>ישנה</w:t>
      </w:r>
      <w:r w:rsidRPr="00DF0C0F">
        <w:rPr>
          <w:rtl/>
        </w:rPr>
        <w:t xml:space="preserve"> </w:t>
      </w:r>
      <w:r w:rsidRPr="00DF0C0F">
        <w:rPr>
          <w:rFonts w:hint="eastAsia"/>
          <w:rtl/>
        </w:rPr>
        <w:t>סוגיה</w:t>
      </w:r>
      <w:r w:rsidRPr="00DF0C0F">
        <w:rPr>
          <w:rtl/>
        </w:rPr>
        <w:t xml:space="preserve"> </w:t>
      </w:r>
      <w:r w:rsidRPr="00DF0C0F">
        <w:rPr>
          <w:rFonts w:hint="eastAsia"/>
          <w:rtl/>
        </w:rPr>
        <w:t>במנחות</w:t>
      </w:r>
      <w:r w:rsidRPr="00DF0C0F">
        <w:rPr>
          <w:rtl/>
        </w:rPr>
        <w:t xml:space="preserve"> </w:t>
      </w:r>
      <w:r w:rsidRPr="00DF0C0F">
        <w:rPr>
          <w:rFonts w:hint="eastAsia"/>
          <w:rtl/>
        </w:rPr>
        <w:t>המביאה</w:t>
      </w:r>
      <w:r w:rsidRPr="00DF0C0F">
        <w:rPr>
          <w:rtl/>
        </w:rPr>
        <w:t xml:space="preserve"> </w:t>
      </w:r>
      <w:r w:rsidRPr="00DF0C0F">
        <w:rPr>
          <w:rFonts w:hint="eastAsia"/>
          <w:rtl/>
        </w:rPr>
        <w:t>את</w:t>
      </w:r>
      <w:r w:rsidRPr="00DF0C0F">
        <w:rPr>
          <w:rtl/>
        </w:rPr>
        <w:t xml:space="preserve"> </w:t>
      </w:r>
      <w:r w:rsidRPr="00DF0C0F">
        <w:rPr>
          <w:rFonts w:hint="eastAsia"/>
          <w:rtl/>
        </w:rPr>
        <w:t>אותו</w:t>
      </w:r>
      <w:r w:rsidRPr="00DF0C0F">
        <w:rPr>
          <w:rtl/>
        </w:rPr>
        <w:t xml:space="preserve"> </w:t>
      </w:r>
      <w:r w:rsidRPr="00DF0C0F">
        <w:rPr>
          <w:rFonts w:hint="eastAsia"/>
          <w:rtl/>
        </w:rPr>
        <w:t>הפירוש</w:t>
      </w:r>
      <w:r w:rsidRPr="00DF0C0F">
        <w:rPr>
          <w:rtl/>
        </w:rPr>
        <w:t xml:space="preserve"> </w:t>
      </w:r>
      <w:r w:rsidRPr="00DF0C0F">
        <w:rPr>
          <w:rFonts w:hint="eastAsia"/>
          <w:rtl/>
        </w:rPr>
        <w:t>בהמשך</w:t>
      </w:r>
      <w:r w:rsidRPr="00DF0C0F">
        <w:rPr>
          <w:rtl/>
        </w:rPr>
        <w:t xml:space="preserve">, </w:t>
      </w:r>
      <w:r w:rsidRPr="00DF0C0F">
        <w:rPr>
          <w:rFonts w:hint="eastAsia"/>
          <w:rtl/>
        </w:rPr>
        <w:t>גם</w:t>
      </w:r>
      <w:r w:rsidRPr="00DF0C0F">
        <w:rPr>
          <w:rtl/>
        </w:rPr>
        <w:t xml:space="preserve"> </w:t>
      </w:r>
      <w:r w:rsidRPr="00DF0C0F">
        <w:rPr>
          <w:rFonts w:hint="eastAsia"/>
          <w:rtl/>
        </w:rPr>
        <w:t>באגדתא</w:t>
      </w:r>
      <w:r w:rsidRPr="00DF0C0F">
        <w:rPr>
          <w:rtl/>
        </w:rPr>
        <w:t xml:space="preserve">. </w:t>
      </w:r>
      <w:r w:rsidRPr="00DF0C0F">
        <w:rPr>
          <w:rFonts w:hint="eastAsia"/>
          <w:rtl/>
        </w:rPr>
        <w:t>הסוגייה</w:t>
      </w:r>
      <w:r w:rsidRPr="00DF0C0F">
        <w:rPr>
          <w:rtl/>
        </w:rPr>
        <w:t xml:space="preserve"> </w:t>
      </w:r>
      <w:r w:rsidRPr="00DF0C0F">
        <w:rPr>
          <w:rFonts w:hint="eastAsia"/>
          <w:rtl/>
        </w:rPr>
        <w:t>בברכות</w:t>
      </w:r>
      <w:r w:rsidRPr="00DF0C0F">
        <w:rPr>
          <w:rtl/>
        </w:rPr>
        <w:t xml:space="preserve"> </w:t>
      </w:r>
      <w:r w:rsidRPr="00DF0C0F">
        <w:rPr>
          <w:rFonts w:hint="eastAsia"/>
          <w:rtl/>
        </w:rPr>
        <w:t>ככל</w:t>
      </w:r>
      <w:r w:rsidRPr="00DF0C0F">
        <w:rPr>
          <w:rtl/>
        </w:rPr>
        <w:t xml:space="preserve"> </w:t>
      </w:r>
      <w:r w:rsidRPr="00DF0C0F">
        <w:rPr>
          <w:rFonts w:hint="eastAsia"/>
          <w:rtl/>
        </w:rPr>
        <w:t>הנראה</w:t>
      </w:r>
      <w:r w:rsidRPr="00DF0C0F">
        <w:rPr>
          <w:rtl/>
        </w:rPr>
        <w:t xml:space="preserve"> </w:t>
      </w:r>
      <w:r w:rsidRPr="00DF0C0F">
        <w:rPr>
          <w:rFonts w:hint="eastAsia"/>
          <w:rtl/>
        </w:rPr>
        <w:t>קודמת</w:t>
      </w:r>
      <w:r w:rsidRPr="00DF0C0F">
        <w:rPr>
          <w:rtl/>
        </w:rPr>
        <w:t xml:space="preserve">, </w:t>
      </w:r>
      <w:r w:rsidRPr="00DF0C0F">
        <w:rPr>
          <w:rFonts w:hint="eastAsia"/>
          <w:rtl/>
        </w:rPr>
        <w:t>משום</w:t>
      </w:r>
      <w:r w:rsidRPr="00DF0C0F">
        <w:rPr>
          <w:rtl/>
        </w:rPr>
        <w:t xml:space="preserve"> </w:t>
      </w:r>
      <w:r w:rsidRPr="00DF0C0F">
        <w:rPr>
          <w:rFonts w:hint="eastAsia"/>
          <w:rtl/>
        </w:rPr>
        <w:t>שרב</w:t>
      </w:r>
      <w:r w:rsidRPr="00DF0C0F">
        <w:rPr>
          <w:rtl/>
        </w:rPr>
        <w:t xml:space="preserve"> </w:t>
      </w:r>
      <w:r w:rsidRPr="00DF0C0F">
        <w:rPr>
          <w:rFonts w:hint="eastAsia"/>
          <w:rtl/>
        </w:rPr>
        <w:t>כהנא</w:t>
      </w:r>
      <w:r w:rsidRPr="00DF0C0F">
        <w:rPr>
          <w:rtl/>
        </w:rPr>
        <w:t xml:space="preserve"> </w:t>
      </w:r>
      <w:r w:rsidRPr="00DF0C0F">
        <w:rPr>
          <w:rFonts w:hint="eastAsia"/>
          <w:rtl/>
        </w:rPr>
        <w:t>ורב</w:t>
      </w:r>
      <w:r w:rsidRPr="00DF0C0F">
        <w:rPr>
          <w:rtl/>
        </w:rPr>
        <w:t xml:space="preserve"> </w:t>
      </w:r>
      <w:r w:rsidRPr="00DF0C0F">
        <w:rPr>
          <w:rFonts w:hint="eastAsia"/>
          <w:rtl/>
        </w:rPr>
        <w:t>בר</w:t>
      </w:r>
      <w:r w:rsidRPr="00DF0C0F">
        <w:rPr>
          <w:rtl/>
        </w:rPr>
        <w:t xml:space="preserve"> </w:t>
      </w:r>
      <w:r w:rsidRPr="00DF0C0F">
        <w:rPr>
          <w:rFonts w:hint="eastAsia"/>
          <w:rtl/>
        </w:rPr>
        <w:t>שבא</w:t>
      </w:r>
      <w:r w:rsidRPr="00DF0C0F">
        <w:rPr>
          <w:rtl/>
        </w:rPr>
        <w:t xml:space="preserve"> </w:t>
      </w:r>
      <w:r w:rsidRPr="00DF0C0F">
        <w:rPr>
          <w:rFonts w:hint="eastAsia"/>
          <w:rtl/>
        </w:rPr>
        <w:t>היו</w:t>
      </w:r>
      <w:r w:rsidRPr="00DF0C0F">
        <w:rPr>
          <w:rtl/>
        </w:rPr>
        <w:t xml:space="preserve"> </w:t>
      </w:r>
      <w:r w:rsidRPr="00DF0C0F">
        <w:rPr>
          <w:rFonts w:hint="eastAsia"/>
          <w:rtl/>
        </w:rPr>
        <w:t>שניהם</w:t>
      </w:r>
      <w:r w:rsidRPr="00DF0C0F">
        <w:rPr>
          <w:rtl/>
        </w:rPr>
        <w:t xml:space="preserve"> </w:t>
      </w:r>
      <w:r w:rsidRPr="00DF0C0F">
        <w:rPr>
          <w:rFonts w:hint="eastAsia"/>
          <w:rtl/>
        </w:rPr>
        <w:t>מהדור</w:t>
      </w:r>
      <w:r w:rsidRPr="00DF0C0F">
        <w:rPr>
          <w:rtl/>
        </w:rPr>
        <w:t xml:space="preserve"> </w:t>
      </w:r>
      <w:r w:rsidRPr="00DF0C0F">
        <w:rPr>
          <w:rFonts w:hint="eastAsia"/>
          <w:rtl/>
        </w:rPr>
        <w:t>החמישי</w:t>
      </w:r>
      <w:r w:rsidRPr="00DF0C0F">
        <w:rPr>
          <w:rtl/>
        </w:rPr>
        <w:t xml:space="preserve"> </w:t>
      </w:r>
      <w:r w:rsidRPr="00DF0C0F">
        <w:rPr>
          <w:rFonts w:hint="eastAsia"/>
          <w:rtl/>
        </w:rPr>
        <w:t>ובסיפור</w:t>
      </w:r>
      <w:r w:rsidRPr="00DF0C0F">
        <w:rPr>
          <w:rtl/>
        </w:rPr>
        <w:t xml:space="preserve"> </w:t>
      </w:r>
      <w:r w:rsidRPr="00DF0C0F">
        <w:rPr>
          <w:rFonts w:hint="eastAsia"/>
          <w:rtl/>
        </w:rPr>
        <w:t>במנחות</w:t>
      </w:r>
      <w:r w:rsidRPr="00DF0C0F">
        <w:rPr>
          <w:rtl/>
        </w:rPr>
        <w:t xml:space="preserve"> </w:t>
      </w:r>
      <w:r w:rsidRPr="00DF0C0F">
        <w:rPr>
          <w:rFonts w:hint="eastAsia"/>
          <w:rtl/>
        </w:rPr>
        <w:t>מדובר</w:t>
      </w:r>
      <w:r w:rsidRPr="00DF0C0F">
        <w:rPr>
          <w:rtl/>
        </w:rPr>
        <w:t xml:space="preserve"> </w:t>
      </w:r>
      <w:r w:rsidRPr="00DF0C0F">
        <w:rPr>
          <w:rFonts w:hint="eastAsia"/>
          <w:rtl/>
        </w:rPr>
        <w:t>על</w:t>
      </w:r>
      <w:r w:rsidRPr="00DF0C0F">
        <w:rPr>
          <w:rtl/>
        </w:rPr>
        <w:t xml:space="preserve"> </w:t>
      </w:r>
      <w:proofErr w:type="spellStart"/>
      <w:r w:rsidRPr="00DF0C0F">
        <w:rPr>
          <w:rFonts w:hint="eastAsia"/>
          <w:rtl/>
        </w:rPr>
        <w:t>רבינא</w:t>
      </w:r>
      <w:proofErr w:type="spellEnd"/>
      <w:r w:rsidRPr="00DF0C0F">
        <w:rPr>
          <w:rtl/>
        </w:rPr>
        <w:t xml:space="preserve"> </w:t>
      </w:r>
      <w:r w:rsidRPr="00DF0C0F">
        <w:rPr>
          <w:rFonts w:hint="eastAsia"/>
          <w:rtl/>
        </w:rPr>
        <w:t>ומר</w:t>
      </w:r>
      <w:r w:rsidRPr="00DF0C0F">
        <w:rPr>
          <w:rtl/>
        </w:rPr>
        <w:t xml:space="preserve"> </w:t>
      </w:r>
      <w:r w:rsidRPr="00DF0C0F">
        <w:rPr>
          <w:rFonts w:hint="eastAsia"/>
          <w:rtl/>
        </w:rPr>
        <w:t>בר</w:t>
      </w:r>
      <w:r w:rsidRPr="00DF0C0F">
        <w:rPr>
          <w:rtl/>
        </w:rPr>
        <w:t xml:space="preserve"> </w:t>
      </w:r>
      <w:r w:rsidRPr="00DF0C0F">
        <w:rPr>
          <w:rFonts w:hint="eastAsia"/>
          <w:rtl/>
        </w:rPr>
        <w:t>רב</w:t>
      </w:r>
      <w:r w:rsidRPr="00DF0C0F">
        <w:rPr>
          <w:rtl/>
        </w:rPr>
        <w:t xml:space="preserve"> </w:t>
      </w:r>
      <w:r w:rsidRPr="00DF0C0F">
        <w:rPr>
          <w:rFonts w:hint="eastAsia"/>
          <w:rtl/>
        </w:rPr>
        <w:t>אשי</w:t>
      </w:r>
      <w:r w:rsidRPr="00DF0C0F">
        <w:rPr>
          <w:rtl/>
        </w:rPr>
        <w:t xml:space="preserve">, </w:t>
      </w:r>
      <w:r w:rsidRPr="00DF0C0F">
        <w:rPr>
          <w:rFonts w:hint="eastAsia"/>
          <w:rtl/>
        </w:rPr>
        <w:t>אמורא</w:t>
      </w:r>
      <w:r w:rsidRPr="00DF0C0F">
        <w:rPr>
          <w:rtl/>
        </w:rPr>
        <w:t xml:space="preserve"> </w:t>
      </w:r>
      <w:r w:rsidRPr="00DF0C0F">
        <w:rPr>
          <w:rFonts w:hint="eastAsia"/>
          <w:rtl/>
        </w:rPr>
        <w:t>מהדור</w:t>
      </w:r>
      <w:r w:rsidRPr="00DF0C0F">
        <w:rPr>
          <w:rtl/>
        </w:rPr>
        <w:t xml:space="preserve"> </w:t>
      </w:r>
      <w:r w:rsidRPr="00DF0C0F">
        <w:rPr>
          <w:rFonts w:hint="eastAsia"/>
          <w:rtl/>
        </w:rPr>
        <w:t>השביעי</w:t>
      </w:r>
      <w:r w:rsidRPr="00DF0C0F">
        <w:rPr>
          <w:rtl/>
        </w:rPr>
        <w:t xml:space="preserve"> </w:t>
      </w:r>
      <w:r w:rsidRPr="00DF0C0F">
        <w:rPr>
          <w:rFonts w:hint="eastAsia"/>
          <w:rtl/>
        </w:rPr>
        <w:t>לאמוראי</w:t>
      </w:r>
      <w:r w:rsidRPr="00DF0C0F">
        <w:rPr>
          <w:rtl/>
        </w:rPr>
        <w:t xml:space="preserve"> </w:t>
      </w:r>
      <w:r w:rsidRPr="00DF0C0F">
        <w:rPr>
          <w:rFonts w:hint="eastAsia"/>
          <w:rtl/>
        </w:rPr>
        <w:t>בבל</w:t>
      </w:r>
      <w:r w:rsidRPr="00DF0C0F">
        <w:rPr>
          <w:rtl/>
        </w:rPr>
        <w:t>.</w:t>
      </w:r>
    </w:p>
  </w:footnote>
  <w:footnote w:id="7">
    <w:p w14:paraId="5E90654B" w14:textId="00BE27E2" w:rsidR="008B2320" w:rsidRDefault="008B2320">
      <w:pPr>
        <w:pStyle w:val="FootnoteText"/>
        <w:rPr>
          <w:rFonts w:hint="cs"/>
        </w:rPr>
      </w:pPr>
      <w:r>
        <w:rPr>
          <w:rStyle w:val="FootnoteReference"/>
        </w:rPr>
        <w:footnoteRef/>
      </w:r>
      <w:r>
        <w:rPr>
          <w:rtl/>
        </w:rPr>
        <w:t xml:space="preserve"> </w:t>
      </w:r>
      <w:r w:rsidR="00DB5DA1">
        <w:rPr>
          <w:rtl/>
        </w:rPr>
        <w:tab/>
      </w:r>
      <w:r w:rsidRPr="008B2320">
        <w:rPr>
          <w:rFonts w:hint="eastAsia"/>
          <w:rtl/>
        </w:rPr>
        <w:t>מגילה</w:t>
      </w:r>
      <w:r w:rsidRPr="008B2320">
        <w:rPr>
          <w:rtl/>
        </w:rPr>
        <w:t xml:space="preserve"> </w:t>
      </w:r>
      <w:r w:rsidRPr="008B2320">
        <w:rPr>
          <w:rFonts w:hint="eastAsia"/>
          <w:rtl/>
        </w:rPr>
        <w:t>ג׳</w:t>
      </w:r>
      <w:r w:rsidRPr="008B2320">
        <w:rPr>
          <w:rtl/>
        </w:rPr>
        <w:t xml:space="preserve"> </w:t>
      </w:r>
      <w:r w:rsidRPr="008B2320">
        <w:rPr>
          <w:rFonts w:hint="eastAsia"/>
          <w:rtl/>
        </w:rPr>
        <w:t>ב</w:t>
      </w:r>
    </w:p>
  </w:footnote>
  <w:footnote w:id="8">
    <w:p w14:paraId="3D41B146" w14:textId="1797A2C7" w:rsidR="00C5619B" w:rsidRDefault="00C5619B">
      <w:pPr>
        <w:pStyle w:val="FootnoteText"/>
        <w:rPr>
          <w:rFonts w:hint="cs"/>
        </w:rPr>
      </w:pPr>
      <w:r>
        <w:rPr>
          <w:rStyle w:val="FootnoteReference"/>
        </w:rPr>
        <w:footnoteRef/>
      </w:r>
      <w:r>
        <w:rPr>
          <w:rtl/>
        </w:rPr>
        <w:t xml:space="preserve"> </w:t>
      </w:r>
      <w:r w:rsidR="00DB5DA1">
        <w:rPr>
          <w:rtl/>
        </w:rPr>
        <w:tab/>
      </w:r>
      <w:r w:rsidRPr="00C5619B">
        <w:rPr>
          <w:rFonts w:hint="eastAsia"/>
          <w:rtl/>
        </w:rPr>
        <w:t>שבת</w:t>
      </w:r>
      <w:r w:rsidRPr="00C5619B">
        <w:rPr>
          <w:rtl/>
        </w:rPr>
        <w:t xml:space="preserve"> </w:t>
      </w:r>
      <w:r w:rsidRPr="00C5619B">
        <w:rPr>
          <w:rFonts w:hint="eastAsia"/>
          <w:rtl/>
        </w:rPr>
        <w:t>צ</w:t>
      </w:r>
      <w:r w:rsidRPr="00C5619B">
        <w:rPr>
          <w:rtl/>
        </w:rPr>
        <w:t>"</w:t>
      </w:r>
      <w:r w:rsidRPr="00C5619B">
        <w:rPr>
          <w:rFonts w:hint="eastAsia"/>
          <w:rtl/>
        </w:rPr>
        <w:t>ד</w:t>
      </w:r>
      <w:r w:rsidRPr="00C5619B">
        <w:rPr>
          <w:rtl/>
        </w:rPr>
        <w:t xml:space="preserve"> </w:t>
      </w:r>
      <w:r w:rsidRPr="00C5619B">
        <w:rPr>
          <w:rFonts w:hint="eastAsia"/>
          <w:rtl/>
        </w:rPr>
        <w:t>ב</w:t>
      </w:r>
    </w:p>
  </w:footnote>
  <w:footnote w:id="9">
    <w:p w14:paraId="7D2D6ACF" w14:textId="35EA891B" w:rsidR="00793AB1" w:rsidRDefault="00793AB1">
      <w:pPr>
        <w:pStyle w:val="FootnoteText"/>
        <w:rPr>
          <w:rFonts w:hint="cs"/>
        </w:rPr>
      </w:pPr>
      <w:r>
        <w:rPr>
          <w:rStyle w:val="FootnoteReference"/>
        </w:rPr>
        <w:footnoteRef/>
      </w:r>
      <w:r>
        <w:rPr>
          <w:rtl/>
        </w:rPr>
        <w:t xml:space="preserve"> </w:t>
      </w:r>
      <w:r w:rsidR="00DB5DA1">
        <w:rPr>
          <w:rtl/>
        </w:rPr>
        <w:tab/>
      </w:r>
      <w:r w:rsidRPr="00793AB1">
        <w:rPr>
          <w:rFonts w:hint="eastAsia"/>
          <w:rtl/>
        </w:rPr>
        <w:t>שבת</w:t>
      </w:r>
      <w:r w:rsidRPr="00793AB1">
        <w:rPr>
          <w:rtl/>
        </w:rPr>
        <w:t xml:space="preserve"> </w:t>
      </w:r>
      <w:r w:rsidRPr="00793AB1">
        <w:rPr>
          <w:rFonts w:hint="eastAsia"/>
          <w:rtl/>
        </w:rPr>
        <w:t>פ״א</w:t>
      </w:r>
      <w:r w:rsidRPr="00793AB1">
        <w:rPr>
          <w:rtl/>
        </w:rPr>
        <w:t xml:space="preserve"> </w:t>
      </w:r>
      <w:r w:rsidRPr="00793AB1">
        <w:rPr>
          <w:rFonts w:hint="eastAsia"/>
          <w:rtl/>
        </w:rPr>
        <w:t>ב</w:t>
      </w:r>
    </w:p>
  </w:footnote>
  <w:footnote w:id="10">
    <w:p w14:paraId="759DB5D6" w14:textId="3CFE29E4" w:rsidR="003A4B1F" w:rsidRDefault="003A4B1F">
      <w:pPr>
        <w:pStyle w:val="FootnoteText"/>
        <w:rPr>
          <w:rFonts w:hint="cs"/>
          <w:rtl/>
        </w:rPr>
      </w:pPr>
      <w:r>
        <w:rPr>
          <w:rStyle w:val="FootnoteReference"/>
        </w:rPr>
        <w:footnoteRef/>
      </w:r>
      <w:r>
        <w:rPr>
          <w:rtl/>
        </w:rPr>
        <w:t xml:space="preserve"> </w:t>
      </w:r>
      <w:r w:rsidR="00DB5DA1">
        <w:rPr>
          <w:rtl/>
        </w:rPr>
        <w:tab/>
      </w:r>
      <w:r w:rsidRPr="003A4B1F">
        <w:rPr>
          <w:rFonts w:hint="eastAsia"/>
          <w:rtl/>
        </w:rPr>
        <w:t>עירובין</w:t>
      </w:r>
      <w:r w:rsidRPr="003A4B1F">
        <w:rPr>
          <w:rtl/>
        </w:rPr>
        <w:t xml:space="preserve"> </w:t>
      </w:r>
      <w:r w:rsidRPr="003A4B1F">
        <w:rPr>
          <w:rFonts w:hint="eastAsia"/>
          <w:rtl/>
        </w:rPr>
        <w:t>מ״א</w:t>
      </w:r>
      <w:r w:rsidRPr="003A4B1F">
        <w:rPr>
          <w:rtl/>
        </w:rPr>
        <w:t xml:space="preserve"> </w:t>
      </w:r>
      <w:r w:rsidRPr="003A4B1F">
        <w:rPr>
          <w:rFonts w:hint="eastAsia"/>
          <w:rtl/>
        </w:rPr>
        <w:t>ב</w:t>
      </w:r>
      <w:r w:rsidRPr="003A4B1F">
        <w:rPr>
          <w:rtl/>
        </w:rPr>
        <w:t xml:space="preserve"> </w:t>
      </w:r>
    </w:p>
  </w:footnote>
  <w:footnote w:id="11">
    <w:p w14:paraId="04419AB5" w14:textId="28B0649C" w:rsidR="00B540A7" w:rsidRDefault="00B540A7">
      <w:pPr>
        <w:pStyle w:val="FootnoteText"/>
        <w:rPr>
          <w:rFonts w:hint="cs"/>
        </w:rPr>
      </w:pPr>
      <w:r>
        <w:rPr>
          <w:rStyle w:val="FootnoteReference"/>
        </w:rPr>
        <w:footnoteRef/>
      </w:r>
      <w:r>
        <w:rPr>
          <w:rtl/>
        </w:rPr>
        <w:t xml:space="preserve"> </w:t>
      </w:r>
      <w:r w:rsidR="00DB5DA1">
        <w:rPr>
          <w:rtl/>
        </w:rPr>
        <w:tab/>
      </w:r>
      <w:r w:rsidRPr="00B540A7">
        <w:rPr>
          <w:rFonts w:hint="eastAsia"/>
          <w:rtl/>
        </w:rPr>
        <w:t>תלמוד</w:t>
      </w:r>
      <w:r w:rsidRPr="00B540A7">
        <w:rPr>
          <w:rtl/>
        </w:rPr>
        <w:t xml:space="preserve"> </w:t>
      </w:r>
      <w:r w:rsidRPr="00B540A7">
        <w:rPr>
          <w:rFonts w:hint="eastAsia"/>
          <w:rtl/>
        </w:rPr>
        <w:t>ירושלמי</w:t>
      </w:r>
      <w:r w:rsidRPr="00B540A7">
        <w:rPr>
          <w:rtl/>
        </w:rPr>
        <w:t xml:space="preserve"> </w:t>
      </w:r>
      <w:r w:rsidRPr="00B540A7">
        <w:rPr>
          <w:rFonts w:hint="eastAsia"/>
          <w:rtl/>
        </w:rPr>
        <w:t>נזיר</w:t>
      </w:r>
      <w:r w:rsidRPr="00B540A7">
        <w:rPr>
          <w:rtl/>
        </w:rPr>
        <w:t xml:space="preserve"> </w:t>
      </w:r>
      <w:r w:rsidRPr="00B540A7">
        <w:rPr>
          <w:rFonts w:hint="eastAsia"/>
          <w:rtl/>
        </w:rPr>
        <w:t>ז׳</w:t>
      </w:r>
    </w:p>
  </w:footnote>
  <w:footnote w:id="12">
    <w:p w14:paraId="5BEF7647" w14:textId="09D65ADC" w:rsidR="00CE76C4" w:rsidRDefault="00CE76C4">
      <w:pPr>
        <w:pStyle w:val="FootnoteText"/>
        <w:rPr>
          <w:rFonts w:hint="cs"/>
          <w:rtl/>
        </w:rPr>
      </w:pPr>
      <w:r>
        <w:rPr>
          <w:rStyle w:val="FootnoteReference"/>
        </w:rPr>
        <w:footnoteRef/>
      </w:r>
      <w:r>
        <w:rPr>
          <w:rtl/>
        </w:rPr>
        <w:t xml:space="preserve"> </w:t>
      </w:r>
      <w:r w:rsidR="00DB5DA1">
        <w:rPr>
          <w:rtl/>
        </w:rPr>
        <w:tab/>
      </w:r>
      <w:r w:rsidRPr="00CE76C4">
        <w:rPr>
          <w:rFonts w:hint="eastAsia"/>
          <w:rtl/>
        </w:rPr>
        <w:t>אשגרה</w:t>
      </w:r>
      <w:r>
        <w:rPr>
          <w:rFonts w:hint="cs"/>
          <w:rtl/>
        </w:rPr>
        <w:t xml:space="preserve"> </w:t>
      </w:r>
      <w:r w:rsidRPr="00CE76C4">
        <w:rPr>
          <w:rtl/>
        </w:rPr>
        <w:t xml:space="preserve">= </w:t>
      </w:r>
      <w:r w:rsidRPr="00CE76C4">
        <w:rPr>
          <w:rFonts w:hint="eastAsia"/>
          <w:rtl/>
        </w:rPr>
        <w:t>שיבוש</w:t>
      </w:r>
      <w:r w:rsidRPr="00CE76C4">
        <w:rPr>
          <w:rtl/>
        </w:rPr>
        <w:t xml:space="preserve">, </w:t>
      </w:r>
      <w:r w:rsidRPr="00CE76C4">
        <w:rPr>
          <w:rFonts w:hint="eastAsia"/>
          <w:rtl/>
        </w:rPr>
        <w:t>שינוי</w:t>
      </w:r>
      <w:r w:rsidRPr="00CE76C4">
        <w:rPr>
          <w:rtl/>
        </w:rPr>
        <w:t xml:space="preserve"> </w:t>
      </w:r>
      <w:r w:rsidRPr="00CE76C4">
        <w:rPr>
          <w:rFonts w:hint="eastAsia"/>
          <w:rtl/>
        </w:rPr>
        <w:t>גרס</w:t>
      </w:r>
      <w:r>
        <w:rPr>
          <w:rFonts w:hint="cs"/>
          <w:rtl/>
        </w:rPr>
        <w:t>ה</w:t>
      </w:r>
      <w:r w:rsidRPr="00CE76C4">
        <w:rPr>
          <w:rtl/>
        </w:rPr>
        <w:t>.</w:t>
      </w:r>
    </w:p>
  </w:footnote>
  <w:footnote w:id="13">
    <w:p w14:paraId="2B8102B6" w14:textId="14C82D9F" w:rsidR="00A33B73" w:rsidRDefault="00A33B73">
      <w:pPr>
        <w:pStyle w:val="FootnoteText"/>
        <w:rPr>
          <w:rFonts w:hint="cs"/>
          <w:rtl/>
        </w:rPr>
      </w:pPr>
      <w:r>
        <w:rPr>
          <w:rStyle w:val="FootnoteReference"/>
        </w:rPr>
        <w:footnoteRef/>
      </w:r>
      <w:r w:rsidR="00FF6D00">
        <w:rPr>
          <w:rtl/>
        </w:rPr>
        <w:t xml:space="preserve"> </w:t>
      </w:r>
      <w:r w:rsidR="00DB5DA1">
        <w:rPr>
          <w:rtl/>
        </w:rPr>
        <w:tab/>
      </w:r>
      <w:r w:rsidRPr="00A33B73">
        <w:rPr>
          <w:rFonts w:hint="eastAsia"/>
          <w:rtl/>
        </w:rPr>
        <w:t>אור</w:t>
      </w:r>
      <w:r w:rsidRPr="00A33B73">
        <w:rPr>
          <w:rtl/>
        </w:rPr>
        <w:t xml:space="preserve"> </w:t>
      </w:r>
      <w:r w:rsidRPr="00A33B73">
        <w:rPr>
          <w:rFonts w:hint="eastAsia"/>
          <w:rtl/>
        </w:rPr>
        <w:t>לישרים</w:t>
      </w:r>
      <w:r w:rsidRPr="00A33B73">
        <w:rPr>
          <w:rtl/>
        </w:rPr>
        <w:t xml:space="preserve">, </w:t>
      </w:r>
      <w:r w:rsidRPr="00A33B73">
        <w:rPr>
          <w:rFonts w:hint="eastAsia"/>
          <w:rtl/>
        </w:rPr>
        <w:t>תלמוד</w:t>
      </w:r>
      <w:r w:rsidRPr="00A33B73">
        <w:rPr>
          <w:rtl/>
        </w:rPr>
        <w:t xml:space="preserve"> </w:t>
      </w:r>
      <w:r w:rsidRPr="00A33B73">
        <w:rPr>
          <w:rFonts w:hint="eastAsia"/>
          <w:rtl/>
        </w:rPr>
        <w:t>ירושלמי</w:t>
      </w:r>
      <w:r w:rsidRPr="00A33B73">
        <w:rPr>
          <w:rtl/>
        </w:rPr>
        <w:t xml:space="preserve"> </w:t>
      </w:r>
      <w:r w:rsidRPr="00A33B73">
        <w:rPr>
          <w:rFonts w:hint="eastAsia"/>
          <w:rtl/>
        </w:rPr>
        <w:t>ברכות</w:t>
      </w:r>
      <w:r w:rsidRPr="00A33B73">
        <w:rPr>
          <w:rtl/>
        </w:rPr>
        <w:t xml:space="preserve"> </w:t>
      </w:r>
      <w:r w:rsidRPr="00A33B73">
        <w:rPr>
          <w:rFonts w:hint="eastAsia"/>
          <w:rtl/>
        </w:rPr>
        <w:t>ג׳</w:t>
      </w:r>
      <w:r w:rsidRPr="00A33B73">
        <w:rPr>
          <w:rtl/>
        </w:rPr>
        <w:t>:</w:t>
      </w:r>
      <w:r w:rsidRPr="00A33B73">
        <w:rPr>
          <w:rFonts w:hint="eastAsia"/>
          <w:rtl/>
        </w:rPr>
        <w:t>א׳</w:t>
      </w:r>
      <w:r w:rsidRPr="00A33B73">
        <w:rPr>
          <w:rtl/>
        </w:rPr>
        <w:t>.</w:t>
      </w:r>
    </w:p>
  </w:footnote>
  <w:footnote w:id="14">
    <w:p w14:paraId="15009B9E" w14:textId="0CDF7E51" w:rsidR="00DD43B6" w:rsidRDefault="00DD43B6">
      <w:pPr>
        <w:pStyle w:val="FootnoteText"/>
        <w:rPr>
          <w:rFonts w:hint="cs"/>
        </w:rPr>
      </w:pPr>
      <w:r>
        <w:rPr>
          <w:rStyle w:val="FootnoteReference"/>
        </w:rPr>
        <w:footnoteRef/>
      </w:r>
      <w:r>
        <w:rPr>
          <w:rtl/>
        </w:rPr>
        <w:t xml:space="preserve"> </w:t>
      </w:r>
      <w:r w:rsidR="00DB5DA1">
        <w:rPr>
          <w:rtl/>
        </w:rPr>
        <w:tab/>
      </w:r>
      <w:r w:rsidRPr="00DD43B6">
        <w:rPr>
          <w:rFonts w:hint="eastAsia"/>
          <w:rtl/>
        </w:rPr>
        <w:t>מגילה</w:t>
      </w:r>
      <w:r w:rsidRPr="00DD43B6">
        <w:rPr>
          <w:rtl/>
        </w:rPr>
        <w:t xml:space="preserve"> </w:t>
      </w:r>
      <w:r w:rsidRPr="00DD43B6">
        <w:rPr>
          <w:rFonts w:hint="eastAsia"/>
          <w:rtl/>
        </w:rPr>
        <w:t>ד</w:t>
      </w:r>
      <w:r w:rsidRPr="00DD43B6">
        <w:rPr>
          <w:rtl/>
        </w:rPr>
        <w:t xml:space="preserve">' </w:t>
      </w:r>
      <w:r w:rsidRPr="00DD43B6">
        <w:rPr>
          <w:rFonts w:hint="eastAsia"/>
          <w:rtl/>
        </w:rPr>
        <w:t>א</w:t>
      </w:r>
      <w:r w:rsidRPr="00DD43B6">
        <w:rPr>
          <w:rtl/>
        </w:rPr>
        <w:t>'</w:t>
      </w:r>
    </w:p>
  </w:footnote>
  <w:footnote w:id="15">
    <w:p w14:paraId="3F447864" w14:textId="6F4B9607" w:rsidR="00AD7EB0" w:rsidRDefault="00AD7EB0">
      <w:pPr>
        <w:pStyle w:val="FootnoteText"/>
        <w:rPr>
          <w:rFonts w:hint="cs"/>
          <w:rtl/>
        </w:rPr>
      </w:pPr>
      <w:r>
        <w:rPr>
          <w:rStyle w:val="FootnoteReference"/>
        </w:rPr>
        <w:footnoteRef/>
      </w:r>
      <w:r>
        <w:rPr>
          <w:rtl/>
        </w:rPr>
        <w:t xml:space="preserve"> </w:t>
      </w:r>
      <w:r w:rsidR="00DB5DA1">
        <w:rPr>
          <w:rtl/>
        </w:rPr>
        <w:tab/>
      </w:r>
      <w:r w:rsidRPr="00AD7EB0">
        <w:rPr>
          <w:rFonts w:hint="eastAsia"/>
          <w:rtl/>
        </w:rPr>
        <w:t>כלאיים</w:t>
      </w:r>
      <w:r w:rsidRPr="00AD7EB0">
        <w:rPr>
          <w:rtl/>
        </w:rPr>
        <w:t xml:space="preserve"> </w:t>
      </w:r>
      <w:r w:rsidRPr="00AD7EB0">
        <w:rPr>
          <w:rFonts w:hint="eastAsia"/>
          <w:rtl/>
        </w:rPr>
        <w:t>ט</w:t>
      </w:r>
      <w:r w:rsidRPr="00AD7EB0">
        <w:rPr>
          <w:rtl/>
        </w:rPr>
        <w:t xml:space="preserve">' </w:t>
      </w:r>
      <w:r w:rsidRPr="00AD7EB0">
        <w:rPr>
          <w:rFonts w:hint="eastAsia"/>
          <w:rtl/>
        </w:rPr>
        <w:t>א</w:t>
      </w:r>
      <w:r w:rsidRPr="00AD7EB0">
        <w:rPr>
          <w:rtl/>
        </w:rPr>
        <w:t>'</w:t>
      </w:r>
    </w:p>
  </w:footnote>
  <w:footnote w:id="16">
    <w:p w14:paraId="6A68DEDE" w14:textId="29F304AE" w:rsidR="0026051E" w:rsidRDefault="0026051E">
      <w:pPr>
        <w:pStyle w:val="FootnoteText"/>
        <w:rPr>
          <w:rFonts w:hint="cs"/>
        </w:rPr>
      </w:pPr>
      <w:r>
        <w:rPr>
          <w:rStyle w:val="FootnoteReference"/>
        </w:rPr>
        <w:footnoteRef/>
      </w:r>
      <w:r w:rsidR="00DB5DA1">
        <w:rPr>
          <w:rtl/>
        </w:rPr>
        <w:tab/>
      </w:r>
      <w:r w:rsidRPr="0026051E">
        <w:rPr>
          <w:rFonts w:hint="eastAsia"/>
          <w:rtl/>
        </w:rPr>
        <w:t>משנה</w:t>
      </w:r>
      <w:r w:rsidRPr="0026051E">
        <w:rPr>
          <w:rtl/>
        </w:rPr>
        <w:t xml:space="preserve"> </w:t>
      </w:r>
      <w:r w:rsidRPr="0026051E">
        <w:rPr>
          <w:rFonts w:hint="eastAsia"/>
          <w:rtl/>
        </w:rPr>
        <w:t>מסכת</w:t>
      </w:r>
      <w:r w:rsidRPr="0026051E">
        <w:rPr>
          <w:rtl/>
        </w:rPr>
        <w:t xml:space="preserve"> </w:t>
      </w:r>
      <w:r w:rsidRPr="0026051E">
        <w:rPr>
          <w:rFonts w:hint="eastAsia"/>
          <w:rtl/>
        </w:rPr>
        <w:t>נזיר</w:t>
      </w:r>
      <w:r w:rsidRPr="0026051E">
        <w:rPr>
          <w:rtl/>
        </w:rPr>
        <w:t xml:space="preserve"> </w:t>
      </w:r>
      <w:r w:rsidRPr="0026051E">
        <w:rPr>
          <w:rFonts w:hint="eastAsia"/>
          <w:rtl/>
        </w:rPr>
        <w:t>ז</w:t>
      </w:r>
      <w:r w:rsidRPr="0026051E">
        <w:rPr>
          <w:rtl/>
        </w:rPr>
        <w:t xml:space="preserve">, </w:t>
      </w:r>
      <w:r w:rsidRPr="0026051E">
        <w:rPr>
          <w:rFonts w:hint="eastAsia"/>
          <w:rtl/>
        </w:rPr>
        <w:t>א</w:t>
      </w:r>
      <w:r w:rsidRPr="0026051E">
        <w:rPr>
          <w:rtl/>
        </w:rPr>
        <w:t>: "</w:t>
      </w:r>
      <w:r w:rsidRPr="0026051E">
        <w:rPr>
          <w:rFonts w:hint="eastAsia"/>
          <w:rtl/>
        </w:rPr>
        <w:t>כֹּהֵן</w:t>
      </w:r>
      <w:r w:rsidRPr="0026051E">
        <w:rPr>
          <w:rtl/>
        </w:rPr>
        <w:t xml:space="preserve"> </w:t>
      </w:r>
      <w:r w:rsidRPr="0026051E">
        <w:rPr>
          <w:rFonts w:hint="eastAsia"/>
          <w:rtl/>
        </w:rPr>
        <w:t>גָּדוֹל</w:t>
      </w:r>
      <w:r w:rsidRPr="0026051E">
        <w:rPr>
          <w:rtl/>
        </w:rPr>
        <w:t xml:space="preserve"> </w:t>
      </w:r>
      <w:r w:rsidRPr="0026051E">
        <w:rPr>
          <w:rFonts w:hint="eastAsia"/>
          <w:rtl/>
        </w:rPr>
        <w:t>וְנָזִיר</w:t>
      </w:r>
      <w:r w:rsidRPr="0026051E">
        <w:rPr>
          <w:rtl/>
        </w:rPr>
        <w:t xml:space="preserve"> </w:t>
      </w:r>
      <w:r w:rsidRPr="0026051E">
        <w:rPr>
          <w:rFonts w:hint="eastAsia"/>
          <w:rtl/>
        </w:rPr>
        <w:t>אֵינָן</w:t>
      </w:r>
      <w:r w:rsidRPr="0026051E">
        <w:rPr>
          <w:rtl/>
        </w:rPr>
        <w:t xml:space="preserve"> </w:t>
      </w:r>
      <w:proofErr w:type="spellStart"/>
      <w:r w:rsidRPr="0026051E">
        <w:rPr>
          <w:rFonts w:hint="eastAsia"/>
          <w:rtl/>
        </w:rPr>
        <w:t>מִיטַּמְּאִין</w:t>
      </w:r>
      <w:proofErr w:type="spellEnd"/>
      <w:r w:rsidRPr="0026051E">
        <w:rPr>
          <w:rtl/>
        </w:rPr>
        <w:t xml:space="preserve"> </w:t>
      </w:r>
      <w:r w:rsidRPr="0026051E">
        <w:rPr>
          <w:rFonts w:hint="eastAsia"/>
          <w:rtl/>
        </w:rPr>
        <w:t>בִּקְרוֹבֵיהֶן</w:t>
      </w:r>
      <w:r w:rsidRPr="0026051E">
        <w:rPr>
          <w:rtl/>
        </w:rPr>
        <w:t>".</w:t>
      </w:r>
    </w:p>
  </w:footnote>
  <w:footnote w:id="17">
    <w:p w14:paraId="29EADCBC" w14:textId="77F67FCD" w:rsidR="00921021" w:rsidRPr="00951154" w:rsidRDefault="00921021">
      <w:pPr>
        <w:pStyle w:val="FootnoteText"/>
      </w:pPr>
      <w:r>
        <w:rPr>
          <w:rStyle w:val="FootnoteReference"/>
        </w:rPr>
        <w:footnoteRef/>
      </w:r>
      <w:r w:rsidR="00FF6D00">
        <w:rPr>
          <w:rtl/>
        </w:rPr>
        <w:t xml:space="preserve"> </w:t>
      </w:r>
      <w:r w:rsidR="00AF2F74">
        <w:rPr>
          <w:rtl/>
        </w:rPr>
        <w:tab/>
      </w:r>
      <w:r w:rsidR="00951154" w:rsidRPr="00951154">
        <w:rPr>
          <w:rFonts w:hint="eastAsia"/>
          <w:rtl/>
        </w:rPr>
        <w:t>צריך</w:t>
      </w:r>
      <w:r w:rsidR="00951154" w:rsidRPr="00951154">
        <w:rPr>
          <w:rtl/>
        </w:rPr>
        <w:t xml:space="preserve"> </w:t>
      </w:r>
      <w:r w:rsidR="00951154" w:rsidRPr="00951154">
        <w:rPr>
          <w:rFonts w:hint="eastAsia"/>
          <w:rtl/>
        </w:rPr>
        <w:t>להגיד</w:t>
      </w:r>
      <w:r w:rsidR="00951154" w:rsidRPr="00951154">
        <w:rPr>
          <w:rtl/>
        </w:rPr>
        <w:t xml:space="preserve"> – </w:t>
      </w:r>
      <w:r w:rsidR="00951154" w:rsidRPr="00951154">
        <w:rPr>
          <w:rFonts w:hint="eastAsia"/>
          <w:rtl/>
        </w:rPr>
        <w:t>יש</w:t>
      </w:r>
      <w:r w:rsidR="00951154" w:rsidRPr="00951154">
        <w:rPr>
          <w:rtl/>
        </w:rPr>
        <w:t xml:space="preserve"> </w:t>
      </w:r>
      <w:r w:rsidR="00951154" w:rsidRPr="00951154">
        <w:rPr>
          <w:rFonts w:hint="eastAsia"/>
          <w:rtl/>
        </w:rPr>
        <w:t>סיכוי</w:t>
      </w:r>
      <w:r w:rsidR="00951154" w:rsidRPr="00951154">
        <w:rPr>
          <w:rtl/>
        </w:rPr>
        <w:t xml:space="preserve"> </w:t>
      </w:r>
      <w:r w:rsidR="00951154" w:rsidRPr="00951154">
        <w:rPr>
          <w:rFonts w:hint="eastAsia"/>
          <w:rtl/>
        </w:rPr>
        <w:t>שזה</w:t>
      </w:r>
      <w:r w:rsidR="00951154" w:rsidRPr="00951154">
        <w:rPr>
          <w:rtl/>
        </w:rPr>
        <w:t xml:space="preserve"> </w:t>
      </w:r>
      <w:r w:rsidR="00951154" w:rsidRPr="00951154">
        <w:rPr>
          <w:rFonts w:hint="eastAsia"/>
          <w:rtl/>
        </w:rPr>
        <w:t>בגלל</w:t>
      </w:r>
      <w:r w:rsidR="00951154" w:rsidRPr="00951154">
        <w:rPr>
          <w:rtl/>
        </w:rPr>
        <w:t xml:space="preserve"> </w:t>
      </w:r>
      <w:r w:rsidR="00951154" w:rsidRPr="00951154">
        <w:rPr>
          <w:rFonts w:hint="eastAsia"/>
          <w:rtl/>
        </w:rPr>
        <w:t>ההשקה</w:t>
      </w:r>
      <w:r w:rsidR="00951154" w:rsidRPr="00951154">
        <w:rPr>
          <w:rtl/>
        </w:rPr>
        <w:t xml:space="preserve"> </w:t>
      </w:r>
      <w:r w:rsidR="00951154" w:rsidRPr="00951154">
        <w:rPr>
          <w:rFonts w:hint="eastAsia"/>
          <w:rtl/>
        </w:rPr>
        <w:t>בין</w:t>
      </w:r>
      <w:r w:rsidR="00951154" w:rsidRPr="00951154">
        <w:rPr>
          <w:rtl/>
        </w:rPr>
        <w:t xml:space="preserve"> </w:t>
      </w:r>
      <w:r w:rsidR="00951154" w:rsidRPr="00951154">
        <w:rPr>
          <w:rFonts w:hint="eastAsia"/>
          <w:rtl/>
        </w:rPr>
        <w:t>הסוגיות</w:t>
      </w:r>
      <w:r w:rsidR="00951154" w:rsidRPr="00951154">
        <w:rPr>
          <w:rtl/>
        </w:rPr>
        <w:t xml:space="preserve"> </w:t>
      </w:r>
      <w:r w:rsidR="00951154" w:rsidRPr="00951154">
        <w:rPr>
          <w:rFonts w:hint="eastAsia"/>
          <w:rtl/>
        </w:rPr>
        <w:t>בבבלי</w:t>
      </w:r>
      <w:r w:rsidR="00951154" w:rsidRPr="00951154">
        <w:rPr>
          <w:rtl/>
        </w:rPr>
        <w:t xml:space="preserve">. </w:t>
      </w:r>
      <w:r w:rsidR="00951154" w:rsidRPr="00951154">
        <w:rPr>
          <w:rFonts w:hint="eastAsia"/>
          <w:rtl/>
        </w:rPr>
        <w:t>בנזיר</w:t>
      </w:r>
      <w:r w:rsidR="00951154" w:rsidRPr="00951154">
        <w:rPr>
          <w:rtl/>
        </w:rPr>
        <w:t xml:space="preserve"> </w:t>
      </w:r>
      <w:r w:rsidR="00951154" w:rsidRPr="00951154">
        <w:rPr>
          <w:rFonts w:hint="eastAsia"/>
          <w:rtl/>
        </w:rPr>
        <w:t>מ</w:t>
      </w:r>
      <w:r w:rsidR="00951154" w:rsidRPr="00951154">
        <w:rPr>
          <w:rtl/>
        </w:rPr>
        <w:t>"</w:t>
      </w:r>
      <w:r w:rsidR="00951154" w:rsidRPr="00951154">
        <w:rPr>
          <w:rFonts w:hint="eastAsia"/>
          <w:rtl/>
        </w:rPr>
        <w:t>ח</w:t>
      </w:r>
      <w:r w:rsidR="003624B8">
        <w:rPr>
          <w:rtl/>
        </w:rPr>
        <w:t xml:space="preserve"> (</w:t>
      </w:r>
      <w:r w:rsidR="00951154" w:rsidRPr="00951154">
        <w:rPr>
          <w:rFonts w:hint="eastAsia"/>
          <w:rtl/>
        </w:rPr>
        <w:t>הסוגייה</w:t>
      </w:r>
      <w:r w:rsidR="00951154" w:rsidRPr="00951154">
        <w:rPr>
          <w:rtl/>
        </w:rPr>
        <w:t xml:space="preserve"> </w:t>
      </w:r>
      <w:r w:rsidR="00951154" w:rsidRPr="00951154">
        <w:rPr>
          <w:rFonts w:hint="eastAsia"/>
          <w:rtl/>
        </w:rPr>
        <w:t>תחת</w:t>
      </w:r>
      <w:r w:rsidR="00951154" w:rsidRPr="00951154">
        <w:rPr>
          <w:rtl/>
        </w:rPr>
        <w:t xml:space="preserve"> </w:t>
      </w:r>
      <w:r w:rsidR="00951154" w:rsidRPr="00951154">
        <w:rPr>
          <w:rFonts w:hint="eastAsia"/>
          <w:rtl/>
        </w:rPr>
        <w:t>אותה</w:t>
      </w:r>
      <w:r w:rsidR="00951154" w:rsidRPr="00951154">
        <w:rPr>
          <w:rtl/>
        </w:rPr>
        <w:t xml:space="preserve"> </w:t>
      </w:r>
      <w:r w:rsidR="00951154" w:rsidRPr="00951154">
        <w:rPr>
          <w:rFonts w:hint="eastAsia"/>
          <w:rtl/>
        </w:rPr>
        <w:t>המשנה</w:t>
      </w:r>
      <w:r w:rsidR="00951154" w:rsidRPr="00951154">
        <w:rPr>
          <w:rtl/>
        </w:rPr>
        <w:t xml:space="preserve"> </w:t>
      </w:r>
      <w:r w:rsidR="00951154" w:rsidRPr="00951154">
        <w:rPr>
          <w:rFonts w:hint="eastAsia"/>
          <w:rtl/>
        </w:rPr>
        <w:t>בגמרא</w:t>
      </w:r>
      <w:r w:rsidR="00951154" w:rsidRPr="00951154">
        <w:rPr>
          <w:rtl/>
        </w:rPr>
        <w:t xml:space="preserve">) </w:t>
      </w:r>
      <w:r w:rsidR="00951154" w:rsidRPr="00951154">
        <w:rPr>
          <w:rFonts w:hint="eastAsia"/>
          <w:rtl/>
        </w:rPr>
        <w:t>מובא</w:t>
      </w:r>
      <w:r w:rsidR="00951154" w:rsidRPr="00951154">
        <w:rPr>
          <w:rtl/>
        </w:rPr>
        <w:t xml:space="preserve"> </w:t>
      </w:r>
      <w:r w:rsidR="00951154" w:rsidRPr="00951154">
        <w:rPr>
          <w:rFonts w:hint="eastAsia"/>
          <w:rtl/>
        </w:rPr>
        <w:t>מקור</w:t>
      </w:r>
      <w:r w:rsidR="00951154" w:rsidRPr="00951154">
        <w:rPr>
          <w:rtl/>
        </w:rPr>
        <w:t xml:space="preserve"> </w:t>
      </w:r>
      <w:r w:rsidR="00951154" w:rsidRPr="00951154">
        <w:rPr>
          <w:rFonts w:hint="eastAsia"/>
          <w:rtl/>
        </w:rPr>
        <w:t>תנאי</w:t>
      </w:r>
      <w:r w:rsidR="00951154" w:rsidRPr="00951154">
        <w:rPr>
          <w:rtl/>
        </w:rPr>
        <w:t xml:space="preserve"> </w:t>
      </w:r>
      <w:r w:rsidR="00951154" w:rsidRPr="00951154">
        <w:rPr>
          <w:rFonts w:hint="eastAsia"/>
          <w:rtl/>
        </w:rPr>
        <w:t>שמשותף</w:t>
      </w:r>
      <w:r w:rsidR="00951154" w:rsidRPr="00951154">
        <w:rPr>
          <w:rtl/>
        </w:rPr>
        <w:t xml:space="preserve"> </w:t>
      </w:r>
      <w:r w:rsidR="00951154" w:rsidRPr="00951154">
        <w:rPr>
          <w:rFonts w:hint="eastAsia"/>
          <w:rtl/>
        </w:rPr>
        <w:t>לסוגיות</w:t>
      </w:r>
      <w:r w:rsidR="00951154" w:rsidRPr="00951154">
        <w:rPr>
          <w:rtl/>
        </w:rPr>
        <w:t xml:space="preserve"> </w:t>
      </w:r>
      <w:r w:rsidR="00951154" w:rsidRPr="00951154">
        <w:rPr>
          <w:rFonts w:hint="eastAsia"/>
          <w:rtl/>
        </w:rPr>
        <w:t>בבבלי</w:t>
      </w:r>
      <w:r w:rsidR="00951154" w:rsidRPr="00951154">
        <w:rPr>
          <w:rtl/>
        </w:rPr>
        <w:t xml:space="preserve"> </w:t>
      </w:r>
      <w:r w:rsidR="00951154" w:rsidRPr="00951154">
        <w:rPr>
          <w:rFonts w:hint="eastAsia"/>
          <w:rtl/>
        </w:rPr>
        <w:t>של</w:t>
      </w:r>
      <w:r w:rsidR="00951154" w:rsidRPr="00951154">
        <w:rPr>
          <w:rtl/>
        </w:rPr>
        <w:t xml:space="preserve"> </w:t>
      </w:r>
      <w:r w:rsidR="00951154" w:rsidRPr="00951154">
        <w:rPr>
          <w:rFonts w:hint="eastAsia"/>
          <w:rtl/>
        </w:rPr>
        <w:t>ברכות</w:t>
      </w:r>
      <w:r w:rsidR="00951154" w:rsidRPr="00951154">
        <w:rPr>
          <w:rtl/>
        </w:rPr>
        <w:t xml:space="preserve"> </w:t>
      </w:r>
      <w:r w:rsidR="00951154" w:rsidRPr="00951154">
        <w:rPr>
          <w:rFonts w:hint="eastAsia"/>
          <w:rtl/>
        </w:rPr>
        <w:t>ושל</w:t>
      </w:r>
      <w:r w:rsidR="00951154" w:rsidRPr="00951154">
        <w:rPr>
          <w:rtl/>
        </w:rPr>
        <w:t xml:space="preserve"> </w:t>
      </w:r>
      <w:r w:rsidR="00951154" w:rsidRPr="00951154">
        <w:rPr>
          <w:rFonts w:hint="eastAsia"/>
          <w:rtl/>
        </w:rPr>
        <w:t>מגילה</w:t>
      </w:r>
      <w:r w:rsidR="00951154" w:rsidRPr="00951154">
        <w:rPr>
          <w:rtl/>
        </w:rPr>
        <w:t xml:space="preserve"> </w:t>
      </w:r>
      <w:r w:rsidR="00951154" w:rsidRPr="00951154">
        <w:rPr>
          <w:rFonts w:hint="eastAsia"/>
          <w:rtl/>
        </w:rPr>
        <w:t>שהבאנו</w:t>
      </w:r>
      <w:r w:rsidR="00951154" w:rsidRPr="00951154">
        <w:rPr>
          <w:rtl/>
        </w:rPr>
        <w:t xml:space="preserve"> – "'</w:t>
      </w:r>
      <w:r w:rsidR="00951154" w:rsidRPr="00951154">
        <w:rPr>
          <w:rFonts w:hint="eastAsia"/>
          <w:rtl/>
        </w:rPr>
        <w:t>ולאחותו</w:t>
      </w:r>
      <w:r w:rsidR="00951154" w:rsidRPr="00951154">
        <w:rPr>
          <w:rtl/>
        </w:rPr>
        <w:t xml:space="preserve">' </w:t>
      </w:r>
      <w:r w:rsidR="00951154" w:rsidRPr="00951154">
        <w:rPr>
          <w:rFonts w:hint="eastAsia"/>
          <w:rtl/>
        </w:rPr>
        <w:t>מה</w:t>
      </w:r>
      <w:r w:rsidR="00951154" w:rsidRPr="00951154">
        <w:rPr>
          <w:rtl/>
        </w:rPr>
        <w:t xml:space="preserve"> </w:t>
      </w:r>
      <w:r w:rsidR="00951154" w:rsidRPr="00951154">
        <w:rPr>
          <w:rFonts w:hint="eastAsia"/>
          <w:rtl/>
        </w:rPr>
        <w:t>תלמוד</w:t>
      </w:r>
      <w:r w:rsidR="00951154" w:rsidRPr="00951154">
        <w:rPr>
          <w:rtl/>
        </w:rPr>
        <w:t xml:space="preserve"> </w:t>
      </w:r>
      <w:r w:rsidR="00951154" w:rsidRPr="00951154">
        <w:rPr>
          <w:rFonts w:hint="eastAsia"/>
          <w:rtl/>
        </w:rPr>
        <w:t>לומר</w:t>
      </w:r>
      <w:r w:rsidR="00951154" w:rsidRPr="00951154">
        <w:rPr>
          <w:rtl/>
        </w:rPr>
        <w:t xml:space="preserve">?..." </w:t>
      </w:r>
      <w:r w:rsidR="00951154" w:rsidRPr="00951154">
        <w:rPr>
          <w:rFonts w:hint="eastAsia"/>
          <w:rtl/>
        </w:rPr>
        <w:t>זה</w:t>
      </w:r>
      <w:r w:rsidR="00951154" w:rsidRPr="00951154">
        <w:rPr>
          <w:rtl/>
        </w:rPr>
        <w:t xml:space="preserve"> </w:t>
      </w:r>
      <w:r w:rsidR="00951154" w:rsidRPr="00951154">
        <w:rPr>
          <w:rFonts w:hint="eastAsia"/>
          <w:rtl/>
        </w:rPr>
        <w:t>יכול</w:t>
      </w:r>
      <w:r w:rsidR="00951154" w:rsidRPr="00951154">
        <w:rPr>
          <w:rtl/>
        </w:rPr>
        <w:t xml:space="preserve"> </w:t>
      </w:r>
      <w:r w:rsidR="00951154" w:rsidRPr="00951154">
        <w:rPr>
          <w:rFonts w:hint="eastAsia"/>
          <w:rtl/>
        </w:rPr>
        <w:t>להעיד</w:t>
      </w:r>
      <w:r w:rsidR="00951154" w:rsidRPr="00951154">
        <w:rPr>
          <w:rtl/>
        </w:rPr>
        <w:t xml:space="preserve"> </w:t>
      </w:r>
      <w:r w:rsidR="00951154" w:rsidRPr="00951154">
        <w:rPr>
          <w:rFonts w:hint="eastAsia"/>
          <w:rtl/>
        </w:rPr>
        <w:t>על</w:t>
      </w:r>
      <w:r w:rsidR="00951154" w:rsidRPr="00951154">
        <w:rPr>
          <w:rtl/>
        </w:rPr>
        <w:t xml:space="preserve"> </w:t>
      </w:r>
      <w:r w:rsidR="00951154" w:rsidRPr="00951154">
        <w:rPr>
          <w:rFonts w:hint="eastAsia"/>
          <w:rtl/>
        </w:rPr>
        <w:t>קשר</w:t>
      </w:r>
      <w:r w:rsidR="00951154" w:rsidRPr="00951154">
        <w:rPr>
          <w:rtl/>
        </w:rPr>
        <w:t xml:space="preserve"> </w:t>
      </w:r>
      <w:r w:rsidR="008035FD" w:rsidRPr="00951154">
        <w:rPr>
          <w:rFonts w:hint="cs"/>
          <w:rtl/>
        </w:rPr>
        <w:t>מסוים</w:t>
      </w:r>
      <w:r w:rsidR="00951154" w:rsidRPr="00951154">
        <w:rPr>
          <w:rtl/>
        </w:rPr>
        <w:t xml:space="preserve"> </w:t>
      </w:r>
      <w:r w:rsidR="00951154" w:rsidRPr="00951154">
        <w:rPr>
          <w:rFonts w:hint="eastAsia"/>
          <w:rtl/>
        </w:rPr>
        <w:t>בין</w:t>
      </w:r>
      <w:r w:rsidR="00951154" w:rsidRPr="00951154">
        <w:rPr>
          <w:rtl/>
        </w:rPr>
        <w:t xml:space="preserve"> </w:t>
      </w:r>
      <w:r w:rsidR="00951154" w:rsidRPr="00951154">
        <w:rPr>
          <w:rFonts w:hint="eastAsia"/>
          <w:rtl/>
        </w:rPr>
        <w:t>הסוגיות</w:t>
      </w:r>
      <w:r w:rsidR="00951154" w:rsidRPr="00951154">
        <w:rPr>
          <w:rtl/>
        </w:rPr>
        <w:t xml:space="preserve">, </w:t>
      </w:r>
      <w:r w:rsidR="00951154" w:rsidRPr="00951154">
        <w:rPr>
          <w:rFonts w:hint="eastAsia"/>
          <w:rtl/>
        </w:rPr>
        <w:t>אבל</w:t>
      </w:r>
      <w:r w:rsidR="00951154" w:rsidRPr="00951154">
        <w:rPr>
          <w:rtl/>
        </w:rPr>
        <w:t xml:space="preserve"> </w:t>
      </w:r>
      <w:r w:rsidR="00951154" w:rsidRPr="00951154">
        <w:rPr>
          <w:rFonts w:hint="eastAsia"/>
          <w:rtl/>
        </w:rPr>
        <w:t>לא</w:t>
      </w:r>
      <w:r w:rsidR="00951154" w:rsidRPr="00951154">
        <w:rPr>
          <w:rtl/>
        </w:rPr>
        <w:t xml:space="preserve"> </w:t>
      </w:r>
      <w:r w:rsidR="00951154" w:rsidRPr="00951154">
        <w:rPr>
          <w:rFonts w:hint="eastAsia"/>
          <w:rtl/>
        </w:rPr>
        <w:t>בכך</w:t>
      </w:r>
      <w:r w:rsidR="00951154" w:rsidRPr="00951154">
        <w:rPr>
          <w:rtl/>
        </w:rPr>
        <w:t xml:space="preserve"> </w:t>
      </w:r>
      <w:r w:rsidR="00951154" w:rsidRPr="00951154">
        <w:rPr>
          <w:rFonts w:hint="eastAsia"/>
          <w:rtl/>
        </w:rPr>
        <w:t>עסקינן</w:t>
      </w:r>
      <w:r w:rsidR="00951154" w:rsidRPr="00951154">
        <w:rPr>
          <w:rtl/>
        </w:rPr>
        <w:t>.</w:t>
      </w:r>
    </w:p>
  </w:footnote>
  <w:footnote w:id="18">
    <w:p w14:paraId="3B48C03D" w14:textId="68533CD0" w:rsidR="00D433CC" w:rsidRDefault="00D433CC">
      <w:pPr>
        <w:pStyle w:val="FootnoteText"/>
        <w:rPr>
          <w:rFonts w:hint="cs"/>
        </w:rPr>
      </w:pPr>
      <w:r>
        <w:rPr>
          <w:rStyle w:val="FootnoteReference"/>
        </w:rPr>
        <w:footnoteRef/>
      </w:r>
      <w:r w:rsidR="00FF6D00">
        <w:rPr>
          <w:rtl/>
        </w:rPr>
        <w:t xml:space="preserve"> </w:t>
      </w:r>
      <w:r w:rsidR="00AF2F74">
        <w:rPr>
          <w:rtl/>
        </w:rPr>
        <w:tab/>
      </w:r>
      <w:r w:rsidRPr="00D433CC">
        <w:rPr>
          <w:rFonts w:hint="eastAsia"/>
          <w:rtl/>
        </w:rPr>
        <w:t>לדוגמא</w:t>
      </w:r>
      <w:r w:rsidRPr="00D433CC">
        <w:rPr>
          <w:rtl/>
        </w:rPr>
        <w:t xml:space="preserve"> – </w:t>
      </w:r>
      <w:r w:rsidRPr="00D433CC">
        <w:rPr>
          <w:rFonts w:hint="eastAsia"/>
          <w:rtl/>
        </w:rPr>
        <w:t>בסוגייה</w:t>
      </w:r>
      <w:r w:rsidRPr="00D433CC">
        <w:rPr>
          <w:rtl/>
        </w:rPr>
        <w:t xml:space="preserve"> </w:t>
      </w:r>
      <w:r w:rsidRPr="00D433CC">
        <w:rPr>
          <w:rFonts w:hint="eastAsia"/>
          <w:rtl/>
        </w:rPr>
        <w:t>שהבאנו</w:t>
      </w:r>
      <w:r w:rsidRPr="00D433CC">
        <w:rPr>
          <w:rtl/>
        </w:rPr>
        <w:t xml:space="preserve"> </w:t>
      </w:r>
      <w:r w:rsidRPr="00D433CC">
        <w:rPr>
          <w:rFonts w:hint="eastAsia"/>
          <w:rtl/>
        </w:rPr>
        <w:t>בנזיר</w:t>
      </w:r>
      <w:r w:rsidRPr="00D433CC">
        <w:rPr>
          <w:rtl/>
        </w:rPr>
        <w:t xml:space="preserve"> </w:t>
      </w:r>
      <w:r w:rsidRPr="00D433CC">
        <w:rPr>
          <w:rFonts w:hint="eastAsia"/>
          <w:rtl/>
        </w:rPr>
        <w:t>נאמר</w:t>
      </w:r>
      <w:r w:rsidRPr="00D433CC">
        <w:rPr>
          <w:rtl/>
        </w:rPr>
        <w:t xml:space="preserve"> </w:t>
      </w:r>
      <w:r w:rsidRPr="00D433CC">
        <w:rPr>
          <w:rFonts w:hint="eastAsia"/>
          <w:rtl/>
        </w:rPr>
        <w:t>כך</w:t>
      </w:r>
      <w:r w:rsidRPr="00D433CC">
        <w:rPr>
          <w:rtl/>
        </w:rPr>
        <w:t xml:space="preserve">: " </w:t>
      </w:r>
      <w:r w:rsidRPr="00D433CC">
        <w:rPr>
          <w:rFonts w:hint="eastAsia"/>
          <w:rtl/>
        </w:rPr>
        <w:t>מַהוּ</w:t>
      </w:r>
      <w:r w:rsidRPr="00D433CC">
        <w:rPr>
          <w:rtl/>
        </w:rPr>
        <w:t xml:space="preserve"> </w:t>
      </w:r>
      <w:r w:rsidRPr="00D433CC">
        <w:rPr>
          <w:rFonts w:hint="eastAsia"/>
          <w:rtl/>
        </w:rPr>
        <w:t>שֶׁיִּטָּמֵא</w:t>
      </w:r>
      <w:r w:rsidRPr="00D433CC">
        <w:rPr>
          <w:rtl/>
        </w:rPr>
        <w:t xml:space="preserve"> </w:t>
      </w:r>
      <w:r w:rsidRPr="00D433CC">
        <w:rPr>
          <w:rFonts w:hint="eastAsia"/>
          <w:rtl/>
        </w:rPr>
        <w:t>אָדָם</w:t>
      </w:r>
      <w:r w:rsidRPr="00D433CC">
        <w:rPr>
          <w:rtl/>
        </w:rPr>
        <w:t xml:space="preserve"> </w:t>
      </w:r>
      <w:r w:rsidRPr="00D433CC">
        <w:rPr>
          <w:rFonts w:hint="eastAsia"/>
          <w:rtl/>
        </w:rPr>
        <w:t>לְתַלְמוּד</w:t>
      </w:r>
      <w:r w:rsidRPr="00D433CC">
        <w:rPr>
          <w:rtl/>
        </w:rPr>
        <w:t xml:space="preserve"> </w:t>
      </w:r>
      <w:r w:rsidRPr="00D433CC">
        <w:rPr>
          <w:rFonts w:hint="eastAsia"/>
          <w:rtl/>
        </w:rPr>
        <w:t>תּוֹרָה</w:t>
      </w:r>
      <w:r w:rsidRPr="00D433CC">
        <w:rPr>
          <w:rtl/>
        </w:rPr>
        <w:t xml:space="preserve">?". </w:t>
      </w:r>
      <w:r w:rsidRPr="00D433CC">
        <w:rPr>
          <w:rFonts w:hint="eastAsia"/>
          <w:rtl/>
        </w:rPr>
        <w:t>במקבילה</w:t>
      </w:r>
      <w:r w:rsidRPr="00D433CC">
        <w:rPr>
          <w:rtl/>
        </w:rPr>
        <w:t xml:space="preserve"> </w:t>
      </w:r>
      <w:r w:rsidRPr="00D433CC">
        <w:rPr>
          <w:rFonts w:hint="eastAsia"/>
          <w:rtl/>
        </w:rPr>
        <w:t>באותו</w:t>
      </w:r>
      <w:r w:rsidRPr="00D433CC">
        <w:rPr>
          <w:rtl/>
        </w:rPr>
        <w:t xml:space="preserve"> </w:t>
      </w:r>
      <w:r w:rsidRPr="00D433CC">
        <w:rPr>
          <w:rFonts w:hint="eastAsia"/>
          <w:rtl/>
        </w:rPr>
        <w:t>המקום</w:t>
      </w:r>
      <w:r w:rsidRPr="00D433CC">
        <w:rPr>
          <w:rtl/>
        </w:rPr>
        <w:t xml:space="preserve"> </w:t>
      </w:r>
      <w:r w:rsidRPr="00D433CC">
        <w:rPr>
          <w:rFonts w:hint="eastAsia"/>
          <w:rtl/>
        </w:rPr>
        <w:t>נכתב</w:t>
      </w:r>
      <w:r w:rsidRPr="00D433CC">
        <w:rPr>
          <w:rtl/>
        </w:rPr>
        <w:t xml:space="preserve"> </w:t>
      </w:r>
      <w:r w:rsidRPr="00D433CC">
        <w:rPr>
          <w:rFonts w:hint="eastAsia"/>
          <w:rtl/>
        </w:rPr>
        <w:t>כך</w:t>
      </w:r>
      <w:r w:rsidRPr="00D433CC">
        <w:rPr>
          <w:rtl/>
        </w:rPr>
        <w:t xml:space="preserve">: " </w:t>
      </w:r>
      <w:r w:rsidRPr="00D433CC">
        <w:rPr>
          <w:rFonts w:hint="eastAsia"/>
          <w:rtl/>
        </w:rPr>
        <w:t>מַהוּ</w:t>
      </w:r>
      <w:r w:rsidRPr="00D433CC">
        <w:rPr>
          <w:rtl/>
        </w:rPr>
        <w:t xml:space="preserve"> </w:t>
      </w:r>
      <w:r w:rsidRPr="00D433CC">
        <w:rPr>
          <w:rFonts w:hint="eastAsia"/>
          <w:rtl/>
        </w:rPr>
        <w:t>שֶׁיִּטָּמֵא</w:t>
      </w:r>
      <w:r w:rsidRPr="00D433CC">
        <w:rPr>
          <w:rtl/>
        </w:rPr>
        <w:t xml:space="preserve"> </w:t>
      </w:r>
      <w:r w:rsidRPr="00D433CC">
        <w:rPr>
          <w:rFonts w:hint="eastAsia"/>
          <w:rtl/>
        </w:rPr>
        <w:t>כֹהֵן</w:t>
      </w:r>
      <w:r w:rsidRPr="00D433CC">
        <w:rPr>
          <w:rtl/>
        </w:rPr>
        <w:t xml:space="preserve"> </w:t>
      </w:r>
      <w:r w:rsidRPr="00D433CC">
        <w:rPr>
          <w:rFonts w:hint="eastAsia"/>
          <w:rtl/>
        </w:rPr>
        <w:t>לִכְבוֹד</w:t>
      </w:r>
      <w:r w:rsidRPr="00D433CC">
        <w:rPr>
          <w:rtl/>
        </w:rPr>
        <w:t xml:space="preserve"> </w:t>
      </w:r>
      <w:r w:rsidRPr="00D433CC">
        <w:rPr>
          <w:rFonts w:hint="eastAsia"/>
          <w:rtl/>
        </w:rPr>
        <w:t>תּוֹרָה</w:t>
      </w:r>
      <w:r w:rsidRPr="00D433CC">
        <w:rPr>
          <w:rtl/>
        </w:rPr>
        <w:t xml:space="preserve">". </w:t>
      </w:r>
      <w:r w:rsidRPr="00D433CC">
        <w:rPr>
          <w:rFonts w:hint="eastAsia"/>
          <w:rtl/>
        </w:rPr>
        <w:t>זו</w:t>
      </w:r>
      <w:r w:rsidRPr="00D433CC">
        <w:rPr>
          <w:rtl/>
        </w:rPr>
        <w:t xml:space="preserve"> </w:t>
      </w:r>
      <w:r w:rsidRPr="00D433CC">
        <w:rPr>
          <w:rFonts w:hint="eastAsia"/>
          <w:rtl/>
        </w:rPr>
        <w:t>דוגמא</w:t>
      </w:r>
      <w:r w:rsidRPr="00D433CC">
        <w:rPr>
          <w:rtl/>
        </w:rPr>
        <w:t xml:space="preserve"> </w:t>
      </w:r>
      <w:r w:rsidRPr="00D433CC">
        <w:rPr>
          <w:rFonts w:hint="eastAsia"/>
          <w:rtl/>
        </w:rPr>
        <w:t>טובה</w:t>
      </w:r>
      <w:r w:rsidRPr="00D433CC">
        <w:rPr>
          <w:rtl/>
        </w:rPr>
        <w:t xml:space="preserve"> </w:t>
      </w:r>
      <w:r w:rsidRPr="00D433CC">
        <w:rPr>
          <w:rFonts w:hint="eastAsia"/>
          <w:rtl/>
        </w:rPr>
        <w:t>גם</w:t>
      </w:r>
      <w:r w:rsidRPr="00D433CC">
        <w:rPr>
          <w:rtl/>
        </w:rPr>
        <w:t xml:space="preserve"> </w:t>
      </w:r>
      <w:r w:rsidRPr="00D433CC">
        <w:rPr>
          <w:rFonts w:hint="eastAsia"/>
          <w:rtl/>
        </w:rPr>
        <w:t>לכך</w:t>
      </w:r>
      <w:r w:rsidRPr="00D433CC">
        <w:rPr>
          <w:rtl/>
        </w:rPr>
        <w:t xml:space="preserve"> </w:t>
      </w:r>
      <w:r w:rsidRPr="00D433CC">
        <w:rPr>
          <w:rFonts w:hint="eastAsia"/>
          <w:rtl/>
        </w:rPr>
        <w:t>שההקשר</w:t>
      </w:r>
      <w:r w:rsidRPr="00D433CC">
        <w:rPr>
          <w:rtl/>
        </w:rPr>
        <w:t xml:space="preserve"> </w:t>
      </w:r>
      <w:r w:rsidRPr="00D433CC">
        <w:rPr>
          <w:rFonts w:hint="eastAsia"/>
          <w:rtl/>
        </w:rPr>
        <w:t>של</w:t>
      </w:r>
      <w:r w:rsidRPr="00D433CC">
        <w:rPr>
          <w:rtl/>
        </w:rPr>
        <w:t xml:space="preserve"> </w:t>
      </w:r>
      <w:r w:rsidRPr="00D433CC">
        <w:rPr>
          <w:rFonts w:hint="eastAsia"/>
          <w:rtl/>
        </w:rPr>
        <w:t>הסוגיה</w:t>
      </w:r>
      <w:r w:rsidRPr="00D433CC">
        <w:rPr>
          <w:rtl/>
        </w:rPr>
        <w:t xml:space="preserve"> </w:t>
      </w:r>
      <w:r w:rsidRPr="00D433CC">
        <w:rPr>
          <w:rFonts w:hint="eastAsia"/>
          <w:rtl/>
        </w:rPr>
        <w:t>בברכות</w:t>
      </w:r>
      <w:r w:rsidRPr="00D433CC">
        <w:rPr>
          <w:rtl/>
        </w:rPr>
        <w:t xml:space="preserve"> </w:t>
      </w:r>
      <w:r w:rsidRPr="00D433CC">
        <w:rPr>
          <w:rFonts w:hint="eastAsia"/>
          <w:rtl/>
        </w:rPr>
        <w:t>הרבה</w:t>
      </w:r>
      <w:r w:rsidRPr="00D433CC">
        <w:rPr>
          <w:rtl/>
        </w:rPr>
        <w:t xml:space="preserve"> </w:t>
      </w:r>
      <w:r w:rsidRPr="00D433CC">
        <w:rPr>
          <w:rFonts w:hint="eastAsia"/>
          <w:rtl/>
        </w:rPr>
        <w:t>יותר</w:t>
      </w:r>
      <w:r w:rsidRPr="00D433CC">
        <w:rPr>
          <w:rtl/>
        </w:rPr>
        <w:t xml:space="preserve"> </w:t>
      </w:r>
      <w:r w:rsidRPr="00D433CC">
        <w:rPr>
          <w:rFonts w:hint="eastAsia"/>
          <w:rtl/>
        </w:rPr>
        <w:t>ברור</w:t>
      </w:r>
      <w:r w:rsidRPr="00D433CC">
        <w:rPr>
          <w:rtl/>
        </w:rPr>
        <w:t xml:space="preserve">; </w:t>
      </w:r>
      <w:r w:rsidRPr="00D433CC">
        <w:rPr>
          <w:rFonts w:hint="eastAsia"/>
          <w:rtl/>
        </w:rPr>
        <w:t>השאלה</w:t>
      </w:r>
      <w:r w:rsidRPr="00D433CC">
        <w:rPr>
          <w:rtl/>
        </w:rPr>
        <w:t xml:space="preserve"> "</w:t>
      </w:r>
      <w:r w:rsidRPr="00D433CC">
        <w:rPr>
          <w:rFonts w:hint="eastAsia"/>
          <w:rtl/>
        </w:rPr>
        <w:t>מהו</w:t>
      </w:r>
      <w:r w:rsidRPr="00D433CC">
        <w:rPr>
          <w:rtl/>
        </w:rPr>
        <w:t xml:space="preserve"> </w:t>
      </w:r>
      <w:r w:rsidRPr="00D433CC">
        <w:rPr>
          <w:rFonts w:hint="eastAsia"/>
          <w:rtl/>
        </w:rPr>
        <w:t>שייטמא</w:t>
      </w:r>
      <w:r w:rsidRPr="00D433CC">
        <w:rPr>
          <w:rtl/>
        </w:rPr>
        <w:t xml:space="preserve"> </w:t>
      </w:r>
      <w:r w:rsidRPr="00D433CC">
        <w:rPr>
          <w:rFonts w:hint="eastAsia"/>
          <w:rtl/>
        </w:rPr>
        <w:t>אדם</w:t>
      </w:r>
      <w:r w:rsidRPr="00D433CC">
        <w:rPr>
          <w:rtl/>
        </w:rPr>
        <w:t xml:space="preserve">" </w:t>
      </w:r>
      <w:r w:rsidRPr="00D433CC">
        <w:rPr>
          <w:rFonts w:hint="eastAsia"/>
          <w:rtl/>
        </w:rPr>
        <w:t>היא</w:t>
      </w:r>
      <w:r w:rsidRPr="00D433CC">
        <w:rPr>
          <w:rtl/>
        </w:rPr>
        <w:t xml:space="preserve"> </w:t>
      </w:r>
      <w:r w:rsidRPr="00D433CC">
        <w:rPr>
          <w:rFonts w:hint="eastAsia"/>
          <w:rtl/>
        </w:rPr>
        <w:t>בפני</w:t>
      </w:r>
      <w:r w:rsidRPr="00D433CC">
        <w:rPr>
          <w:rtl/>
        </w:rPr>
        <w:t xml:space="preserve"> </w:t>
      </w:r>
      <w:r w:rsidRPr="00D433CC">
        <w:rPr>
          <w:rFonts w:hint="eastAsia"/>
          <w:rtl/>
        </w:rPr>
        <w:t>עצמה</w:t>
      </w:r>
      <w:r w:rsidRPr="00D433CC">
        <w:rPr>
          <w:rtl/>
        </w:rPr>
        <w:t xml:space="preserve"> </w:t>
      </w:r>
      <w:r w:rsidRPr="00D433CC">
        <w:rPr>
          <w:rFonts w:hint="eastAsia"/>
          <w:rtl/>
        </w:rPr>
        <w:t>מוזרה</w:t>
      </w:r>
      <w:r w:rsidRPr="00D433CC">
        <w:rPr>
          <w:rtl/>
        </w:rPr>
        <w:t xml:space="preserve">. </w:t>
      </w:r>
      <w:r w:rsidRPr="00D433CC">
        <w:rPr>
          <w:rFonts w:hint="eastAsia"/>
          <w:rtl/>
        </w:rPr>
        <w:t>אסביר</w:t>
      </w:r>
      <w:r w:rsidRPr="00D433CC">
        <w:rPr>
          <w:rtl/>
        </w:rPr>
        <w:t xml:space="preserve"> </w:t>
      </w:r>
      <w:r w:rsidRPr="00D433CC">
        <w:rPr>
          <w:rFonts w:hint="eastAsia"/>
          <w:rtl/>
        </w:rPr>
        <w:t>גם</w:t>
      </w:r>
      <w:r w:rsidRPr="00D433CC">
        <w:rPr>
          <w:rtl/>
        </w:rPr>
        <w:t xml:space="preserve"> </w:t>
      </w:r>
      <w:r w:rsidRPr="00D433CC">
        <w:rPr>
          <w:rFonts w:hint="eastAsia"/>
          <w:rtl/>
        </w:rPr>
        <w:t>למה</w:t>
      </w:r>
      <w:r w:rsidRPr="00D433CC">
        <w:rPr>
          <w:rtl/>
        </w:rPr>
        <w:t xml:space="preserve"> </w:t>
      </w:r>
      <w:r w:rsidRPr="00D433CC">
        <w:rPr>
          <w:rFonts w:hint="eastAsia"/>
          <w:rtl/>
        </w:rPr>
        <w:t>היא</w:t>
      </w:r>
      <w:r w:rsidRPr="00D433CC">
        <w:rPr>
          <w:rtl/>
        </w:rPr>
        <w:t xml:space="preserve"> </w:t>
      </w:r>
      <w:r w:rsidRPr="00D433CC">
        <w:rPr>
          <w:rFonts w:hint="eastAsia"/>
          <w:rtl/>
        </w:rPr>
        <w:t>נערכה</w:t>
      </w:r>
      <w:r w:rsidRPr="00D433CC">
        <w:rPr>
          <w:rtl/>
        </w:rPr>
        <w:t xml:space="preserve"> </w:t>
      </w:r>
      <w:r w:rsidRPr="00D433CC">
        <w:rPr>
          <w:rFonts w:hint="eastAsia"/>
          <w:rtl/>
        </w:rPr>
        <w:t>בצורה</w:t>
      </w:r>
      <w:r w:rsidRPr="00D433CC">
        <w:rPr>
          <w:rtl/>
        </w:rPr>
        <w:t xml:space="preserve"> </w:t>
      </w:r>
      <w:r w:rsidRPr="00D433CC">
        <w:rPr>
          <w:rFonts w:hint="eastAsia"/>
          <w:rtl/>
        </w:rPr>
        <w:t>הזו</w:t>
      </w:r>
      <w:r w:rsidRPr="00D433CC">
        <w:rPr>
          <w:rtl/>
        </w:rPr>
        <w:t>.</w:t>
      </w:r>
    </w:p>
  </w:footnote>
  <w:footnote w:id="19">
    <w:p w14:paraId="3AA03D3B" w14:textId="605C8B9F" w:rsidR="0001209E" w:rsidRDefault="0001209E">
      <w:pPr>
        <w:pStyle w:val="FootnoteText"/>
        <w:rPr>
          <w:rFonts w:hint="cs"/>
        </w:rPr>
      </w:pPr>
      <w:r>
        <w:rPr>
          <w:rStyle w:val="FootnoteReference"/>
        </w:rPr>
        <w:footnoteRef/>
      </w:r>
      <w:r w:rsidR="00FF6D00">
        <w:rPr>
          <w:rtl/>
        </w:rPr>
        <w:t xml:space="preserve"> </w:t>
      </w:r>
      <w:r w:rsidR="00AF2F74">
        <w:rPr>
          <w:rtl/>
        </w:rPr>
        <w:tab/>
      </w:r>
      <w:r w:rsidRPr="0001209E">
        <w:rPr>
          <w:rFonts w:hint="eastAsia"/>
          <w:rtl/>
        </w:rPr>
        <w:t>סבלים</w:t>
      </w:r>
      <w:r w:rsidRPr="0001209E">
        <w:rPr>
          <w:rtl/>
        </w:rPr>
        <w:t xml:space="preserve"> </w:t>
      </w:r>
      <w:r w:rsidRPr="0001209E">
        <w:rPr>
          <w:rFonts w:hint="eastAsia"/>
          <w:rtl/>
        </w:rPr>
        <w:t>הסוחבים</w:t>
      </w:r>
      <w:r w:rsidRPr="0001209E">
        <w:rPr>
          <w:rtl/>
        </w:rPr>
        <w:t xml:space="preserve"> </w:t>
      </w:r>
      <w:r w:rsidRPr="0001209E">
        <w:rPr>
          <w:rFonts w:hint="eastAsia"/>
          <w:rtl/>
        </w:rPr>
        <w:t>את</w:t>
      </w:r>
      <w:r w:rsidRPr="0001209E">
        <w:rPr>
          <w:rtl/>
        </w:rPr>
        <w:t xml:space="preserve"> </w:t>
      </w:r>
      <w:r w:rsidRPr="0001209E">
        <w:rPr>
          <w:rFonts w:hint="eastAsia"/>
          <w:rtl/>
        </w:rPr>
        <w:t>מיטת</w:t>
      </w:r>
      <w:r w:rsidRPr="0001209E">
        <w:rPr>
          <w:rtl/>
        </w:rPr>
        <w:t xml:space="preserve"> </w:t>
      </w:r>
      <w:r w:rsidRPr="0001209E">
        <w:rPr>
          <w:rFonts w:hint="eastAsia"/>
          <w:rtl/>
        </w:rPr>
        <w:t>המת</w:t>
      </w:r>
      <w:r w:rsidRPr="0001209E">
        <w:rPr>
          <w:rtl/>
        </w:rPr>
        <w:t xml:space="preserve"> </w:t>
      </w:r>
      <w:r w:rsidRPr="0001209E">
        <w:rPr>
          <w:rFonts w:hint="eastAsia"/>
          <w:rtl/>
        </w:rPr>
        <w:t>בדרך</w:t>
      </w:r>
      <w:r w:rsidRPr="0001209E">
        <w:rPr>
          <w:rtl/>
        </w:rPr>
        <w:t xml:space="preserve"> </w:t>
      </w:r>
      <w:r w:rsidRPr="0001209E">
        <w:rPr>
          <w:rFonts w:hint="eastAsia"/>
          <w:rtl/>
        </w:rPr>
        <w:t>להלוויה</w:t>
      </w:r>
      <w:r w:rsidRPr="0001209E">
        <w:rPr>
          <w:rtl/>
        </w:rPr>
        <w:t>.</w:t>
      </w:r>
    </w:p>
  </w:footnote>
  <w:footnote w:id="20">
    <w:p w14:paraId="74BD6973" w14:textId="6964B55B" w:rsidR="006D260B" w:rsidRDefault="006D260B">
      <w:pPr>
        <w:pStyle w:val="FootnoteText"/>
        <w:rPr>
          <w:rtl/>
        </w:rPr>
      </w:pPr>
      <w:r>
        <w:rPr>
          <w:rStyle w:val="FootnoteReference"/>
        </w:rPr>
        <w:footnoteRef/>
      </w:r>
      <w:r w:rsidR="00FF6D00">
        <w:rPr>
          <w:rtl/>
        </w:rPr>
        <w:t xml:space="preserve"> </w:t>
      </w:r>
      <w:r w:rsidR="00AF2F74">
        <w:rPr>
          <w:rtl/>
        </w:rPr>
        <w:tab/>
      </w:r>
      <w:r w:rsidRPr="006D260B">
        <w:rPr>
          <w:rFonts w:hint="eastAsia"/>
          <w:rtl/>
        </w:rPr>
        <w:t>משנה</w:t>
      </w:r>
      <w:r w:rsidRPr="006D260B">
        <w:rPr>
          <w:rtl/>
        </w:rPr>
        <w:t xml:space="preserve"> </w:t>
      </w:r>
      <w:r w:rsidRPr="006D260B">
        <w:rPr>
          <w:rFonts w:hint="eastAsia"/>
          <w:rtl/>
        </w:rPr>
        <w:t>ברכות</w:t>
      </w:r>
      <w:r w:rsidRPr="006D260B">
        <w:rPr>
          <w:rtl/>
        </w:rPr>
        <w:t xml:space="preserve"> </w:t>
      </w:r>
      <w:r w:rsidRPr="006D260B">
        <w:rPr>
          <w:rFonts w:hint="eastAsia"/>
          <w:rtl/>
        </w:rPr>
        <w:t>פרק</w:t>
      </w:r>
      <w:r w:rsidRPr="006D260B">
        <w:rPr>
          <w:rtl/>
        </w:rPr>
        <w:t xml:space="preserve"> </w:t>
      </w:r>
      <w:r w:rsidRPr="006D260B">
        <w:rPr>
          <w:rFonts w:hint="eastAsia"/>
          <w:rtl/>
        </w:rPr>
        <w:t>ג</w:t>
      </w:r>
      <w:r w:rsidRPr="006D260B">
        <w:rPr>
          <w:rtl/>
        </w:rPr>
        <w:t xml:space="preserve">' </w:t>
      </w:r>
      <w:r w:rsidRPr="006D260B">
        <w:rPr>
          <w:rFonts w:hint="eastAsia"/>
          <w:rtl/>
        </w:rPr>
        <w:t>משנה</w:t>
      </w:r>
      <w:r w:rsidRPr="006D260B">
        <w:rPr>
          <w:rtl/>
        </w:rPr>
        <w:t xml:space="preserve"> </w:t>
      </w:r>
      <w:r w:rsidRPr="006D260B">
        <w:rPr>
          <w:rFonts w:hint="eastAsia"/>
          <w:rtl/>
        </w:rPr>
        <w:t>ב</w:t>
      </w:r>
      <w:r w:rsidRPr="006D260B">
        <w:rPr>
          <w:rtl/>
        </w:rPr>
        <w:t>': "</w:t>
      </w:r>
      <w:r w:rsidRPr="006D260B">
        <w:rPr>
          <w:rFonts w:hint="eastAsia"/>
          <w:rtl/>
        </w:rPr>
        <w:t>קָבְרוּ</w:t>
      </w:r>
      <w:r w:rsidRPr="006D260B">
        <w:rPr>
          <w:rtl/>
        </w:rPr>
        <w:t xml:space="preserve"> </w:t>
      </w:r>
      <w:r w:rsidRPr="006D260B">
        <w:rPr>
          <w:rFonts w:hint="eastAsia"/>
          <w:rtl/>
        </w:rPr>
        <w:t>אֶת</w:t>
      </w:r>
      <w:r w:rsidRPr="006D260B">
        <w:rPr>
          <w:rtl/>
        </w:rPr>
        <w:t xml:space="preserve"> </w:t>
      </w:r>
      <w:r w:rsidRPr="006D260B">
        <w:rPr>
          <w:rFonts w:hint="eastAsia"/>
          <w:rtl/>
        </w:rPr>
        <w:t>הַמֵּת</w:t>
      </w:r>
      <w:r w:rsidRPr="006D260B">
        <w:rPr>
          <w:rtl/>
        </w:rPr>
        <w:t xml:space="preserve"> </w:t>
      </w:r>
      <w:r w:rsidRPr="006D260B">
        <w:rPr>
          <w:rFonts w:hint="eastAsia"/>
          <w:rtl/>
        </w:rPr>
        <w:t>וְחָזְרוּ</w:t>
      </w:r>
      <w:r w:rsidRPr="006D260B">
        <w:rPr>
          <w:rtl/>
        </w:rPr>
        <w:t xml:space="preserve">, </w:t>
      </w:r>
      <w:r w:rsidRPr="006D260B">
        <w:rPr>
          <w:rFonts w:hint="eastAsia"/>
          <w:rtl/>
        </w:rPr>
        <w:t>אִם</w:t>
      </w:r>
      <w:r w:rsidRPr="006D260B">
        <w:rPr>
          <w:rtl/>
        </w:rPr>
        <w:t xml:space="preserve"> </w:t>
      </w:r>
      <w:r w:rsidRPr="006D260B">
        <w:rPr>
          <w:rFonts w:hint="eastAsia"/>
          <w:rtl/>
        </w:rPr>
        <w:t>יְכוֹלִין</w:t>
      </w:r>
      <w:r w:rsidRPr="006D260B">
        <w:rPr>
          <w:rtl/>
        </w:rPr>
        <w:t xml:space="preserve"> </w:t>
      </w:r>
      <w:r w:rsidRPr="006D260B">
        <w:rPr>
          <w:rFonts w:hint="eastAsia"/>
          <w:rtl/>
        </w:rPr>
        <w:t>לְהַתְחִיל</w:t>
      </w:r>
      <w:r w:rsidRPr="006D260B">
        <w:rPr>
          <w:rtl/>
        </w:rPr>
        <w:t xml:space="preserve"> </w:t>
      </w:r>
      <w:r w:rsidRPr="006D260B">
        <w:rPr>
          <w:rFonts w:hint="eastAsia"/>
          <w:rtl/>
        </w:rPr>
        <w:t>וְלִגְמֹר</w:t>
      </w:r>
      <w:r w:rsidRPr="006D260B">
        <w:rPr>
          <w:rtl/>
        </w:rPr>
        <w:t xml:space="preserve"> </w:t>
      </w:r>
      <w:r w:rsidRPr="006D260B">
        <w:rPr>
          <w:rFonts w:hint="eastAsia"/>
          <w:rtl/>
        </w:rPr>
        <w:t>עַד</w:t>
      </w:r>
      <w:r w:rsidRPr="006D260B">
        <w:rPr>
          <w:rtl/>
        </w:rPr>
        <w:t xml:space="preserve"> </w:t>
      </w:r>
      <w:r w:rsidRPr="006D260B">
        <w:rPr>
          <w:rFonts w:hint="eastAsia"/>
          <w:rtl/>
        </w:rPr>
        <w:t>שֶׁלֹּא</w:t>
      </w:r>
      <w:r w:rsidRPr="006D260B">
        <w:rPr>
          <w:rtl/>
        </w:rPr>
        <w:t xml:space="preserve"> </w:t>
      </w:r>
      <w:r w:rsidRPr="006D260B">
        <w:rPr>
          <w:rFonts w:hint="eastAsia"/>
          <w:rtl/>
        </w:rPr>
        <w:t>יַגִּיעוּ</w:t>
      </w:r>
      <w:r w:rsidRPr="006D260B">
        <w:rPr>
          <w:rtl/>
        </w:rPr>
        <w:t xml:space="preserve"> </w:t>
      </w:r>
      <w:r w:rsidRPr="006D260B">
        <w:rPr>
          <w:rFonts w:hint="eastAsia"/>
          <w:rtl/>
        </w:rPr>
        <w:t>לַשּׁוּרָה</w:t>
      </w:r>
      <w:r w:rsidRPr="006D260B">
        <w:rPr>
          <w:rtl/>
        </w:rPr>
        <w:t xml:space="preserve">, </w:t>
      </w:r>
      <w:r w:rsidRPr="006D260B">
        <w:rPr>
          <w:rFonts w:hint="eastAsia"/>
          <w:rtl/>
        </w:rPr>
        <w:t>יַתְחִילוּ</w:t>
      </w:r>
      <w:r w:rsidRPr="006D260B">
        <w:rPr>
          <w:rtl/>
        </w:rPr>
        <w:t xml:space="preserve">. </w:t>
      </w:r>
      <w:r w:rsidRPr="006D260B">
        <w:rPr>
          <w:rFonts w:hint="eastAsia"/>
          <w:rtl/>
        </w:rPr>
        <w:t>וְאִם</w:t>
      </w:r>
      <w:r w:rsidRPr="006D260B">
        <w:rPr>
          <w:rtl/>
        </w:rPr>
        <w:t xml:space="preserve"> </w:t>
      </w:r>
      <w:r w:rsidRPr="006D260B">
        <w:rPr>
          <w:rFonts w:hint="eastAsia"/>
          <w:rtl/>
        </w:rPr>
        <w:t>לָאו</w:t>
      </w:r>
      <w:r w:rsidRPr="006D260B">
        <w:rPr>
          <w:rtl/>
        </w:rPr>
        <w:t xml:space="preserve">, </w:t>
      </w:r>
      <w:r w:rsidRPr="006D260B">
        <w:rPr>
          <w:rFonts w:hint="eastAsia"/>
          <w:rtl/>
        </w:rPr>
        <w:t>לֹא</w:t>
      </w:r>
      <w:r w:rsidRPr="006D260B">
        <w:rPr>
          <w:rtl/>
        </w:rPr>
        <w:t xml:space="preserve"> </w:t>
      </w:r>
      <w:r w:rsidRPr="006D260B">
        <w:rPr>
          <w:rFonts w:hint="eastAsia"/>
          <w:rtl/>
        </w:rPr>
        <w:t>יַתְחִילוּ</w:t>
      </w:r>
      <w:r w:rsidRPr="006D260B">
        <w:rPr>
          <w:rtl/>
        </w:rPr>
        <w:t>.".</w:t>
      </w:r>
    </w:p>
    <w:p w14:paraId="09B142F2" w14:textId="7E67DB9E" w:rsidR="00F7073B" w:rsidRPr="00EA03B5" w:rsidRDefault="00F7073B" w:rsidP="00F7073B">
      <w:pPr>
        <w:pStyle w:val="FootnoteText"/>
        <w:ind w:firstLine="283"/>
        <w:rPr>
          <w:rFonts w:hint="cs"/>
          <w:lang w:val="en-GB"/>
        </w:rPr>
      </w:pPr>
      <w:r w:rsidRPr="000F65C9">
        <w:rPr>
          <w:rtl/>
          <w:lang w:val="en-IL"/>
        </w:rPr>
        <w:t>אני לא מתיימר לדעת שזה בדיוק מה שקרה, אבל אם קיבלנו כהנחת בסיס את זה שהמקורות מקבילים זה לזה כפי שהאור לישרים</w:t>
      </w:r>
      <w:r w:rsidR="00FF6D00">
        <w:rPr>
          <w:rtl/>
          <w:lang w:val="en-IL"/>
        </w:rPr>
        <w:t xml:space="preserve"> </w:t>
      </w:r>
      <w:r w:rsidR="003624B8">
        <w:rPr>
          <w:rFonts w:hint="cs"/>
          <w:rtl/>
          <w:lang w:val="en-IL"/>
        </w:rPr>
        <w:t>(</w:t>
      </w:r>
      <w:r w:rsidR="00143956">
        <w:rPr>
          <w:rFonts w:hint="cs"/>
          <w:rtl/>
          <w:lang w:val="en-IL"/>
        </w:rPr>
        <w:t xml:space="preserve">להלן) </w:t>
      </w:r>
      <w:r w:rsidRPr="000F65C9">
        <w:rPr>
          <w:rtl/>
          <w:lang w:val="en-IL"/>
        </w:rPr>
        <w:t>אומר ואת זה שהמושג כבוד הרבים הוגדר אמפירית לפני כבוד הבריות, זה מאוד סביר</w:t>
      </w:r>
      <w:r w:rsidR="00392466">
        <w:rPr>
          <w:rFonts w:hint="cs"/>
          <w:rtl/>
        </w:rPr>
        <w:t>.</w:t>
      </w:r>
    </w:p>
  </w:footnote>
  <w:footnote w:id="21">
    <w:p w14:paraId="38B75894" w14:textId="14514DE8" w:rsidR="00EA03B5" w:rsidRDefault="00EA03B5">
      <w:pPr>
        <w:pStyle w:val="FootnoteText"/>
        <w:rPr>
          <w:rFonts w:hint="cs"/>
          <w:rtl/>
        </w:rPr>
      </w:pPr>
      <w:r>
        <w:rPr>
          <w:rStyle w:val="FootnoteReference"/>
        </w:rPr>
        <w:footnoteRef/>
      </w:r>
      <w:r w:rsidR="00FF6D00">
        <w:rPr>
          <w:rtl/>
        </w:rPr>
        <w:t xml:space="preserve"> </w:t>
      </w:r>
      <w:r w:rsidR="00AF2F74">
        <w:rPr>
          <w:rtl/>
        </w:rPr>
        <w:tab/>
      </w:r>
      <w:r w:rsidRPr="00EA03B5">
        <w:rPr>
          <w:rFonts w:hint="eastAsia"/>
          <w:rtl/>
        </w:rPr>
        <w:t>אור</w:t>
      </w:r>
      <w:r w:rsidRPr="00EA03B5">
        <w:rPr>
          <w:rtl/>
        </w:rPr>
        <w:t xml:space="preserve"> </w:t>
      </w:r>
      <w:r w:rsidRPr="00EA03B5">
        <w:rPr>
          <w:rFonts w:hint="eastAsia"/>
          <w:rtl/>
        </w:rPr>
        <w:t>לישרים</w:t>
      </w:r>
      <w:r w:rsidRPr="00EA03B5">
        <w:rPr>
          <w:rtl/>
        </w:rPr>
        <w:t xml:space="preserve">, </w:t>
      </w:r>
      <w:r w:rsidRPr="00EA03B5">
        <w:rPr>
          <w:rFonts w:hint="eastAsia"/>
          <w:rtl/>
        </w:rPr>
        <w:t>ירושלמי</w:t>
      </w:r>
      <w:r w:rsidRPr="00EA03B5">
        <w:rPr>
          <w:rtl/>
        </w:rPr>
        <w:t xml:space="preserve"> </w:t>
      </w:r>
      <w:r w:rsidRPr="00EA03B5">
        <w:rPr>
          <w:rFonts w:hint="eastAsia"/>
          <w:rtl/>
        </w:rPr>
        <w:t>ברכות</w:t>
      </w:r>
      <w:r w:rsidRPr="00EA03B5">
        <w:rPr>
          <w:rtl/>
        </w:rPr>
        <w:t xml:space="preserve"> </w:t>
      </w:r>
      <w:r w:rsidRPr="00EA03B5">
        <w:rPr>
          <w:rFonts w:hint="eastAsia"/>
          <w:rtl/>
        </w:rPr>
        <w:t>ג</w:t>
      </w:r>
      <w:r w:rsidRPr="00EA03B5">
        <w:rPr>
          <w:rtl/>
        </w:rPr>
        <w:t>:</w:t>
      </w:r>
      <w:r w:rsidRPr="00EA03B5">
        <w:rPr>
          <w:rFonts w:hint="eastAsia"/>
          <w:rtl/>
        </w:rPr>
        <w:t>א</w:t>
      </w:r>
      <w:r w:rsidRPr="00EA03B5">
        <w:rPr>
          <w:rtl/>
        </w:rPr>
        <w:t>'.</w:t>
      </w:r>
    </w:p>
  </w:footnote>
  <w:footnote w:id="22">
    <w:p w14:paraId="01064445" w14:textId="0C8237E4" w:rsidR="007302F1" w:rsidRDefault="007302F1">
      <w:pPr>
        <w:pStyle w:val="FootnoteText"/>
        <w:rPr>
          <w:rFonts w:hint="cs"/>
        </w:rPr>
      </w:pPr>
      <w:r>
        <w:rPr>
          <w:rStyle w:val="FootnoteReference"/>
        </w:rPr>
        <w:footnoteRef/>
      </w:r>
      <w:r w:rsidR="00FF6D00">
        <w:rPr>
          <w:rtl/>
        </w:rPr>
        <w:t xml:space="preserve"> </w:t>
      </w:r>
      <w:r w:rsidR="00AF2F74">
        <w:rPr>
          <w:rtl/>
        </w:rPr>
        <w:tab/>
      </w:r>
      <w:r w:rsidRPr="007302F1">
        <w:rPr>
          <w:rFonts w:hint="eastAsia"/>
          <w:rtl/>
        </w:rPr>
        <w:t>בסוגייה</w:t>
      </w:r>
      <w:r w:rsidRPr="007302F1">
        <w:rPr>
          <w:rtl/>
        </w:rPr>
        <w:t xml:space="preserve"> </w:t>
      </w:r>
      <w:r w:rsidRPr="007302F1">
        <w:rPr>
          <w:rFonts w:hint="eastAsia"/>
          <w:rtl/>
        </w:rPr>
        <w:t>שהבאנו</w:t>
      </w:r>
      <w:r w:rsidRPr="007302F1">
        <w:rPr>
          <w:rtl/>
        </w:rPr>
        <w:t xml:space="preserve"> </w:t>
      </w:r>
      <w:r w:rsidRPr="007302F1">
        <w:rPr>
          <w:rFonts w:hint="eastAsia"/>
          <w:rtl/>
        </w:rPr>
        <w:t>בירושלמי</w:t>
      </w:r>
      <w:r w:rsidRPr="007302F1">
        <w:rPr>
          <w:rtl/>
        </w:rPr>
        <w:t xml:space="preserve"> </w:t>
      </w:r>
      <w:r w:rsidRPr="007302F1">
        <w:rPr>
          <w:rFonts w:hint="eastAsia"/>
          <w:rtl/>
        </w:rPr>
        <w:t>מגילה</w:t>
      </w:r>
      <w:r w:rsidRPr="007302F1">
        <w:rPr>
          <w:rtl/>
        </w:rPr>
        <w:t xml:space="preserve"> </w:t>
      </w:r>
      <w:r w:rsidRPr="007302F1">
        <w:rPr>
          <w:rFonts w:hint="eastAsia"/>
          <w:rtl/>
        </w:rPr>
        <w:t>ישנה</w:t>
      </w:r>
      <w:r w:rsidRPr="007302F1">
        <w:rPr>
          <w:rtl/>
        </w:rPr>
        <w:t xml:space="preserve"> </w:t>
      </w:r>
      <w:r w:rsidRPr="007302F1">
        <w:rPr>
          <w:rFonts w:hint="eastAsia"/>
          <w:rtl/>
        </w:rPr>
        <w:t>דוגמא</w:t>
      </w:r>
      <w:r w:rsidRPr="007302F1">
        <w:rPr>
          <w:rtl/>
        </w:rPr>
        <w:t xml:space="preserve"> </w:t>
      </w:r>
      <w:r w:rsidRPr="007302F1">
        <w:rPr>
          <w:rFonts w:hint="eastAsia"/>
          <w:rtl/>
        </w:rPr>
        <w:t>לקורלציה</w:t>
      </w:r>
      <w:r w:rsidRPr="007302F1">
        <w:rPr>
          <w:rtl/>
        </w:rPr>
        <w:t xml:space="preserve"> </w:t>
      </w:r>
      <w:r w:rsidRPr="007302F1">
        <w:rPr>
          <w:rFonts w:hint="eastAsia"/>
          <w:rtl/>
        </w:rPr>
        <w:t>בין</w:t>
      </w:r>
      <w:r w:rsidRPr="007302F1">
        <w:rPr>
          <w:rtl/>
        </w:rPr>
        <w:t xml:space="preserve"> </w:t>
      </w:r>
      <w:r w:rsidRPr="007302F1">
        <w:rPr>
          <w:rFonts w:hint="eastAsia"/>
          <w:rtl/>
        </w:rPr>
        <w:t>כבוד</w:t>
      </w:r>
      <w:r w:rsidRPr="007302F1">
        <w:rPr>
          <w:rtl/>
        </w:rPr>
        <w:t xml:space="preserve"> </w:t>
      </w:r>
      <w:r w:rsidRPr="007302F1">
        <w:rPr>
          <w:rFonts w:hint="eastAsia"/>
          <w:rtl/>
        </w:rPr>
        <w:t>התורה</w:t>
      </w:r>
      <w:r w:rsidRPr="007302F1">
        <w:rPr>
          <w:rtl/>
        </w:rPr>
        <w:t xml:space="preserve"> </w:t>
      </w:r>
      <w:r w:rsidRPr="007302F1">
        <w:rPr>
          <w:rFonts w:hint="eastAsia"/>
          <w:rtl/>
        </w:rPr>
        <w:t>לכבוד</w:t>
      </w:r>
      <w:r w:rsidRPr="007302F1">
        <w:rPr>
          <w:rtl/>
        </w:rPr>
        <w:t xml:space="preserve"> </w:t>
      </w:r>
      <w:r w:rsidRPr="007302F1">
        <w:rPr>
          <w:rFonts w:hint="eastAsia"/>
          <w:rtl/>
        </w:rPr>
        <w:t>הבריות</w:t>
      </w:r>
      <w:r w:rsidRPr="007302F1">
        <w:rPr>
          <w:rtl/>
        </w:rPr>
        <w:t xml:space="preserve">. </w:t>
      </w:r>
      <w:r w:rsidRPr="007302F1">
        <w:rPr>
          <w:rFonts w:hint="eastAsia"/>
          <w:rtl/>
        </w:rPr>
        <w:t>נראה</w:t>
      </w:r>
      <w:r w:rsidRPr="007302F1">
        <w:rPr>
          <w:rtl/>
        </w:rPr>
        <w:t xml:space="preserve"> </w:t>
      </w:r>
      <w:r w:rsidRPr="007302F1">
        <w:rPr>
          <w:rFonts w:hint="eastAsia"/>
          <w:rtl/>
        </w:rPr>
        <w:t>עוד</w:t>
      </w:r>
      <w:r w:rsidRPr="007302F1">
        <w:rPr>
          <w:rtl/>
        </w:rPr>
        <w:t xml:space="preserve"> </w:t>
      </w:r>
      <w:r w:rsidRPr="007302F1">
        <w:rPr>
          <w:rFonts w:hint="eastAsia"/>
          <w:rtl/>
        </w:rPr>
        <w:t>הוכחות</w:t>
      </w:r>
      <w:r w:rsidRPr="007302F1">
        <w:rPr>
          <w:rtl/>
        </w:rPr>
        <w:t xml:space="preserve"> </w:t>
      </w:r>
      <w:r w:rsidRPr="007302F1">
        <w:rPr>
          <w:rFonts w:hint="eastAsia"/>
          <w:rtl/>
        </w:rPr>
        <w:t>לקשר</w:t>
      </w:r>
      <w:r w:rsidRPr="007302F1">
        <w:rPr>
          <w:rtl/>
        </w:rPr>
        <w:t xml:space="preserve"> </w:t>
      </w:r>
      <w:r w:rsidRPr="007302F1">
        <w:rPr>
          <w:rFonts w:hint="eastAsia"/>
          <w:rtl/>
        </w:rPr>
        <w:t>זה</w:t>
      </w:r>
      <w:r w:rsidRPr="007302F1">
        <w:rPr>
          <w:rtl/>
        </w:rPr>
        <w:t xml:space="preserve"> </w:t>
      </w:r>
      <w:r w:rsidRPr="007302F1">
        <w:rPr>
          <w:rFonts w:hint="eastAsia"/>
          <w:rtl/>
        </w:rPr>
        <w:t>בהמשך</w:t>
      </w:r>
      <w:r w:rsidRPr="007302F1">
        <w:rPr>
          <w:rtl/>
        </w:rPr>
        <w:t>.</w:t>
      </w:r>
    </w:p>
  </w:footnote>
  <w:footnote w:id="23">
    <w:p w14:paraId="44F1CAD0" w14:textId="6D8BD4F1" w:rsidR="008C5A99" w:rsidRDefault="008C5A99">
      <w:pPr>
        <w:pStyle w:val="FootnoteText"/>
        <w:rPr>
          <w:rFonts w:hint="cs"/>
          <w:rtl/>
        </w:rPr>
      </w:pPr>
      <w:r>
        <w:rPr>
          <w:rStyle w:val="FootnoteReference"/>
        </w:rPr>
        <w:footnoteRef/>
      </w:r>
      <w:r w:rsidR="00FF6D00">
        <w:rPr>
          <w:rtl/>
        </w:rPr>
        <w:t xml:space="preserve"> </w:t>
      </w:r>
      <w:r w:rsidR="00AF2F74">
        <w:rPr>
          <w:rtl/>
        </w:rPr>
        <w:tab/>
      </w:r>
      <w:r w:rsidRPr="008C5A99">
        <w:rPr>
          <w:rFonts w:hint="eastAsia"/>
          <w:rtl/>
        </w:rPr>
        <w:t>בסוגייה</w:t>
      </w:r>
      <w:r w:rsidRPr="008C5A99">
        <w:rPr>
          <w:rtl/>
        </w:rPr>
        <w:t xml:space="preserve"> </w:t>
      </w:r>
      <w:r w:rsidRPr="008C5A99">
        <w:rPr>
          <w:rFonts w:hint="eastAsia"/>
          <w:rtl/>
        </w:rPr>
        <w:t>במנחות</w:t>
      </w:r>
      <w:r w:rsidRPr="008C5A99">
        <w:rPr>
          <w:rtl/>
        </w:rPr>
        <w:t xml:space="preserve">, </w:t>
      </w:r>
      <w:r w:rsidRPr="008C5A99">
        <w:rPr>
          <w:rFonts w:hint="eastAsia"/>
          <w:rtl/>
        </w:rPr>
        <w:t>למשל</w:t>
      </w:r>
      <w:r w:rsidR="00B57BB3">
        <w:rPr>
          <w:rFonts w:hint="cs"/>
          <w:rtl/>
        </w:rPr>
        <w:t xml:space="preserve">. </w:t>
      </w:r>
      <w:r w:rsidRPr="008C5A99">
        <w:rPr>
          <w:rFonts w:hint="eastAsia"/>
          <w:rtl/>
        </w:rPr>
        <w:t>וסוג</w:t>
      </w:r>
      <w:r w:rsidRPr="008C5A99">
        <w:rPr>
          <w:rtl/>
        </w:rPr>
        <w:t>-</w:t>
      </w:r>
      <w:r w:rsidRPr="008C5A99">
        <w:rPr>
          <w:rFonts w:hint="eastAsia"/>
          <w:rtl/>
        </w:rPr>
        <w:t>של</w:t>
      </w:r>
      <w:r w:rsidRPr="008C5A99">
        <w:rPr>
          <w:rtl/>
        </w:rPr>
        <w:t xml:space="preserve"> </w:t>
      </w:r>
      <w:r w:rsidRPr="008C5A99">
        <w:rPr>
          <w:rFonts w:hint="eastAsia"/>
          <w:rtl/>
        </w:rPr>
        <w:t>באגדתא</w:t>
      </w:r>
      <w:r w:rsidRPr="008C5A99">
        <w:rPr>
          <w:rtl/>
        </w:rPr>
        <w:t xml:space="preserve"> </w:t>
      </w:r>
      <w:r w:rsidRPr="008C5A99">
        <w:rPr>
          <w:rFonts w:hint="eastAsia"/>
          <w:rtl/>
        </w:rPr>
        <w:t>בקידושין</w:t>
      </w:r>
      <w:r w:rsidRPr="008C5A99">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3E37" w14:textId="5899935A"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A3573D">
      <w:rPr>
        <w:rFonts w:ascii="Heebo Light" w:hAnsi="Heebo Light" w:cs="Heebo Light"/>
        <w:noProof/>
        <w:sz w:val="18"/>
        <w:szCs w:val="18"/>
      </w:rPr>
      <w:fldChar w:fldCharType="separate"/>
    </w:r>
    <w:r w:rsidR="007E7DAC">
      <w:rPr>
        <w:rFonts w:ascii="Heebo Light" w:hAnsi="Heebo Light" w:cs="Heebo Light"/>
        <w:noProof/>
        <w:sz w:val="18"/>
        <w:szCs w:val="18"/>
        <w:rtl/>
      </w:rPr>
      <w:t>דוד שלזינגר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37F3" w14:textId="7EA59F0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7E7DAC">
      <w:rPr>
        <w:rFonts w:ascii="Heebo Light" w:hAnsi="Heebo Light" w:cs="Heebo Light"/>
        <w:noProof/>
        <w:sz w:val="18"/>
        <w:szCs w:val="18"/>
        <w:rtl/>
      </w:rPr>
      <w:t>גדול כבוד הבריות</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C6B7"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326"/>
    <w:multiLevelType w:val="multilevel"/>
    <w:tmpl w:val="EF6A4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552866"/>
    <w:multiLevelType w:val="multilevel"/>
    <w:tmpl w:val="F9F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D01FA3"/>
    <w:multiLevelType w:val="multilevel"/>
    <w:tmpl w:val="DE78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712183">
    <w:abstractNumId w:val="1"/>
  </w:num>
  <w:num w:numId="2" w16cid:durableId="1506624611">
    <w:abstractNumId w:val="3"/>
  </w:num>
  <w:num w:numId="3" w16cid:durableId="358354610">
    <w:abstractNumId w:val="2"/>
  </w:num>
  <w:num w:numId="4" w16cid:durableId="140483810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9E"/>
    <w:rsid w:val="0001209E"/>
    <w:rsid w:val="00012EC2"/>
    <w:rsid w:val="00034BF9"/>
    <w:rsid w:val="000409AA"/>
    <w:rsid w:val="00045D14"/>
    <w:rsid w:val="000A0B30"/>
    <w:rsid w:val="000A1902"/>
    <w:rsid w:val="000A2278"/>
    <w:rsid w:val="000C7944"/>
    <w:rsid w:val="000D3F1C"/>
    <w:rsid w:val="000D756C"/>
    <w:rsid w:val="000E4629"/>
    <w:rsid w:val="000F65C9"/>
    <w:rsid w:val="00105E41"/>
    <w:rsid w:val="001114D3"/>
    <w:rsid w:val="00117507"/>
    <w:rsid w:val="00143956"/>
    <w:rsid w:val="00164A00"/>
    <w:rsid w:val="001815F8"/>
    <w:rsid w:val="00187664"/>
    <w:rsid w:val="00195C7F"/>
    <w:rsid w:val="001C3D45"/>
    <w:rsid w:val="001C67F9"/>
    <w:rsid w:val="002104E7"/>
    <w:rsid w:val="00253E8B"/>
    <w:rsid w:val="0026051E"/>
    <w:rsid w:val="002703ED"/>
    <w:rsid w:val="0028009E"/>
    <w:rsid w:val="00294DFE"/>
    <w:rsid w:val="002C595D"/>
    <w:rsid w:val="002D60F4"/>
    <w:rsid w:val="002E4B1C"/>
    <w:rsid w:val="002F4E37"/>
    <w:rsid w:val="0033002D"/>
    <w:rsid w:val="003337C6"/>
    <w:rsid w:val="003510C6"/>
    <w:rsid w:val="003624B8"/>
    <w:rsid w:val="003711E9"/>
    <w:rsid w:val="00385274"/>
    <w:rsid w:val="00392466"/>
    <w:rsid w:val="00392C1A"/>
    <w:rsid w:val="003A2A83"/>
    <w:rsid w:val="003A4B1F"/>
    <w:rsid w:val="003D5576"/>
    <w:rsid w:val="003F2B23"/>
    <w:rsid w:val="00403980"/>
    <w:rsid w:val="0042460C"/>
    <w:rsid w:val="00424810"/>
    <w:rsid w:val="00427E23"/>
    <w:rsid w:val="004545B2"/>
    <w:rsid w:val="00455360"/>
    <w:rsid w:val="00466C8B"/>
    <w:rsid w:val="00471539"/>
    <w:rsid w:val="00486D47"/>
    <w:rsid w:val="004940BB"/>
    <w:rsid w:val="004A2B7D"/>
    <w:rsid w:val="004D4620"/>
    <w:rsid w:val="004E0960"/>
    <w:rsid w:val="004F3731"/>
    <w:rsid w:val="005117B4"/>
    <w:rsid w:val="005208F8"/>
    <w:rsid w:val="005578B4"/>
    <w:rsid w:val="005805DA"/>
    <w:rsid w:val="005A1900"/>
    <w:rsid w:val="005F33A2"/>
    <w:rsid w:val="00612B20"/>
    <w:rsid w:val="0063250C"/>
    <w:rsid w:val="00634A0C"/>
    <w:rsid w:val="00653828"/>
    <w:rsid w:val="00654F62"/>
    <w:rsid w:val="00662B22"/>
    <w:rsid w:val="00670383"/>
    <w:rsid w:val="006A27A1"/>
    <w:rsid w:val="006A2E2B"/>
    <w:rsid w:val="006C55DC"/>
    <w:rsid w:val="006D260B"/>
    <w:rsid w:val="006E6632"/>
    <w:rsid w:val="00703411"/>
    <w:rsid w:val="007061DE"/>
    <w:rsid w:val="007302F1"/>
    <w:rsid w:val="00732668"/>
    <w:rsid w:val="00737F13"/>
    <w:rsid w:val="00755E25"/>
    <w:rsid w:val="00790CB3"/>
    <w:rsid w:val="00793AB1"/>
    <w:rsid w:val="007A671B"/>
    <w:rsid w:val="007D6473"/>
    <w:rsid w:val="007E691D"/>
    <w:rsid w:val="007E7DAC"/>
    <w:rsid w:val="008035FD"/>
    <w:rsid w:val="0084597A"/>
    <w:rsid w:val="00847FFA"/>
    <w:rsid w:val="00870E57"/>
    <w:rsid w:val="00885C6D"/>
    <w:rsid w:val="00890862"/>
    <w:rsid w:val="008B2320"/>
    <w:rsid w:val="008B475B"/>
    <w:rsid w:val="008C5A99"/>
    <w:rsid w:val="008D1F83"/>
    <w:rsid w:val="008D5228"/>
    <w:rsid w:val="008D6718"/>
    <w:rsid w:val="00905882"/>
    <w:rsid w:val="00921021"/>
    <w:rsid w:val="00943324"/>
    <w:rsid w:val="00951154"/>
    <w:rsid w:val="00984F70"/>
    <w:rsid w:val="00987353"/>
    <w:rsid w:val="00991A43"/>
    <w:rsid w:val="009C3106"/>
    <w:rsid w:val="009E6E92"/>
    <w:rsid w:val="009E7FBB"/>
    <w:rsid w:val="009F1757"/>
    <w:rsid w:val="00A14A3A"/>
    <w:rsid w:val="00A30C45"/>
    <w:rsid w:val="00A31408"/>
    <w:rsid w:val="00A33B73"/>
    <w:rsid w:val="00A3573D"/>
    <w:rsid w:val="00A37128"/>
    <w:rsid w:val="00A41FFE"/>
    <w:rsid w:val="00A44CFA"/>
    <w:rsid w:val="00A85D0D"/>
    <w:rsid w:val="00AB2BC4"/>
    <w:rsid w:val="00AB4A74"/>
    <w:rsid w:val="00AC20A7"/>
    <w:rsid w:val="00AD7EB0"/>
    <w:rsid w:val="00AF2F74"/>
    <w:rsid w:val="00B1141A"/>
    <w:rsid w:val="00B1674E"/>
    <w:rsid w:val="00B26545"/>
    <w:rsid w:val="00B32378"/>
    <w:rsid w:val="00B41A38"/>
    <w:rsid w:val="00B540A7"/>
    <w:rsid w:val="00B54657"/>
    <w:rsid w:val="00B57BB3"/>
    <w:rsid w:val="00B615C5"/>
    <w:rsid w:val="00B86B7B"/>
    <w:rsid w:val="00B90661"/>
    <w:rsid w:val="00BB0069"/>
    <w:rsid w:val="00BB325B"/>
    <w:rsid w:val="00C02286"/>
    <w:rsid w:val="00C064EE"/>
    <w:rsid w:val="00C10D32"/>
    <w:rsid w:val="00C125C5"/>
    <w:rsid w:val="00C32744"/>
    <w:rsid w:val="00C43FAF"/>
    <w:rsid w:val="00C50501"/>
    <w:rsid w:val="00C529D4"/>
    <w:rsid w:val="00C5619B"/>
    <w:rsid w:val="00C56CAF"/>
    <w:rsid w:val="00C67507"/>
    <w:rsid w:val="00C87786"/>
    <w:rsid w:val="00C95E71"/>
    <w:rsid w:val="00CB75AF"/>
    <w:rsid w:val="00CE4C6D"/>
    <w:rsid w:val="00CE76C4"/>
    <w:rsid w:val="00D40293"/>
    <w:rsid w:val="00D433CC"/>
    <w:rsid w:val="00D51696"/>
    <w:rsid w:val="00D67164"/>
    <w:rsid w:val="00D676EA"/>
    <w:rsid w:val="00D736B9"/>
    <w:rsid w:val="00DA7069"/>
    <w:rsid w:val="00DB175E"/>
    <w:rsid w:val="00DB5DA1"/>
    <w:rsid w:val="00DD25DD"/>
    <w:rsid w:val="00DD43B6"/>
    <w:rsid w:val="00DE02A3"/>
    <w:rsid w:val="00DF0C0F"/>
    <w:rsid w:val="00DF31BC"/>
    <w:rsid w:val="00DF579E"/>
    <w:rsid w:val="00E05934"/>
    <w:rsid w:val="00E07408"/>
    <w:rsid w:val="00E07AB3"/>
    <w:rsid w:val="00E34842"/>
    <w:rsid w:val="00E83D9E"/>
    <w:rsid w:val="00EA03B5"/>
    <w:rsid w:val="00ED0A77"/>
    <w:rsid w:val="00EE361A"/>
    <w:rsid w:val="00F15862"/>
    <w:rsid w:val="00F7073B"/>
    <w:rsid w:val="00F83FB9"/>
    <w:rsid w:val="00F9033C"/>
    <w:rsid w:val="00F938E7"/>
    <w:rsid w:val="00F95DE6"/>
    <w:rsid w:val="00F9781E"/>
    <w:rsid w:val="00FB28D6"/>
    <w:rsid w:val="00FD0487"/>
    <w:rsid w:val="00FD4F7B"/>
    <w:rsid w:val="00FE5984"/>
    <w:rsid w:val="00FF1225"/>
    <w:rsid w:val="00FF45EF"/>
    <w:rsid w:val="00FF6D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AA43F"/>
  <w15:docId w15:val="{1074E3F8-79B9-4E27-A620-2B4D9323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styleId="CommentReference">
    <w:name w:val="annotation reference"/>
    <w:basedOn w:val="DefaultParagraphFont"/>
    <w:uiPriority w:val="99"/>
    <w:semiHidden/>
    <w:unhideWhenUsed/>
    <w:rsid w:val="004E0960"/>
    <w:rPr>
      <w:sz w:val="16"/>
      <w:szCs w:val="16"/>
    </w:rPr>
  </w:style>
  <w:style w:type="paragraph" w:styleId="CommentText">
    <w:name w:val="annotation text"/>
    <w:basedOn w:val="Normal"/>
    <w:link w:val="CommentTextChar"/>
    <w:uiPriority w:val="99"/>
    <w:unhideWhenUsed/>
    <w:rsid w:val="004E0960"/>
    <w:pPr>
      <w:spacing w:line="240" w:lineRule="auto"/>
    </w:pPr>
    <w:rPr>
      <w:sz w:val="20"/>
      <w:szCs w:val="20"/>
    </w:rPr>
  </w:style>
  <w:style w:type="character" w:customStyle="1" w:styleId="CommentTextChar">
    <w:name w:val="Comment Text Char"/>
    <w:basedOn w:val="DefaultParagraphFont"/>
    <w:link w:val="CommentText"/>
    <w:uiPriority w:val="99"/>
    <w:rsid w:val="004E0960"/>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4E0960"/>
    <w:rPr>
      <w:b/>
      <w:bCs/>
    </w:rPr>
  </w:style>
  <w:style w:type="character" w:customStyle="1" w:styleId="CommentSubjectChar">
    <w:name w:val="Comment Subject Char"/>
    <w:basedOn w:val="CommentTextChar"/>
    <w:link w:val="CommentSubject"/>
    <w:uiPriority w:val="99"/>
    <w:semiHidden/>
    <w:rsid w:val="004E0960"/>
    <w:rPr>
      <w:rFonts w:ascii="Gentium" w:hAnsi="Gentium" w:cs="Narkisim"/>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77</TotalTime>
  <Pages>11</Pages>
  <Words>2694</Words>
  <Characters>15357</Characters>
  <Application>Microsoft Office Word</Application>
  <DocSecurity>0</DocSecurity>
  <Lines>127</Lines>
  <Paragraphs>36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122</cp:revision>
  <dcterms:created xsi:type="dcterms:W3CDTF">2026-03-17T18:26:00Z</dcterms:created>
  <dcterms:modified xsi:type="dcterms:W3CDTF">2026-03-17T21:13:00Z</dcterms:modified>
</cp:coreProperties>
</file>