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E1440" w14:textId="77777777" w:rsidR="00FC379C" w:rsidRPr="00FC379C" w:rsidRDefault="00FC379C" w:rsidP="00FC379C">
      <w:pPr>
        <w:pStyle w:val="a"/>
        <w:rPr>
          <w:lang w:val="en-IL"/>
        </w:rPr>
      </w:pPr>
      <w:r w:rsidRPr="00FC379C">
        <w:rPr>
          <w:rFonts w:hint="cs"/>
          <w:b/>
          <w:bCs/>
          <w:rtl/>
          <w:lang w:val="en-GB"/>
        </w:rPr>
        <w:t>עמנואל אברהמי</w:t>
      </w:r>
    </w:p>
    <w:p w14:paraId="37F81052" w14:textId="77777777" w:rsidR="00FC379C" w:rsidRPr="00727A09" w:rsidRDefault="00FC379C" w:rsidP="00727A09">
      <w:pPr>
        <w:pStyle w:val="Title"/>
        <w:rPr>
          <w:szCs w:val="44"/>
          <w:rtl/>
        </w:rPr>
      </w:pPr>
      <w:r w:rsidRPr="00727A09">
        <w:rPr>
          <w:rFonts w:hint="cs"/>
          <w:szCs w:val="44"/>
          <w:rtl/>
        </w:rPr>
        <w:t>״הלא זה צום אבחרהו״</w:t>
      </w:r>
    </w:p>
    <w:p w14:paraId="7AC90057" w14:textId="3660BB23" w:rsidR="00FC379C" w:rsidRPr="00FC379C" w:rsidRDefault="00FC379C" w:rsidP="00FC379C">
      <w:pPr>
        <w:pStyle w:val="Subtitle"/>
        <w:rPr>
          <w:lang w:val="en-IL"/>
        </w:rPr>
      </w:pPr>
      <w:r w:rsidRPr="00FC379C">
        <w:rPr>
          <w:rFonts w:hint="cs"/>
          <w:rtl/>
          <w:lang w:val="en-GB"/>
        </w:rPr>
        <w:t>עיון במופעי הצום</w:t>
      </w:r>
    </w:p>
    <w:p w14:paraId="52ED1588" w14:textId="77777777" w:rsidR="00612B20" w:rsidRPr="00FC379C" w:rsidRDefault="00612B20" w:rsidP="00FC379C">
      <w:pPr>
        <w:rPr>
          <w:rtl/>
          <w:lang w:val="en-IL"/>
        </w:rPr>
      </w:pPr>
    </w:p>
    <w:p w14:paraId="37DAC49A" w14:textId="273BA5E5" w:rsidR="00FC379C" w:rsidRPr="00FC379C" w:rsidRDefault="00FC379C" w:rsidP="00727A09">
      <w:pPr>
        <w:ind w:firstLine="0"/>
        <w:rPr>
          <w:lang w:val="en-IL"/>
        </w:rPr>
      </w:pPr>
      <w:r w:rsidRPr="00FC379C">
        <w:rPr>
          <w:rFonts w:hint="cs"/>
          <w:rtl/>
        </w:rPr>
        <w:t>מאז החל האדם לקרוא בשם ה׳, נעשה הצום לשפת קודש שבאמצעותה ביטא את עמידתו לפני האל ואת כמיהתו לקרבתו. הצום חוצה גבולות גיאוגרפיים ותרבותיים, כמעשה של הימנעות ממאכל ומשתה בשעות של צרה, חטא ובקשת רחמים. אולם עצם המעשה טעון בירור: מה טיבה של שלילה מכוונת זו? כיצד נהפכת הימנעות הגוף ללשון של תפילה ולעמידה לפני ה׳? ומה מתרחש באדם שעה שהוא מצמצם את חיוניותו הגשמית?</w:t>
      </w:r>
    </w:p>
    <w:p w14:paraId="5EB508C2" w14:textId="77777777" w:rsidR="00FC379C" w:rsidRPr="00FC379C" w:rsidRDefault="00FC379C" w:rsidP="00FC379C">
      <w:pPr>
        <w:rPr>
          <w:rtl/>
        </w:rPr>
      </w:pPr>
      <w:r w:rsidRPr="00FC379C">
        <w:rPr>
          <w:rFonts w:hint="cs"/>
          <w:rtl/>
        </w:rPr>
        <w:t>האם הצום הוא צעקה של מצוקה, ביטוי לאבל ולחרטה, או דרך של זיכוך ועלייה? האם עיקרו בציווי האלוהי המחייב, או בהתעוררות הלב המבקש להידבק בשורשו? וכיצד פועל הצום בנפש: האם הוא מחליש את הגוף כדי לחדד את הרוח, או שמא יוצר מצב־מעבר, מעין עמידה על הסף, שבה האדם יוצא מסדרי חייו הרגילים ונעשה פתוח יותר לשמוע דבר ה׳?</w:t>
      </w:r>
    </w:p>
    <w:p w14:paraId="621DD8E2" w14:textId="7FEEAA5F" w:rsidR="00FC379C" w:rsidRPr="00FC379C" w:rsidRDefault="00FC379C" w:rsidP="00FC379C">
      <w:pPr>
        <w:rPr>
          <w:rtl/>
        </w:rPr>
      </w:pPr>
      <w:r w:rsidRPr="00FC379C">
        <w:rPr>
          <w:rFonts w:hint="cs"/>
          <w:rtl/>
        </w:rPr>
        <w:t>מן הבחינה ההיסטורית ראוי להעיר כי במרחב המסופוטמי הקדום אין בידינו עדויות מובהקות לצום כמוסד בריתני בדומה למסגרת המקראית.</w:t>
      </w:r>
      <w:r w:rsidR="00727A09">
        <w:rPr>
          <w:rStyle w:val="FootnoteReference"/>
          <w:rtl/>
        </w:rPr>
        <w:footnoteReference w:id="1"/>
      </w:r>
      <w:r w:rsidRPr="00FC379C">
        <w:rPr>
          <w:rFonts w:hint="cs"/>
          <w:rtl/>
        </w:rPr>
        <w:t xml:space="preserve"> אם כן, יש לשאול: מהו החידוש שבעשיית ההימנעות הגופנית לחלק מעבודת ה׳? מה נתחדש שעה שהשלילה נעשתה לא רק תגובה למצוקה, אלא מעשה מכוון במסגרת ברית שבין אדם לאלוהיו?</w:t>
      </w:r>
    </w:p>
    <w:p w14:paraId="2E165136" w14:textId="1E4DD7C0" w:rsidR="00FC379C" w:rsidRPr="00FC379C" w:rsidRDefault="00FC379C" w:rsidP="00FC379C">
      <w:pPr>
        <w:rPr>
          <w:rtl/>
        </w:rPr>
      </w:pPr>
      <w:r w:rsidRPr="00FC379C">
        <w:rPr>
          <w:rFonts w:hint="cs"/>
          <w:rtl/>
        </w:rPr>
        <w:t>בהרבה מן הדתות נתפס הצום כמרחב לימינלי</w:t>
      </w:r>
      <w:r w:rsidR="00727A09">
        <w:rPr>
          <w:rStyle w:val="FootnoteReference"/>
          <w:rtl/>
        </w:rPr>
        <w:footnoteReference w:id="2"/>
      </w:r>
      <w:r w:rsidRPr="00FC379C">
        <w:rPr>
          <w:rFonts w:hint="cs"/>
          <w:rtl/>
        </w:rPr>
        <w:t xml:space="preserve"> - זמן שבין לבין, שבו האדם </w:t>
      </w:r>
      <w:r w:rsidRPr="00FC379C">
        <w:rPr>
          <w:rFonts w:hint="cs"/>
          <w:rtl/>
        </w:rPr>
        <w:lastRenderedPageBreak/>
        <w:t>יוצא מן השגרה ונכנס למצב של מעבר: בין טומאה לטהרה, בין חטא לכפרה, בין ימי החול למפגש עם הקדושה. אולם לא כל מסורת ראתה בכך דרך ראויה. ישנם דתות וזרמים</w:t>
      </w:r>
      <w:r w:rsidR="00727A09">
        <w:rPr>
          <w:rStyle w:val="FootnoteReference"/>
          <w:rtl/>
        </w:rPr>
        <w:footnoteReference w:id="3"/>
      </w:r>
      <w:r w:rsidRPr="00FC379C">
        <w:rPr>
          <w:rFonts w:hint="cs"/>
          <w:rtl/>
        </w:rPr>
        <w:t xml:space="preserve"> שדחו את הסיגוף וראו בו החלשת הכוחות שניתנו לאדם לעבוד בהם את בוראו, והעדיפו להדגיש את תיקון המעשה והעולם על פני צמצום הגוף. המחלוקת מעידה כי הצום איננו נתון מובן מאליו, אלא בחירה תיאולוגית עמוקה בדבר היחס שבין גוף לרוח.</w:t>
      </w:r>
    </w:p>
    <w:p w14:paraId="293648CE" w14:textId="77777777" w:rsidR="00FC379C" w:rsidRPr="00FC379C" w:rsidRDefault="00FC379C" w:rsidP="00FC379C">
      <w:pPr>
        <w:rPr>
          <w:rtl/>
        </w:rPr>
      </w:pPr>
      <w:r w:rsidRPr="00FC379C">
        <w:rPr>
          <w:rFonts w:hint="cs"/>
          <w:rtl/>
        </w:rPr>
        <w:t>גם במסורת ישראל אין הצום עניין חד ממדי. הוא שב ומופיע במקרא ובהמשך הדורות בהקשרים שונים ומגוונים - אך מהו היסוד המאחדם? האם יש מהות אחת לצום, או שמא ריבוי פניו הוא חלק מעצם סודו?</w:t>
      </w:r>
    </w:p>
    <w:p w14:paraId="2293C58E" w14:textId="77777777" w:rsidR="00FC379C" w:rsidRPr="00FC379C" w:rsidRDefault="00FC379C" w:rsidP="00FC379C">
      <w:pPr>
        <w:rPr>
          <w:rtl/>
        </w:rPr>
      </w:pPr>
      <w:r w:rsidRPr="00FC379C">
        <w:rPr>
          <w:rFonts w:hint="cs"/>
          <w:rtl/>
        </w:rPr>
        <w:t>לפיכך נפתח בשאלה: מהו צום? מה פועל המעשה הזה באדם, ומה הוא פועל בעולם העליון? איזה קשר, בין אדם לעצמו, בין היחיד לקהילתו, ובין ישראל לאביהם שבשמים, נרקם על ידי שלילת הגוף?</w:t>
      </w:r>
    </w:p>
    <w:p w14:paraId="6E3C49F3" w14:textId="1DFA85EB" w:rsidR="00727A09" w:rsidRDefault="00FC379C" w:rsidP="00727A09">
      <w:pPr>
        <w:rPr>
          <w:rtl/>
        </w:rPr>
      </w:pPr>
      <w:r w:rsidRPr="00FC379C">
        <w:rPr>
          <w:rFonts w:hint="cs"/>
          <w:rtl/>
        </w:rPr>
        <w:t>שאלות אלו הן שינחו את עיוננו במקורות הראשוניים בבקשה להבין את משמעותו הפנימית של הצום בעבודת ה׳.</w:t>
      </w:r>
    </w:p>
    <w:p w14:paraId="000917D5" w14:textId="77777777" w:rsidR="00727A09" w:rsidRPr="00727A09" w:rsidRDefault="00727A09" w:rsidP="00727A09">
      <w:pPr>
        <w:pStyle w:val="Heading2"/>
        <w:rPr>
          <w:lang w:val="en-IL"/>
        </w:rPr>
      </w:pPr>
      <w:r w:rsidRPr="00727A09">
        <w:rPr>
          <w:rFonts w:hint="cs"/>
          <w:rtl/>
        </w:rPr>
        <w:t>״ויקראו צום״- צום כעמידה בפני משבר</w:t>
      </w:r>
    </w:p>
    <w:p w14:paraId="24F90203" w14:textId="5556031E" w:rsidR="00727A09" w:rsidRPr="00727A09" w:rsidRDefault="00727A09" w:rsidP="009166CA">
      <w:pPr>
        <w:ind w:firstLine="0"/>
        <w:rPr>
          <w:rtl/>
          <w:lang w:val="en-IL"/>
        </w:rPr>
      </w:pPr>
      <w:r w:rsidRPr="00727A09">
        <w:rPr>
          <w:rFonts w:hint="cs"/>
          <w:rtl/>
          <w:lang w:val="en-IL"/>
        </w:rPr>
        <w:t xml:space="preserve">הצום במקרא, ובייחוד בנביאים הראשונים, אינו רק מצווה מוסדרת או מנהג מחייב מראש, אלא גם תגובה אנושית־דתית למצבי קיצון. הוא נולד מתוך האירוע עצמו: חטא, איום, גזרה או אסון, ומתפקד כשפה שבה האדם מייצג את עמידתו </w:t>
      </w:r>
      <w:r w:rsidRPr="00727A09">
        <w:rPr>
          <w:rFonts w:hint="cs"/>
          <w:rtl/>
          <w:lang w:val="en-IL"/>
        </w:rPr>
        <w:lastRenderedPageBreak/>
        <w:t>מול האל בשעה של שבר. מתוך עיון במקורות נראה כי משמעות הצום טמונה בעיקר במקומו ביחס להכרעה האלוהית. בתוך מודל תגובתי זה ניתן להבחין בשני תתי־מודלים, הנבדלים במועד ביצוע הצום ביחס להכרעה האלוהית:</w:t>
      </w:r>
    </w:p>
    <w:p w14:paraId="30F3C774" w14:textId="75185401" w:rsidR="009166CA" w:rsidRPr="009166CA" w:rsidRDefault="009166CA" w:rsidP="009166CA">
      <w:pPr>
        <w:rPr>
          <w:lang w:val="en-IL"/>
        </w:rPr>
      </w:pPr>
      <w:r w:rsidRPr="009166CA">
        <w:rPr>
          <w:rFonts w:hint="cs"/>
          <w:b/>
          <w:bCs/>
          <w:rtl/>
        </w:rPr>
        <w:t xml:space="preserve">צום שקודם חתימת הדין </w:t>
      </w:r>
      <w:r w:rsidRPr="009166CA">
        <w:rPr>
          <w:rFonts w:hint="cs"/>
          <w:rtl/>
        </w:rPr>
        <w:t>- צום הפועל אל מול עתיד פתוח, מתוך תקווה או ניסיון להשפיע על ההכרעה. מודל זה המתאפיין באלמנטים של תפילה וזעקה, מתגלה בכמה וכמה מקרים כגון גזירת הצום על ישראל ערב המערכה בשבט בנימין</w:t>
      </w:r>
      <w:r>
        <w:rPr>
          <w:rStyle w:val="FootnoteReference"/>
          <w:rtl/>
        </w:rPr>
        <w:footnoteReference w:id="4"/>
      </w:r>
      <w:r w:rsidRPr="009166CA">
        <w:rPr>
          <w:rFonts w:hint="cs"/>
          <w:rtl/>
        </w:rPr>
        <w:t>, וסיפור המערכה מול הפלישתים</w:t>
      </w:r>
      <w:r w:rsidR="00E921C8">
        <w:rPr>
          <w:rStyle w:val="FootnoteReference"/>
          <w:rtl/>
        </w:rPr>
        <w:footnoteReference w:id="5"/>
      </w:r>
      <w:r w:rsidRPr="009166CA">
        <w:rPr>
          <w:rFonts w:hint="cs"/>
          <w:rtl/>
        </w:rPr>
        <w:t xml:space="preserve"> בו מצווה שאול על העם להימנע מאכילה עד תום הקרב</w:t>
      </w:r>
      <w:r w:rsidR="00E921C8">
        <w:rPr>
          <w:rStyle w:val="FootnoteReference"/>
          <w:rtl/>
        </w:rPr>
        <w:footnoteReference w:id="6"/>
      </w:r>
      <w:r w:rsidRPr="009166CA">
        <w:rPr>
          <w:rFonts w:hint="cs"/>
          <w:rtl/>
        </w:rPr>
        <w:t>. אחד המקומות בו הוא מתגלה בבירור הוא בסיפור דוד והילד, מיד לאחר שנתן הנביא מפליל את דוד בדבר חטא בת-שבע ומנבא בפניו את העונש המגיע לו:</w:t>
      </w:r>
    </w:p>
    <w:p w14:paraId="20D09F2D" w14:textId="57F2CCC5" w:rsidR="00AF542D" w:rsidRPr="00AF542D" w:rsidRDefault="00AF542D" w:rsidP="00AF542D">
      <w:pPr>
        <w:pStyle w:val="Quote"/>
        <w:rPr>
          <w:lang w:val="en-IL"/>
        </w:rPr>
      </w:pPr>
      <w:r w:rsidRPr="00AF542D">
        <w:rPr>
          <w:rFonts w:hint="cs"/>
          <w:rtl/>
          <w:lang w:val="en-IL"/>
        </w:rPr>
        <w:t>וַיְבַקֵּשׁ דָּוִד אֶת־הָאֱלֹהִים בְּעַד הַנָּעַר וַיָּצׇם דָּוִד צוֹם וּבָא וְלָן וְשָׁכַב אָרְצָה</w:t>
      </w:r>
      <w:r w:rsidRPr="00AF542D">
        <w:rPr>
          <w:rFonts w:hint="cs"/>
          <w:i/>
          <w:iCs/>
          <w:rtl/>
          <w:lang w:val="en-IL"/>
        </w:rPr>
        <w:t>׃</w:t>
      </w:r>
      <w:r w:rsidR="00F4073D">
        <w:rPr>
          <w:rStyle w:val="FootnoteReference"/>
          <w:i/>
          <w:iCs/>
          <w:rtl/>
          <w:lang w:val="en-IL"/>
        </w:rPr>
        <w:footnoteReference w:id="7"/>
      </w:r>
    </w:p>
    <w:p w14:paraId="319DDC90" w14:textId="33072962" w:rsidR="00716123" w:rsidRDefault="00716123" w:rsidP="00716123">
      <w:pPr>
        <w:ind w:firstLine="0"/>
        <w:rPr>
          <w:rtl/>
          <w:lang w:val="en-IL"/>
        </w:rPr>
      </w:pPr>
      <w:r w:rsidRPr="00716123">
        <w:rPr>
          <w:rFonts w:hint="cs"/>
          <w:rtl/>
          <w:lang w:val="en-IL"/>
        </w:rPr>
        <w:t>לכאורה נראה כי דוד מפגין סימנים של דיכאון.</w:t>
      </w:r>
      <w:r w:rsidR="00E95F62">
        <w:rPr>
          <w:rStyle w:val="FootnoteReference"/>
          <w:rtl/>
          <w:lang w:val="en-IL"/>
        </w:rPr>
        <w:footnoteReference w:id="8"/>
      </w:r>
      <w:r w:rsidRPr="00716123">
        <w:rPr>
          <w:rFonts w:hint="cs"/>
          <w:rtl/>
          <w:lang w:val="en-IL"/>
        </w:rPr>
        <w:t xml:space="preserve"> הוכיחו אותו על חטא, נגזר עליו שבנו שנולד במסגרת החטא עתיד למות, ולכן הוא דוחה כל מאכל ומשקה. אך המשמעות האמיתית נחשפת כמובן רק לאחר מותו של הילד:</w:t>
      </w:r>
    </w:p>
    <w:p w14:paraId="09926046" w14:textId="77777777" w:rsidR="00FE6483" w:rsidRDefault="00FE6483" w:rsidP="00FE6483">
      <w:pPr>
        <w:pStyle w:val="Quote"/>
        <w:rPr>
          <w:rtl/>
          <w:lang w:val="en-IL"/>
        </w:rPr>
      </w:pPr>
      <w:r w:rsidRPr="00FE6483">
        <w:rPr>
          <w:rFonts w:hint="cs"/>
          <w:rtl/>
          <w:lang w:val="en-IL"/>
        </w:rPr>
        <w:lastRenderedPageBreak/>
        <w:t>…וַיָּבֶן דָּוִד כִּי מֵת הַיָּלֶד… וַיֹּאמְרוּ מֵת, וַיָּקׇם דָּוִד מֵהָאָרֶץ וַיִּרְחַץ וַיָּסֶךְ וַיְחַלֵּף שִׂמְלֹתָו וַיָּבֹא ה׳ וַיִּשְׁתָּחוּ וַיָּבֹא אֶל־בֵּיתוֹ וַיִּשְׁאַל וַיָּשִׂימוּ לוֹ לֶחֶם וַיֹּאכַל…. וַיֹּאמְרוּ עֲבָדָיו אֵלָיו מָה־הַדָּבָר הַזֶּה אֲשֶׁר עָשִׂיתָה בַּעֲבוּר הַיֶּלֶד חַי צַמְתָּ וַתֵּבְךְּ וְכַאֲשֶׁר מֵת הַיֶּלֶד קַמְתָּ וַתֹּאכַל לָחֶם?</w:t>
      </w:r>
    </w:p>
    <w:p w14:paraId="16FEECDF" w14:textId="47260BAF" w:rsidR="00FE6483" w:rsidRPr="00FE6483" w:rsidRDefault="00FE6483" w:rsidP="00FE6483">
      <w:pPr>
        <w:pStyle w:val="Quote"/>
        <w:rPr>
          <w:rtl/>
          <w:lang w:val="en-IL"/>
        </w:rPr>
      </w:pPr>
      <w:r w:rsidRPr="00FE6483">
        <w:rPr>
          <w:rFonts w:hint="cs"/>
          <w:rtl/>
          <w:lang w:val="en-IL"/>
        </w:rPr>
        <w:t>וַיֹּאמֶר בְּעוֹד הַיֶּלֶד חַי צַמְתִּי וָאֶבְכֶּה כִּי אָמַרְתִּי מִי יוֹדֵעַ וְחַנַּנִי ה׳ וְחַי הַיָּלֶד׃</w:t>
      </w:r>
      <w:r>
        <w:rPr>
          <w:rFonts w:hint="cs"/>
          <w:rtl/>
          <w:lang w:val="en-IL"/>
        </w:rPr>
        <w:t xml:space="preserve"> </w:t>
      </w:r>
      <w:r w:rsidRPr="00FE6483">
        <w:rPr>
          <w:rFonts w:hint="cs"/>
          <w:rtl/>
          <w:lang w:val="en-IL"/>
        </w:rPr>
        <w:t>וְעַתָּה</w:t>
      </w:r>
      <w:r w:rsidRPr="00FE6483">
        <w:rPr>
          <w:rFonts w:ascii="Arial" w:hAnsi="Arial" w:cs="Arial" w:hint="cs"/>
          <w:rtl/>
          <w:lang w:val="en-IL"/>
        </w:rPr>
        <w:t> </w:t>
      </w:r>
      <w:r w:rsidRPr="00FE6483">
        <w:rPr>
          <w:rFonts w:hint="cs"/>
          <w:rtl/>
          <w:lang w:val="en-IL"/>
        </w:rPr>
        <w:t xml:space="preserve"> </w:t>
      </w:r>
      <w:r w:rsidRPr="00FE6483">
        <w:rPr>
          <w:rFonts w:ascii="Narkisim" w:hAnsi="Narkisim" w:hint="cs"/>
          <w:rtl/>
          <w:lang w:val="en-IL"/>
        </w:rPr>
        <w:t>מֵת</w:t>
      </w:r>
      <w:r w:rsidRPr="00FE6483">
        <w:rPr>
          <w:rFonts w:hint="cs"/>
          <w:rtl/>
          <w:lang w:val="en-IL"/>
        </w:rPr>
        <w:t xml:space="preserve"> </w:t>
      </w:r>
      <w:r w:rsidRPr="00FE6483">
        <w:rPr>
          <w:rFonts w:ascii="Narkisim" w:hAnsi="Narkisim" w:hint="cs"/>
          <w:rtl/>
          <w:lang w:val="en-IL"/>
        </w:rPr>
        <w:t>לָמָּה</w:t>
      </w:r>
      <w:r w:rsidRPr="00FE6483">
        <w:rPr>
          <w:rFonts w:hint="cs"/>
          <w:rtl/>
          <w:lang w:val="en-IL"/>
        </w:rPr>
        <w:t xml:space="preserve"> </w:t>
      </w:r>
      <w:r w:rsidRPr="00FE6483">
        <w:rPr>
          <w:rFonts w:ascii="Narkisim" w:hAnsi="Narkisim" w:hint="cs"/>
          <w:rtl/>
          <w:lang w:val="en-IL"/>
        </w:rPr>
        <w:t>זֶּה</w:t>
      </w:r>
      <w:r w:rsidRPr="00FE6483">
        <w:rPr>
          <w:rFonts w:hint="cs"/>
          <w:rtl/>
          <w:lang w:val="en-IL"/>
        </w:rPr>
        <w:t xml:space="preserve"> </w:t>
      </w:r>
      <w:r w:rsidRPr="00FE6483">
        <w:rPr>
          <w:rFonts w:ascii="Narkisim" w:hAnsi="Narkisim" w:hint="cs"/>
          <w:rtl/>
          <w:lang w:val="en-IL"/>
        </w:rPr>
        <w:t>אֲנִי</w:t>
      </w:r>
      <w:r w:rsidRPr="00FE6483">
        <w:rPr>
          <w:rFonts w:hint="cs"/>
          <w:rtl/>
          <w:lang w:val="en-IL"/>
        </w:rPr>
        <w:t xml:space="preserve"> </w:t>
      </w:r>
      <w:r w:rsidRPr="00FE6483">
        <w:rPr>
          <w:rFonts w:ascii="Narkisim" w:hAnsi="Narkisim" w:hint="cs"/>
          <w:rtl/>
          <w:lang w:val="en-IL"/>
        </w:rPr>
        <w:t>צָם</w:t>
      </w:r>
      <w:r w:rsidRPr="00FE6483">
        <w:rPr>
          <w:rFonts w:hint="cs"/>
          <w:rtl/>
          <w:lang w:val="en-IL"/>
        </w:rPr>
        <w:t xml:space="preserve"> </w:t>
      </w:r>
      <w:r w:rsidRPr="00FE6483">
        <w:rPr>
          <w:rFonts w:ascii="Narkisim" w:hAnsi="Narkisim" w:hint="cs"/>
          <w:rtl/>
          <w:lang w:val="en-IL"/>
        </w:rPr>
        <w:t>הַאוּכַל</w:t>
      </w:r>
      <w:r w:rsidRPr="00FE6483">
        <w:rPr>
          <w:rFonts w:hint="cs"/>
          <w:rtl/>
          <w:lang w:val="en-IL"/>
        </w:rPr>
        <w:t xml:space="preserve"> </w:t>
      </w:r>
      <w:r w:rsidRPr="00FE6483">
        <w:rPr>
          <w:rFonts w:ascii="Narkisim" w:hAnsi="Narkisim" w:hint="cs"/>
          <w:rtl/>
          <w:lang w:val="en-IL"/>
        </w:rPr>
        <w:t>לַהֲשִׁיבוֹ</w:t>
      </w:r>
      <w:r w:rsidRPr="00FE6483">
        <w:rPr>
          <w:rFonts w:hint="cs"/>
          <w:rtl/>
          <w:lang w:val="en-IL"/>
        </w:rPr>
        <w:t xml:space="preserve"> </w:t>
      </w:r>
      <w:r w:rsidRPr="00FE6483">
        <w:rPr>
          <w:rFonts w:ascii="Narkisim" w:hAnsi="Narkisim" w:hint="cs"/>
          <w:rtl/>
          <w:lang w:val="en-IL"/>
        </w:rPr>
        <w:t>עוֹד</w:t>
      </w:r>
      <w:r w:rsidRPr="00FE6483">
        <w:rPr>
          <w:rFonts w:hint="cs"/>
          <w:rtl/>
          <w:lang w:val="en-IL"/>
        </w:rPr>
        <w:t xml:space="preserve"> </w:t>
      </w:r>
      <w:r w:rsidRPr="00FE6483">
        <w:rPr>
          <w:rFonts w:ascii="Narkisim" w:hAnsi="Narkisim" w:hint="cs"/>
          <w:rtl/>
          <w:lang w:val="en-IL"/>
        </w:rPr>
        <w:t>אֲנִי</w:t>
      </w:r>
      <w:r w:rsidRPr="00FE6483">
        <w:rPr>
          <w:rFonts w:hint="cs"/>
          <w:rtl/>
          <w:lang w:val="en-IL"/>
        </w:rPr>
        <w:t xml:space="preserve"> </w:t>
      </w:r>
      <w:r w:rsidRPr="00FE6483">
        <w:rPr>
          <w:rFonts w:ascii="Narkisim" w:hAnsi="Narkisim" w:hint="cs"/>
          <w:rtl/>
          <w:lang w:val="en-IL"/>
        </w:rPr>
        <w:t>הֹלֵךְ</w:t>
      </w:r>
      <w:r w:rsidRPr="00FE6483">
        <w:rPr>
          <w:rFonts w:hint="cs"/>
          <w:rtl/>
          <w:lang w:val="en-IL"/>
        </w:rPr>
        <w:t xml:space="preserve"> </w:t>
      </w:r>
      <w:r w:rsidRPr="00FE6483">
        <w:rPr>
          <w:rFonts w:ascii="Narkisim" w:hAnsi="Narkisim" w:hint="cs"/>
          <w:rtl/>
          <w:lang w:val="en-IL"/>
        </w:rPr>
        <w:t>אֵלָיו</w:t>
      </w:r>
      <w:r w:rsidRPr="00FE6483">
        <w:rPr>
          <w:rFonts w:hint="cs"/>
          <w:rtl/>
          <w:lang w:val="en-IL"/>
        </w:rPr>
        <w:t xml:space="preserve"> </w:t>
      </w:r>
      <w:r w:rsidRPr="00FE6483">
        <w:rPr>
          <w:rFonts w:ascii="Narkisim" w:hAnsi="Narkisim" w:hint="cs"/>
          <w:rtl/>
          <w:lang w:val="en-IL"/>
        </w:rPr>
        <w:t>וְהוּא</w:t>
      </w:r>
      <w:r w:rsidRPr="00FE6483">
        <w:rPr>
          <w:rFonts w:hint="cs"/>
          <w:rtl/>
          <w:lang w:val="en-IL"/>
        </w:rPr>
        <w:t xml:space="preserve"> </w:t>
      </w:r>
      <w:r w:rsidRPr="00FE6483">
        <w:rPr>
          <w:rFonts w:ascii="Narkisim" w:hAnsi="Narkisim" w:hint="cs"/>
          <w:rtl/>
          <w:lang w:val="en-IL"/>
        </w:rPr>
        <w:t>לֹא־יָשׁוּב</w:t>
      </w:r>
      <w:r w:rsidRPr="00FE6483">
        <w:rPr>
          <w:rFonts w:hint="cs"/>
          <w:rtl/>
          <w:lang w:val="en-IL"/>
        </w:rPr>
        <w:t xml:space="preserve"> </w:t>
      </w:r>
      <w:r w:rsidRPr="00FE6483">
        <w:rPr>
          <w:rFonts w:ascii="Narkisim" w:hAnsi="Narkisim" w:hint="cs"/>
          <w:rtl/>
          <w:lang w:val="en-IL"/>
        </w:rPr>
        <w:t>אֵלָי׃</w:t>
      </w:r>
    </w:p>
    <w:p w14:paraId="209AA57F" w14:textId="77777777" w:rsidR="00713B2D" w:rsidRPr="00713B2D" w:rsidRDefault="00713B2D" w:rsidP="00713B2D">
      <w:pPr>
        <w:ind w:firstLine="0"/>
        <w:rPr>
          <w:lang w:val="en-IL"/>
        </w:rPr>
      </w:pPr>
      <w:r w:rsidRPr="00713B2D">
        <w:rPr>
          <w:rFonts w:hint="cs"/>
          <w:rtl/>
          <w:lang w:val="en-IL"/>
        </w:rPr>
        <w:t>כך מתבהר כי הצום לא היה אקט של אבל, אלא אמצעי התמודדות עם עתיד פתוח תפילה וזעקה אל מול האפשרות לשינוי. דוד אף מציין זאת בפני עבדיו המבולבלים, ומחדד את ההבדל בין הצום שקודם את חתימת הדין, לצום שלאחר חתימת הדין.</w:t>
      </w:r>
    </w:p>
    <w:p w14:paraId="43401E05" w14:textId="1761EAF0" w:rsidR="001A5481" w:rsidRPr="001A5481" w:rsidRDefault="001A5481" w:rsidP="001A5481">
      <w:pPr>
        <w:rPr>
          <w:lang w:val="en-IL"/>
        </w:rPr>
      </w:pPr>
      <w:r w:rsidRPr="001A5481">
        <w:rPr>
          <w:rFonts w:hint="cs"/>
          <w:b/>
          <w:bCs/>
          <w:rtl/>
          <w:lang w:val="en-IL"/>
        </w:rPr>
        <w:t xml:space="preserve">צום שלאחר חתימת הדין </w:t>
      </w:r>
      <w:r w:rsidRPr="001A5481">
        <w:rPr>
          <w:rFonts w:hint="cs"/>
          <w:rtl/>
          <w:lang w:val="en-IL"/>
        </w:rPr>
        <w:t>- צום שמתרחש לאחר שהמציאות כבר נחתמה, ואינו נועד לשנות את מהלך הדברים אלא לסמן קבלה, אבל ולפעמים אף זעזוע. דוגמה קלאסית לכך מופיעה בצום ישראל לאחר חילול גופת שאול ובניו</w:t>
      </w:r>
      <w:r w:rsidR="002A7C4E">
        <w:rPr>
          <w:rStyle w:val="FootnoteReference"/>
          <w:rtl/>
          <w:lang w:val="en-IL"/>
        </w:rPr>
        <w:footnoteReference w:id="9"/>
      </w:r>
      <w:r w:rsidRPr="001A5481">
        <w:rPr>
          <w:rFonts w:hint="cs"/>
          <w:rtl/>
          <w:lang w:val="en-IL"/>
        </w:rPr>
        <w:t>, בו הצום הוא תגובה למצב סופי, ומתאפיין כמחווה וזעזוע לאור מה שכבר קרה, ללא ניסיון להשפיע על העתיד.</w:t>
      </w:r>
    </w:p>
    <w:p w14:paraId="0DCC8534" w14:textId="77777777" w:rsidR="001A5481" w:rsidRPr="001A5481" w:rsidRDefault="001A5481" w:rsidP="001A5481">
      <w:pPr>
        <w:rPr>
          <w:rtl/>
          <w:lang w:val="en-IL"/>
        </w:rPr>
      </w:pPr>
      <w:r w:rsidRPr="001A5481">
        <w:rPr>
          <w:rFonts w:hint="cs"/>
          <w:rtl/>
          <w:lang w:val="en-IL"/>
        </w:rPr>
        <w:t>במגילת אסתר מתפצל הצום כבר לשני אופנים מקבילים. הראשון הוא צום פומבי של זעקה ואבל בהובלת מרדכי והעם:</w:t>
      </w:r>
    </w:p>
    <w:p w14:paraId="7A1ED821" w14:textId="4A7FE388" w:rsidR="001A5481" w:rsidRPr="001A5481" w:rsidRDefault="001A5481" w:rsidP="001A5481">
      <w:pPr>
        <w:pStyle w:val="Quote"/>
        <w:rPr>
          <w:rtl/>
          <w:lang w:val="en-IL"/>
        </w:rPr>
      </w:pPr>
      <w:r w:rsidRPr="001A5481">
        <w:rPr>
          <w:rFonts w:hint="cs"/>
          <w:rtl/>
          <w:lang w:val="en-IL"/>
        </w:rPr>
        <w:t>ומׇרְדֳּכַי יָדַע אֶת־כׇּל־אֲשֶׁר נַעֲשָׂה וַיִּקְרַע מׇרְדֳּכַי אֶת־בְּגָדָיו וַיִּלְבַּשׁ שַׂק וָאֵפֶר וַיֵּצֵא בְּתוֹךְ הָעִיר וַיִּזְעַק זְעָקָה גְדוֹלָה וּמָרָה׃… וּבְכׇל־מְדִינָה וּמְדִינָה מְקוֹם אֲשֶׁר דְּבַר־הַמֶּלֶךְ וְדָתוֹ מַגִּיעַ אֵבֶל גָּדוֹל לַיְּהוּדִים וְצוֹם וּבְכִי וּמִסְפֵּד שַׂק וָאֵפֶר יֻצַּע לָרַבִּים</w:t>
      </w:r>
      <w:r w:rsidR="001E29D1" w:rsidRPr="001A5481">
        <w:rPr>
          <w:rFonts w:hint="cs"/>
          <w:rtl/>
          <w:lang w:val="en-IL"/>
        </w:rPr>
        <w:t>׃</w:t>
      </w:r>
      <w:r w:rsidR="001E29D1">
        <w:rPr>
          <w:rStyle w:val="FootnoteReference"/>
          <w:rtl/>
          <w:lang w:val="en-IL"/>
        </w:rPr>
        <w:footnoteReference w:id="10"/>
      </w:r>
    </w:p>
    <w:p w14:paraId="0C566BB1" w14:textId="77777777" w:rsidR="001A5481" w:rsidRPr="001A5481" w:rsidRDefault="001A5481" w:rsidP="001A5481">
      <w:pPr>
        <w:ind w:firstLine="0"/>
        <w:rPr>
          <w:rtl/>
          <w:lang w:val="en-IL"/>
        </w:rPr>
      </w:pPr>
      <w:r w:rsidRPr="001A5481">
        <w:rPr>
          <w:rFonts w:hint="cs"/>
          <w:rtl/>
          <w:lang w:val="en-IL"/>
        </w:rPr>
        <w:t>לצד זה, אסתר עצמה נוהגת בצום פרטי וחבוי מאחר ואינה מגדת את עמה ומולדתה, כהכנה לפעולה פוליטית של גישה אל המלך. סיפורים אלו ממחישים כיצד הצום התגובתי, בהיעדר מסגרת מחייבת, יכול לקבל משמעות משתנה. בין תפילה לאבל, בין קבלת המציאות לבין ניסיון השפעה.</w:t>
      </w:r>
    </w:p>
    <w:p w14:paraId="6A6E28F5" w14:textId="412A6A0C" w:rsidR="001A5481" w:rsidRPr="001A5481" w:rsidRDefault="001A5481" w:rsidP="001A5481">
      <w:pPr>
        <w:rPr>
          <w:rtl/>
          <w:lang w:val="en-IL"/>
        </w:rPr>
      </w:pPr>
      <w:r w:rsidRPr="001A5481">
        <w:rPr>
          <w:rFonts w:hint="cs"/>
          <w:rtl/>
          <w:lang w:val="en-IL"/>
        </w:rPr>
        <w:t xml:space="preserve">מכלול זה משרטט את מודל הצום התגובתי: פרקטיקה לא מתוכננת, תלויה במציאות, אשר מופיעה בה ההבחנה בין צום קודם חתימת הדין לבין צום לאחר חתימת הדין, ומאפשרת הבנה מעמיקה של יחסי האדם והאל במצבי משבר. </w:t>
      </w:r>
      <w:r w:rsidRPr="001A5481">
        <w:rPr>
          <w:rFonts w:hint="cs"/>
          <w:rtl/>
          <w:lang w:val="en-IL"/>
        </w:rPr>
        <w:lastRenderedPageBreak/>
        <w:t>הבחנה זו תעמוד ברקע להתפתחות מודל הצום השני -</w:t>
      </w:r>
      <w:r w:rsidR="0072176C">
        <w:rPr>
          <w:rFonts w:hint="cs"/>
          <w:rtl/>
          <w:lang w:val="en-IL"/>
        </w:rPr>
        <w:t xml:space="preserve"> </w:t>
      </w:r>
      <w:r w:rsidRPr="001A5481">
        <w:rPr>
          <w:rFonts w:hint="cs"/>
          <w:rtl/>
          <w:lang w:val="en-IL"/>
        </w:rPr>
        <w:t>הצום המתוכנן, המצווה, ומרכזו יום הכיפורים.</w:t>
      </w:r>
    </w:p>
    <w:p w14:paraId="18D8E621" w14:textId="77777777" w:rsidR="00552034" w:rsidRPr="00552034" w:rsidRDefault="00552034" w:rsidP="00552034">
      <w:pPr>
        <w:pStyle w:val="Heading2"/>
        <w:rPr>
          <w:lang w:val="en-IL"/>
        </w:rPr>
      </w:pPr>
      <w:r w:rsidRPr="00552034">
        <w:rPr>
          <w:rFonts w:hint="cs"/>
          <w:rtl/>
          <w:lang w:val="en-IL"/>
        </w:rPr>
        <w:t>״ועניתם את נפשותיכם״ - הצום המצווה</w:t>
      </w:r>
    </w:p>
    <w:p w14:paraId="2921F3A5" w14:textId="2A583832" w:rsidR="00ED479A" w:rsidRPr="00ED479A" w:rsidRDefault="00ED479A" w:rsidP="009F3C44">
      <w:pPr>
        <w:ind w:firstLine="0"/>
        <w:rPr>
          <w:lang w:val="en-IL"/>
        </w:rPr>
      </w:pPr>
      <w:r w:rsidRPr="00ED479A">
        <w:rPr>
          <w:rFonts w:hint="cs"/>
          <w:rtl/>
          <w:lang w:val="en-IL"/>
        </w:rPr>
        <w:t>המופע הבולט ביותר של צום מצווה בתורה הוא צום יום הכיפורים. ואולם, עיון בפסוקי התורה מלמד כי הצום איננו מוצב במרכזו של היום, ואף אינו מנוסח כציווי עצמאי. מרכז הכובד מצוי בציווי “לענות את הנפש”,</w:t>
      </w:r>
      <w:r w:rsidR="0072176C">
        <w:rPr>
          <w:rFonts w:hint="cs"/>
          <w:rtl/>
          <w:lang w:val="en-IL"/>
        </w:rPr>
        <w:t xml:space="preserve"> </w:t>
      </w:r>
      <w:r w:rsidRPr="00ED479A">
        <w:rPr>
          <w:rFonts w:hint="cs"/>
          <w:rtl/>
          <w:lang w:val="en-IL"/>
        </w:rPr>
        <w:t>אשר נטמע במסגרת רחבה ומודגשת יותר של “שבת שבתון” - שביתה מוחלטת ממלאכה. כבר ברובד זה מתברר כי הצום איננו מעשה סיגוף מבודד, אלא רכיב בתוך מהלך כולל של פרישה מן העשייה, מן החומר ומן האחיזה בעולם המוחשי.</w:t>
      </w:r>
    </w:p>
    <w:p w14:paraId="168CD550" w14:textId="6C92A5C1" w:rsidR="00ED479A" w:rsidRPr="00ED479A" w:rsidRDefault="00ED479A" w:rsidP="00ED479A">
      <w:pPr>
        <w:pStyle w:val="Quote"/>
        <w:rPr>
          <w:rtl/>
          <w:lang w:val="en-IL"/>
        </w:rPr>
      </w:pPr>
      <w:r w:rsidRPr="00ED479A">
        <w:rPr>
          <w:rFonts w:hint="cs"/>
          <w:rtl/>
          <w:lang w:val="en-IL"/>
        </w:rPr>
        <w:t>…בַּחֹדֶשׁ הַשְּׁבִיעִי בֶּעָשׂוֹר לַחֹדֶשׁ תְּעַנּוּ אֶת־נַפְשֹׁתֵיכֶם וְכׇל־מְלָאכָה לֹא תַעֲשׂוּ הָאֶזְרָח וְהַגֵּר הַגָּר בְּתוֹכְכֶם׃ כִּי־בַיּוֹם הַזֶּה יְכַפֵּר עֲלֵיכֶם לְטַהֵר אֶתְכֶם מִכֹּל חַטֹּאתֵיכֶם לִפְנֵי ה׳ תִּטְהָרוּ׃ שַׁבַּת שַׁבָּתוֹן הִיא לָכֶם וְעִנִּיתֶם אֶת־נַפְשֹׁתֵיכֶם…</w:t>
      </w:r>
      <w:r w:rsidR="00AB3979">
        <w:rPr>
          <w:rStyle w:val="FootnoteReference"/>
          <w:rtl/>
          <w:lang w:val="en-IL"/>
        </w:rPr>
        <w:footnoteReference w:id="11"/>
      </w:r>
    </w:p>
    <w:p w14:paraId="33E025C5" w14:textId="020217B3" w:rsidR="00ED479A" w:rsidRPr="00ED479A" w:rsidRDefault="00ED479A" w:rsidP="0060100C">
      <w:pPr>
        <w:pStyle w:val="Quote"/>
        <w:ind w:firstLine="283"/>
        <w:rPr>
          <w:rtl/>
          <w:lang w:val="en-IL"/>
        </w:rPr>
      </w:pPr>
      <w:r w:rsidRPr="00ED479A">
        <w:rPr>
          <w:rFonts w:hint="cs"/>
          <w:rtl/>
          <w:lang w:val="en-IL"/>
        </w:rPr>
        <w:t>אַךְ בֶּעָשׂוֹר לַחֹדֶשׁ הַשְּׁבִיעִי הַזֶּה יוֹם הַכִּפֻּרִים הוּא מִקְרָא־קֹדֶשׁ יִהְיֶה לָכֶם וְעִנִּיתֶם אֶת־נַפְשֹׁתֵיכֶם… כִּי יוֹם כִּפֻּרִים הוּא לְכַפֵּר עֲלֵיכֶם לִפְנֵי ה׳ אֱלֹקיכֶם׃ כׇּל־מְלָאכָה לֹא תַעֲשׂוּ …שַׁבַּת שַׁבָּתוֹן הוּא לָכֶם וְעִנִּיתֶם אֶת־נַפְשֹׁתֵיכֶם בְּתִשְׁעָה לַחֹדֶשׁ בָּעֶרֶב מֵעֶרֶב עַד־עֶרֶב תִּשְׁבְּתוּ שַׁבַּתְּכֶם׃</w:t>
      </w:r>
      <w:r w:rsidR="0060100C">
        <w:rPr>
          <w:rStyle w:val="FootnoteReference"/>
          <w:rtl/>
          <w:lang w:val="en-IL"/>
        </w:rPr>
        <w:footnoteReference w:id="12"/>
      </w:r>
    </w:p>
    <w:p w14:paraId="3915C9E3" w14:textId="5981101F" w:rsidR="00ED479A" w:rsidRPr="00ED479A" w:rsidRDefault="00ED479A" w:rsidP="00ED479A">
      <w:pPr>
        <w:ind w:firstLine="0"/>
        <w:rPr>
          <w:rtl/>
          <w:lang w:val="en-IL"/>
        </w:rPr>
      </w:pPr>
      <w:r w:rsidRPr="00ED479A">
        <w:rPr>
          <w:rFonts w:hint="cs"/>
          <w:rtl/>
          <w:lang w:val="en-IL"/>
        </w:rPr>
        <w:t>בכדי להבין את מהות הצום, נעמוד על מושג “עינוי הנפש”, החוזר שלוש פעמים בהקשר של יום הכיפורים. הזיקה בין צום לבין עינוי ניכרת בדברי הנביאים: “לָמָּה צַּמְנוּ וְלֹא רָאִיתָ…עִנִּינוּ נַפְשֵׁנוּ וְלֹא תֵדָע”</w:t>
      </w:r>
      <w:r w:rsidR="0060100C">
        <w:rPr>
          <w:rStyle w:val="FootnoteReference"/>
          <w:rtl/>
          <w:lang w:val="en-IL"/>
        </w:rPr>
        <w:footnoteReference w:id="13"/>
      </w:r>
      <w:r w:rsidRPr="00ED479A">
        <w:rPr>
          <w:rFonts w:hint="cs"/>
          <w:rtl/>
          <w:lang w:val="en-IL"/>
        </w:rPr>
        <w:t>. בה בעת, המונח “נפש” במקרא מציין לא אחת את גרונו של האדם ואת מוקד הצורך הגופני, כפי שעולה מתהלים: ״כי השביע נפש שוקקה ונפש רעבה מלא טוב״</w:t>
      </w:r>
      <w:r w:rsidR="00F448F2">
        <w:rPr>
          <w:rStyle w:val="FootnoteReference"/>
          <w:rtl/>
          <w:lang w:val="en-IL"/>
        </w:rPr>
        <w:footnoteReference w:id="14"/>
      </w:r>
      <w:r w:rsidRPr="00ED479A">
        <w:rPr>
          <w:rFonts w:hint="cs"/>
          <w:rtl/>
          <w:lang w:val="en-IL"/>
        </w:rPr>
        <w:t>, או בישעיהו: ״תתענג בדשא נפשותיכם״</w:t>
      </w:r>
      <w:r w:rsidR="00F448F2">
        <w:rPr>
          <w:rStyle w:val="FootnoteReference"/>
          <w:rtl/>
          <w:lang w:val="en-IL"/>
        </w:rPr>
        <w:footnoteReference w:id="15"/>
      </w:r>
      <w:r w:rsidRPr="00ED479A">
        <w:rPr>
          <w:rFonts w:hint="cs"/>
          <w:rtl/>
          <w:lang w:val="en-IL"/>
        </w:rPr>
        <w:t xml:space="preserve">. עינוי הנפש הוא אפוא צמצום מכוון של החוויה החושית, ובראש </w:t>
      </w:r>
      <w:r w:rsidRPr="00ED479A">
        <w:rPr>
          <w:rFonts w:hint="cs"/>
          <w:rtl/>
          <w:lang w:val="en-IL"/>
        </w:rPr>
        <w:lastRenderedPageBreak/>
        <w:t>ובראשונה של האכילה והשתייה.</w:t>
      </w:r>
    </w:p>
    <w:p w14:paraId="13EEE2B5" w14:textId="6F986C84" w:rsidR="00ED479A" w:rsidRPr="00ED479A" w:rsidRDefault="00ED479A" w:rsidP="00ED479A">
      <w:pPr>
        <w:rPr>
          <w:rtl/>
          <w:lang w:val="en-IL"/>
        </w:rPr>
      </w:pPr>
      <w:r w:rsidRPr="00ED479A">
        <w:rPr>
          <w:rFonts w:hint="cs"/>
          <w:rtl/>
          <w:lang w:val="en-IL"/>
        </w:rPr>
        <w:t>כאן ניתן להיעזר בתיאורו של זיגמונד פרויד - “התקדמות ברוחניות”. פרויד</w:t>
      </w:r>
      <w:r w:rsidR="00714A8B">
        <w:rPr>
          <w:rStyle w:val="FootnoteReference"/>
          <w:rtl/>
          <w:lang w:val="en-IL"/>
        </w:rPr>
        <w:footnoteReference w:id="16"/>
      </w:r>
      <w:r w:rsidRPr="00ED479A">
        <w:rPr>
          <w:rFonts w:hint="cs"/>
          <w:rtl/>
          <w:lang w:val="en-IL"/>
        </w:rPr>
        <w:t xml:space="preserve"> מתאר את הדת המונותאיסטית כמהלך תרבותי הכרוך בוויתור על אל נראה ומוחשי לטובת אל מופשט, שאינו ניתן לייצוג חושי. ויתור זה הוא תביעה נפשית עמוקה - ריסון הדחף, דחיית הסיפוק והסכמה לחיות מול היעדר. בהקשר זה, הצום המצווה איננו אמצעי חינוכי גרידא, אלא תרגול גופני של אותה תביעה מונותאיסטית עצמה - חיים דתיים שאינם נשענים על סיפוק חושי, בעולמו של האל (האב)</w:t>
      </w:r>
      <w:r w:rsidR="00F47BEB">
        <w:rPr>
          <w:rStyle w:val="FootnoteReference"/>
          <w:rtl/>
          <w:lang w:val="en-IL"/>
        </w:rPr>
        <w:footnoteReference w:id="17"/>
      </w:r>
      <w:r w:rsidRPr="00ED479A">
        <w:rPr>
          <w:rFonts w:hint="cs"/>
          <w:rtl/>
          <w:lang w:val="en-IL"/>
        </w:rPr>
        <w:t xml:space="preserve"> שאינו נשען על סיפוק חושי.</w:t>
      </w:r>
    </w:p>
    <w:p w14:paraId="4E7BFA0B" w14:textId="77777777" w:rsidR="00ED479A" w:rsidRPr="00ED479A" w:rsidRDefault="00ED479A" w:rsidP="00ED479A">
      <w:pPr>
        <w:rPr>
          <w:rtl/>
          <w:lang w:val="en-IL"/>
        </w:rPr>
      </w:pPr>
      <w:r w:rsidRPr="00ED479A">
        <w:rPr>
          <w:rFonts w:hint="cs"/>
          <w:rtl/>
          <w:lang w:val="en-IL"/>
        </w:rPr>
        <w:t>אופיו של יום הכיפורים מחזק קריאה זו. במקרא מוצג היום כיום של טהרת המקדש וכפרה על בני ישראל, מתוך שאיפה לאפשר את המשך שכינת הנוכחות האלוהית בתוך מחנה אנושי וחוטא. חמשת העינויים, ובהם האיסור על אכילה, רחיצה, סיכה, נעילת הסנדל וקיום יחסי מין - מציבים את האדם במצב קיומי של ויתור על מאפייני גופו. זהו רגע שבו האדם כמעט ומדמה לאל קונו, לא באמצעות חיקוי חזותי, אלא דווקא באמצעות שלילת הגוף. במונחיו של פרויד, זהו רגע של ויתור מודע על הדחף כתנאי למפגש עם האל המופשט.</w:t>
      </w:r>
    </w:p>
    <w:p w14:paraId="05344BFF" w14:textId="77777777" w:rsidR="00ED479A" w:rsidRPr="00ED479A" w:rsidRDefault="00ED479A" w:rsidP="00ED479A">
      <w:pPr>
        <w:rPr>
          <w:rtl/>
          <w:lang w:val="en-IL"/>
        </w:rPr>
      </w:pPr>
      <w:r w:rsidRPr="00ED479A">
        <w:rPr>
          <w:rFonts w:hint="cs"/>
          <w:rtl/>
          <w:lang w:val="en-IL"/>
        </w:rPr>
        <w:t>מודל זה של צום כהידמות וזיכוך עולה בעוצמה מתיאור משה במעמד הר סיני: </w:t>
      </w:r>
    </w:p>
    <w:p w14:paraId="42541A80" w14:textId="01A4AC2E" w:rsidR="00ED479A" w:rsidRPr="00ED479A" w:rsidRDefault="00ED479A" w:rsidP="009F3C44">
      <w:pPr>
        <w:pStyle w:val="Quote"/>
        <w:rPr>
          <w:rtl/>
          <w:lang w:val="en-IL"/>
        </w:rPr>
      </w:pPr>
      <w:r w:rsidRPr="00ED479A">
        <w:rPr>
          <w:rFonts w:hint="cs"/>
          <w:rtl/>
          <w:lang w:val="en-IL"/>
        </w:rPr>
        <w:t>וַיְהִי־שָׁם עִם־ה׳ אַרְבָּעִים יוֹם וְאַרְבָּעִים לַיְלָה לֶחֶם לֹא אָכַל וּמַיִם לֹא שָׁתָה וַיִּכְתֹּב עַל־הַלֻּחֹת אֵת דִּבְרֵי הַבְּרִית עֲשֶׂרֶת הַדְּבָרִים׃ וַיְהִי בְּרֶדֶת מֹשֶׁה מֵהַר סִינַי … וּמֹשֶׁה לֹא־יָדַע כִּי קָרַן עוֹר פָּנָיו בְּדַבְּרוֹ אִתּוֹ׃</w:t>
      </w:r>
      <w:r w:rsidR="009A40BA">
        <w:rPr>
          <w:rStyle w:val="FootnoteReference"/>
          <w:rtl/>
          <w:lang w:val="en-IL"/>
        </w:rPr>
        <w:footnoteReference w:id="18"/>
      </w:r>
    </w:p>
    <w:p w14:paraId="2F89886D" w14:textId="77777777" w:rsidR="00ED479A" w:rsidRPr="00ED479A" w:rsidRDefault="00ED479A" w:rsidP="009F3C44">
      <w:pPr>
        <w:ind w:firstLine="0"/>
        <w:rPr>
          <w:rtl/>
          <w:lang w:val="en-IL"/>
        </w:rPr>
      </w:pPr>
      <w:r w:rsidRPr="00ED479A">
        <w:rPr>
          <w:rFonts w:hint="cs"/>
          <w:rtl/>
          <w:lang w:val="en-IL"/>
        </w:rPr>
        <w:t xml:space="preserve">התיאור השמימי הזה, של ארבעים יום וארבעים לילה ללא לחם וללא מים, נראה שקרבתו לאל מייתרת לכאורה את צורכי הגוף. כאן הצום איננו מוצג כסיגוף רצוני, אלא כתוצאה של עמידה לפני האל - ביטוי קיצוני של אותה “התקדמות </w:t>
      </w:r>
      <w:r w:rsidRPr="00ED479A">
        <w:rPr>
          <w:rFonts w:hint="cs"/>
          <w:rtl/>
          <w:lang w:val="en-IL"/>
        </w:rPr>
        <w:lastRenderedPageBreak/>
        <w:t>ברוחניות” שעליה מצביע פרויד. ואולם, בנאומו של משה בספר דברים מתגלה ממד נוסף: הצום מתואר כסיגוף מכוון של כפרה ותפילה על חטא העם. </w:t>
      </w:r>
    </w:p>
    <w:p w14:paraId="4A4394F7" w14:textId="44D52186" w:rsidR="00ED479A" w:rsidRPr="00ED479A" w:rsidRDefault="00ED479A" w:rsidP="009F3C44">
      <w:pPr>
        <w:pStyle w:val="Quote"/>
        <w:rPr>
          <w:rtl/>
          <w:lang w:val="en-IL"/>
        </w:rPr>
      </w:pPr>
      <w:r w:rsidRPr="00ED479A">
        <w:rPr>
          <w:rFonts w:hint="cs"/>
          <w:rtl/>
          <w:lang w:val="en-IL"/>
        </w:rPr>
        <w:t>וָאֶרֶא וְהִנֵּה חֲטָאתֶם … וָאֶתְפֹּשׂ בִּשְׁנֵי הַלֻּחֹת וָאַשְׁלִכֵם מֵעַל שְׁתֵּי יָדַי וָאֲשַׁבְּרֵם לְעֵינֵיכֶם׃ וָאֶתְנַפַּל לִפְנֵי ה׳ כָּרִאשֹׁנָה אַרְבָּעִים יוֹם וְאַרְבָּעִים לָיְלָה לֶחֶם לֹא אָכַלְתִּי וּמַיִם אלֹא שָׁתִיתִי עַל כׇּל־חַטַּאתְכֶם אֲשֶׁר חֲטָאתֶם לַעֲשׂוֹת הָרַע בְּעֵינֵי ה׳ לְהַכְעִיסוֹ׃ כִּי יָגֹרְתִּי מִפְּנֵי הָאַף וְהַחֵמָה אֲשֶׁר קָצַף ה׳ עֲלֵיכֶם לְהַשְׁמִיד אֶתְכֶם וַיִּשְׁמַע ה׳ אֵלַי גַּם בַּפַּעַם הַהִוא׃</w:t>
      </w:r>
      <w:r w:rsidR="0071562F">
        <w:rPr>
          <w:rStyle w:val="FootnoteReference"/>
          <w:rtl/>
          <w:lang w:val="en-IL"/>
        </w:rPr>
        <w:footnoteReference w:id="19"/>
      </w:r>
    </w:p>
    <w:p w14:paraId="1DB699A1" w14:textId="77777777" w:rsidR="00ED479A" w:rsidRPr="00ED479A" w:rsidRDefault="00ED479A" w:rsidP="009F3C44">
      <w:pPr>
        <w:ind w:firstLine="0"/>
        <w:rPr>
          <w:rtl/>
          <w:lang w:val="en-IL"/>
        </w:rPr>
      </w:pPr>
      <w:r w:rsidRPr="00ED479A">
        <w:rPr>
          <w:rFonts w:hint="cs"/>
          <w:rtl/>
          <w:lang w:val="en-IL"/>
        </w:rPr>
        <w:t>השוואה בין משה לבין הכהן הגדול ביום הכיפורים מחדדת את תכליתו של הצום המצווה. שניהם פורשים מן המחנה, מתנתקים מן הגשמיות ונכנסים למרחב מקודש בשם העם כולו. העם מצדו, מחקה את הפרישה הזו באמצעות יום השבתון ועינוי הנפש, ובאמצעות שלושת ימי ההגבלה מול הר סיני. זהו מהלך של צמצום, שבו החברה כולה מתאמנת, ולו ליום אחד, בחזון הדתי של אל שאינו נראה.</w:t>
      </w:r>
    </w:p>
    <w:p w14:paraId="01307D6C" w14:textId="1CB2E3D8" w:rsidR="00ED479A" w:rsidRPr="00ED479A" w:rsidRDefault="00ED479A" w:rsidP="00ED479A">
      <w:pPr>
        <w:rPr>
          <w:rtl/>
          <w:lang w:val="en-IL"/>
        </w:rPr>
      </w:pPr>
      <w:r w:rsidRPr="00ED479A">
        <w:rPr>
          <w:rFonts w:hint="cs"/>
          <w:rtl/>
          <w:lang w:val="en-IL"/>
        </w:rPr>
        <w:t>על רקע זה מקבלת שבירת הלוחות משמעות רעיונית חדה. בשעה שמשה מזדכך עד קצה גבול האנושי, העם מבקש אל נראה ומוחשי-</w:t>
      </w:r>
      <w:r w:rsidR="0072176C">
        <w:rPr>
          <w:rFonts w:hint="cs"/>
          <w:rtl/>
          <w:lang w:val="en-IL"/>
        </w:rPr>
        <w:t xml:space="preserve"> </w:t>
      </w:r>
      <w:r w:rsidRPr="00ED479A">
        <w:rPr>
          <w:rFonts w:hint="cs"/>
          <w:rtl/>
          <w:lang w:val="en-IL"/>
        </w:rPr>
        <w:t>עגל מסכה. במונחיו של פרויד זהו רגע של נסיגה, חזרה מן הדת המופשטת אל צורך בדימוי, באובייקט ובנראות. שבירת הלוחות מסמנת אפוא לא רק תגובה לחטא, אלא קריסה של היכולת לעמוד בתביעה המונותאיסטית. </w:t>
      </w:r>
    </w:p>
    <w:p w14:paraId="3C485A19" w14:textId="77777777" w:rsidR="00ED479A" w:rsidRPr="00ED479A" w:rsidRDefault="00ED479A" w:rsidP="00ED479A">
      <w:pPr>
        <w:rPr>
          <w:rtl/>
          <w:lang w:val="en-IL"/>
        </w:rPr>
      </w:pPr>
      <w:r w:rsidRPr="00ED479A">
        <w:rPr>
          <w:rFonts w:hint="cs"/>
          <w:rtl/>
          <w:lang w:val="en-IL"/>
        </w:rPr>
        <w:t>אחר עיון במודל הצום המצווה בהלכה המקראית, נפנה כעת לבחינת מופעי הצום בדתות אחרות, מתוך מטרה לעמוד על האופנים השונים שבהם מתמודדות מסורות דתיות עם המתח שבין פרישה מן החומר, ריסון הדחף וחיפוש הקרבה אל האל.</w:t>
      </w:r>
    </w:p>
    <w:p w14:paraId="22DA9734" w14:textId="77777777" w:rsidR="00E93AB1" w:rsidRPr="00E93AB1" w:rsidRDefault="00E93AB1" w:rsidP="00E93AB1">
      <w:pPr>
        <w:pStyle w:val="Heading2"/>
        <w:rPr>
          <w:lang w:val="en-IL"/>
        </w:rPr>
      </w:pPr>
      <w:r w:rsidRPr="00E93AB1">
        <w:rPr>
          <w:rFonts w:hint="cs"/>
          <w:rtl/>
          <w:lang w:val="en-IL"/>
        </w:rPr>
        <w:t>״כי לך תכרע כל ברך״ - אופני הצום בדתות שונות</w:t>
      </w:r>
    </w:p>
    <w:p w14:paraId="5B029D21" w14:textId="2AFD4EB4" w:rsidR="00BD651D" w:rsidRPr="00BD651D" w:rsidRDefault="00BD651D" w:rsidP="00BD651D">
      <w:pPr>
        <w:ind w:firstLine="0"/>
        <w:rPr>
          <w:lang w:val="en-IL"/>
        </w:rPr>
      </w:pPr>
      <w:r w:rsidRPr="00BD651D">
        <w:rPr>
          <w:rFonts w:hint="cs"/>
          <w:rtl/>
          <w:lang w:val="en-IL"/>
        </w:rPr>
        <w:t>בשיח התיאולוגי של שלוש הדתות האברהמיות, ניתן לזהות מתח בין עולם המעשה המעוגן במערכות חוק - מצוות ודינים קונקרטיים - לבין השאיפה לחיים רוחניים של טהרה ודבקות באל. מתח זה נוכח כבר במקרא- למשל בביקורת הנבואית על פולחן ריק מתוכן מוסרי</w:t>
      </w:r>
      <w:r w:rsidR="007E53F6">
        <w:rPr>
          <w:rStyle w:val="FootnoteReference"/>
          <w:rtl/>
          <w:lang w:val="en-IL"/>
        </w:rPr>
        <w:footnoteReference w:id="20"/>
      </w:r>
      <w:r w:rsidRPr="00BD651D">
        <w:rPr>
          <w:rFonts w:hint="cs"/>
          <w:rtl/>
          <w:lang w:val="en-IL"/>
        </w:rPr>
        <w:t xml:space="preserve">, ממשיך בספרות חז״ל- כגון הדיון על </w:t>
      </w:r>
      <w:r w:rsidRPr="00BD651D">
        <w:rPr>
          <w:rFonts w:hint="cs"/>
          <w:rtl/>
          <w:lang w:val="en-IL"/>
        </w:rPr>
        <w:lastRenderedPageBreak/>
        <w:t>מצוות צריכות כוונה</w:t>
      </w:r>
      <w:r w:rsidR="000F5EB5">
        <w:rPr>
          <w:rStyle w:val="FootnoteReference"/>
          <w:rtl/>
          <w:lang w:val="en-IL"/>
        </w:rPr>
        <w:footnoteReference w:id="21"/>
      </w:r>
      <w:r w:rsidRPr="00BD651D">
        <w:rPr>
          <w:rFonts w:hint="cs"/>
          <w:rtl/>
          <w:lang w:val="en-IL"/>
        </w:rPr>
        <w:t>, ומקבל ניסוחים מקבילים גם במסורות המאוחרות יותר של האסלאם והנצרות. בכל אחת מן הדתות הללו מתקיימת זיקה מורכבת בין החוק כמתווה חיים מחייב לבין הרוח כיעד פנימי ומטאפיזי, שאינו מתמצה בקיום טכני של נורמות.</w:t>
      </w:r>
    </w:p>
    <w:p w14:paraId="0E52EB29" w14:textId="77777777" w:rsidR="00BD651D" w:rsidRPr="00BD651D" w:rsidRDefault="00BD651D" w:rsidP="00BD651D">
      <w:pPr>
        <w:rPr>
          <w:rtl/>
          <w:lang w:val="en-IL"/>
        </w:rPr>
      </w:pPr>
      <w:r w:rsidRPr="00BD651D">
        <w:rPr>
          <w:rFonts w:hint="cs"/>
          <w:rtl/>
          <w:lang w:val="en-IL"/>
        </w:rPr>
        <w:t>הנצרות, השונה בהקשר זה משתי אחיותיה, עיצבה כבר בראשיתה עמדה תאולוגית המעדיפה, או לפחות מדגישה את הרוחניות שבמעשה הדתי על פני מחויבות שיטתית למערכת חוקית מקיפה. מגמה זו נשענת בעיקר על רעיון זניחת מערכת החוקים שבתורה והיחס אליו כ״ברית ישנה״ ח״ו, אך גם על כתבי דת נוצריים ידועים. רעיונות רבים מוכרים לנו הן בברית החדשה, והן בכתבי פאולוס, לדוגמא:</w:t>
      </w:r>
    </w:p>
    <w:p w14:paraId="1E143427" w14:textId="48C2B71E" w:rsidR="00BD651D" w:rsidRPr="00BD651D" w:rsidRDefault="00BD651D" w:rsidP="00BD651D">
      <w:pPr>
        <w:pStyle w:val="Quote"/>
        <w:rPr>
          <w:rtl/>
          <w:lang w:val="en-IL"/>
        </w:rPr>
      </w:pPr>
      <w:r w:rsidRPr="00BD651D">
        <w:rPr>
          <w:rFonts w:hint="cs"/>
          <w:rtl/>
          <w:lang w:val="en-IL"/>
        </w:rPr>
        <w:t>הָאוֹת מְמִיתָה וְהָרוּחַ מְחַיָּה;</w:t>
      </w:r>
      <w:r w:rsidR="000F5EB5">
        <w:rPr>
          <w:rStyle w:val="FootnoteReference"/>
          <w:rtl/>
          <w:lang w:val="en-IL"/>
        </w:rPr>
        <w:footnoteReference w:id="22"/>
      </w:r>
    </w:p>
    <w:p w14:paraId="08216EC0" w14:textId="14FE224E" w:rsidR="00BD651D" w:rsidRPr="00BD651D" w:rsidRDefault="00BD651D" w:rsidP="00BD651D">
      <w:pPr>
        <w:pStyle w:val="Quote"/>
        <w:rPr>
          <w:rtl/>
          <w:lang w:val="en-IL"/>
        </w:rPr>
      </w:pPr>
      <w:r w:rsidRPr="00BD651D">
        <w:rPr>
          <w:rFonts w:hint="cs"/>
          <w:rtl/>
          <w:lang w:val="en-IL"/>
        </w:rPr>
        <w:t>בַּחֶסֶד נוֹשַׁעְתֶּם… לֹא מִמַּעֲשִׂים, פֶּן יִתְהַלֵּל אִישׁ</w:t>
      </w:r>
      <w:r w:rsidR="004A1195">
        <w:rPr>
          <w:rStyle w:val="FootnoteReference"/>
          <w:rtl/>
          <w:lang w:val="en-IL"/>
        </w:rPr>
        <w:footnoteReference w:id="23"/>
      </w:r>
    </w:p>
    <w:p w14:paraId="05A2602B" w14:textId="0A32F8AE" w:rsidR="00BD651D" w:rsidRPr="00BD651D" w:rsidRDefault="00BD651D" w:rsidP="00BD651D">
      <w:pPr>
        <w:ind w:firstLine="0"/>
        <w:rPr>
          <w:rtl/>
          <w:lang w:val="en-IL"/>
        </w:rPr>
      </w:pPr>
      <w:r w:rsidRPr="00BD651D">
        <w:rPr>
          <w:rFonts w:hint="cs"/>
          <w:rtl/>
          <w:lang w:val="en-IL"/>
        </w:rPr>
        <w:t>רעיונות כגון אלו מעמידים את האמונה והחסד במרכז, נוסף על דרשות ישו עצמו, ובראשן הדרשה על ההר</w:t>
      </w:r>
      <w:r w:rsidR="0045726C">
        <w:rPr>
          <w:rStyle w:val="FootnoteReference"/>
          <w:rtl/>
          <w:lang w:val="en-IL"/>
        </w:rPr>
        <w:footnoteReference w:id="24"/>
      </w:r>
      <w:r w:rsidRPr="00BD651D">
        <w:rPr>
          <w:rFonts w:hint="cs"/>
          <w:rtl/>
          <w:lang w:val="en-IL"/>
        </w:rPr>
        <w:t>, בה החוק מתפרש כקריאה מוסרית־פנימית ולא כחיוב משפטי במובנו ההלכתי.</w:t>
      </w:r>
    </w:p>
    <w:p w14:paraId="2E642710" w14:textId="109AB8FF" w:rsidR="00261D25" w:rsidRPr="00261D25" w:rsidRDefault="00261D25" w:rsidP="00261D25">
      <w:pPr>
        <w:rPr>
          <w:lang w:val="en-IL"/>
        </w:rPr>
      </w:pPr>
      <w:r w:rsidRPr="00261D25">
        <w:rPr>
          <w:rFonts w:hint="cs"/>
          <w:rtl/>
          <w:lang w:val="en-IL"/>
        </w:rPr>
        <w:t>על רקע זה, הדיון שלהלן יתמקד בעיקר בהשוואה בין היהדות לאסלאם - שתי מסורות המדברות במובהק את “שפת ההלכה” לצד “שפת הרוח”: ההלכה והשריעה מצד אחד, והעיסוק בכוונה (</w:t>
      </w:r>
      <w:r w:rsidRPr="00261D25">
        <w:rPr>
          <w:rFonts w:ascii="Arial" w:hAnsi="Arial" w:cs="Arial" w:hint="cs"/>
          <w:rtl/>
          <w:lang w:val="en-IL" w:bidi="ar-SA"/>
        </w:rPr>
        <w:t>نية</w:t>
      </w:r>
      <w:r w:rsidRPr="00261D25">
        <w:rPr>
          <w:rtl/>
          <w:lang w:val="en-IL"/>
        </w:rPr>
        <w:t xml:space="preserve"> </w:t>
      </w:r>
      <w:r w:rsidRPr="00261D25">
        <w:rPr>
          <w:rFonts w:hint="cs"/>
          <w:rtl/>
          <w:lang w:val="en-IL"/>
        </w:rPr>
        <w:t>, נִיָּה), בזיכוך הנפש ותיקון המידות מן הצד האחד, כפי שהוא משתקף בספרות המוסר היהודית, בקבלה ובחסידות, ובמקביל בפיקה (</w:t>
      </w:r>
      <w:r w:rsidRPr="00261D25">
        <w:rPr>
          <w:rFonts w:ascii="Arial" w:hAnsi="Arial" w:cs="Arial" w:hint="cs"/>
          <w:rtl/>
          <w:lang w:val="en-IL" w:bidi="ar-SA"/>
        </w:rPr>
        <w:t>فقه</w:t>
      </w:r>
      <w:r w:rsidRPr="00261D25">
        <w:rPr>
          <w:rtl/>
          <w:lang w:val="en-IL"/>
        </w:rPr>
        <w:t>)</w:t>
      </w:r>
      <w:r w:rsidRPr="00261D25">
        <w:rPr>
          <w:rFonts w:hint="cs"/>
          <w:rtl/>
          <w:lang w:val="en-IL"/>
        </w:rPr>
        <w:t>, בתיאולוגיה המוסלמית ובזרמים המיסטיים- הס׳ופיים</w:t>
      </w:r>
      <w:r>
        <w:rPr>
          <w:rStyle w:val="FootnoteReference"/>
          <w:rtl/>
          <w:lang w:val="en-IL"/>
        </w:rPr>
        <w:footnoteReference w:id="25"/>
      </w:r>
      <w:r w:rsidRPr="00261D25">
        <w:rPr>
          <w:rFonts w:hint="cs"/>
          <w:rtl/>
          <w:lang w:val="en-IL"/>
        </w:rPr>
        <w:t xml:space="preserve">. דווקא הדמיון המבני הזה מאפשר להעמיק בבחינת המתח - ולעיתים הסינתזה - </w:t>
      </w:r>
      <w:r w:rsidRPr="00261D25">
        <w:rPr>
          <w:rFonts w:hint="cs"/>
          <w:rtl/>
          <w:lang w:val="en-IL"/>
        </w:rPr>
        <w:lastRenderedPageBreak/>
        <w:t>בין חוק לרוח בשתי הדתות.</w:t>
      </w:r>
    </w:p>
    <w:p w14:paraId="533B4EDA" w14:textId="47BFD600" w:rsidR="00261D25" w:rsidRPr="00261D25" w:rsidRDefault="00261D25" w:rsidP="00261D25">
      <w:pPr>
        <w:rPr>
          <w:rtl/>
          <w:lang w:val="en-IL"/>
        </w:rPr>
      </w:pPr>
      <w:r w:rsidRPr="00261D25">
        <w:rPr>
          <w:rFonts w:hint="cs"/>
          <w:rtl/>
          <w:lang w:val="en-IL"/>
        </w:rPr>
        <w:t>כידוע, מרכז הצום במסורת המוסלמית הוא צום הרמדאן</w:t>
      </w:r>
      <w:r>
        <w:rPr>
          <w:rStyle w:val="FootnoteReference"/>
          <w:rtl/>
          <w:lang w:val="en-IL"/>
        </w:rPr>
        <w:footnoteReference w:id="26"/>
      </w:r>
      <w:r w:rsidRPr="00261D25">
        <w:rPr>
          <w:rFonts w:hint="cs"/>
          <w:rtl/>
          <w:lang w:val="en-IL"/>
        </w:rPr>
        <w:t xml:space="preserve"> (</w:t>
      </w:r>
      <w:r w:rsidRPr="00261D25">
        <w:rPr>
          <w:rFonts w:ascii="Arial" w:hAnsi="Arial" w:cs="Arial" w:hint="cs"/>
          <w:b/>
          <w:bCs/>
          <w:rtl/>
          <w:lang w:val="en-IL" w:bidi="ar-SA"/>
        </w:rPr>
        <w:t>رَمَضَان</w:t>
      </w:r>
      <w:r w:rsidRPr="00261D25">
        <w:rPr>
          <w:b/>
          <w:bCs/>
          <w:rtl/>
          <w:lang w:val="en-IL" w:bidi="ar-SA"/>
        </w:rPr>
        <w:t>),</w:t>
      </w:r>
      <w:r w:rsidRPr="00261D25">
        <w:rPr>
          <w:rtl/>
          <w:lang w:val="en-IL"/>
        </w:rPr>
        <w:t xml:space="preserve"> </w:t>
      </w:r>
      <w:r w:rsidRPr="00261D25">
        <w:rPr>
          <w:rFonts w:hint="cs"/>
          <w:rtl/>
          <w:lang w:val="en-IL"/>
        </w:rPr>
        <w:t>אשר נוהג בחודש התשיעי</w:t>
      </w:r>
      <w:r>
        <w:rPr>
          <w:rStyle w:val="FootnoteReference"/>
          <w:rtl/>
          <w:lang w:val="en-IL"/>
        </w:rPr>
        <w:footnoteReference w:id="27"/>
      </w:r>
      <w:r w:rsidRPr="00261D25">
        <w:rPr>
          <w:rFonts w:hint="cs"/>
          <w:rtl/>
          <w:lang w:val="en-IL"/>
        </w:rPr>
        <w:t xml:space="preserve"> ללוח השנה המוסלמי-ירחי. צום הרמדאן מיוחס לכך שהנביא מוחמד לקח השראה משבטים יהודים שקיימו את יום הכיפורים, שכן הוא הכנה לחודש ה״עשוראא״- חודש העשירי. לצום הזה יש מקורות כבר בקוראן, ותכליתו מודגשת גם כן:</w:t>
      </w:r>
    </w:p>
    <w:p w14:paraId="254CEA52" w14:textId="79986057" w:rsidR="00261D25" w:rsidRPr="00261D25" w:rsidRDefault="00261D25" w:rsidP="00261D25">
      <w:pPr>
        <w:pStyle w:val="Quote"/>
        <w:rPr>
          <w:rtl/>
          <w:lang w:val="en-IL"/>
        </w:rPr>
      </w:pPr>
      <w:r w:rsidRPr="00261D25">
        <w:rPr>
          <w:rFonts w:hint="cs"/>
          <w:rtl/>
          <w:lang w:val="en-IL"/>
        </w:rPr>
        <w:t>הוי, אלה אשר האמינו! צווה עליכם הצום… למען תהיו יראים... אולם מורשה לאלה שאינם יכולים לצום, לפדות את עצמם על-ידי האכלת מסכן (לכל יום שלא צמו)... חודש הרמדאן (הצום) הוא החודש שבו הורד הקוראן למען יביא לבני-האדם הדרכה ... מי שנמצא בביתו בחודש זה עליו לצום בו, אך החולה, או הנוסע הרחק מביתו, יצום מספר ימים אחרים. אללה רוצה להקל, ולא להכביד עליכם, למען תוכלו להשלים את המניין(צום החודש), וכדי שתפארו את אללה על הדרכתו לכם, ולהודות לו (על חסדו).</w:t>
      </w:r>
      <w:r>
        <w:rPr>
          <w:rStyle w:val="FootnoteReference"/>
          <w:rtl/>
          <w:lang w:val="en-IL"/>
        </w:rPr>
        <w:footnoteReference w:id="28"/>
      </w:r>
    </w:p>
    <w:p w14:paraId="12C61F90" w14:textId="77777777" w:rsidR="00261D25" w:rsidRPr="00261D25" w:rsidRDefault="00261D25" w:rsidP="00261D25">
      <w:pPr>
        <w:ind w:firstLine="0"/>
        <w:rPr>
          <w:rtl/>
          <w:lang w:val="en-IL"/>
        </w:rPr>
      </w:pPr>
      <w:r w:rsidRPr="00261D25">
        <w:rPr>
          <w:rFonts w:hint="cs"/>
          <w:rtl/>
          <w:lang w:val="en-IL"/>
        </w:rPr>
        <w:t xml:space="preserve">צום הרמדאן איננו אירוע נקודתי אלא התמשכות של שלושים יום, שבמהלכם נמנע האדם מדי יום מאכילה, משתייה ומקיום יחסי מין בשעות האור. זוהי הטלת גבול יומיומי על הדחפים האנושיים ביותר, החוזרת ונשנית לאורך חודש שלם </w:t>
      </w:r>
      <w:r w:rsidRPr="00261D25">
        <w:rPr>
          <w:rFonts w:hint="cs"/>
          <w:rtl/>
          <w:lang w:val="en-IL"/>
        </w:rPr>
        <w:lastRenderedPageBreak/>
        <w:t>ומעצבת תודעת משמעת מצטברת. במובן זה, הרמדאן הוא צום אינטנסיבי לא מפני שהוא מוחלט, אלא מפני שהוא מחזורי: הגוף שב ונכנס מדי בוקר למצב של מניעה, ושב ונחלץ ממנו עם שקיעת החמה. כמובא בקוראן, נראה שעניין צום הרמדאן הוא ממש הכנה לקבלת התורה ובדומה לשלושת ימי ההגבלה ישנה שביתה כללית כטהרה לפני ה׳. </w:t>
      </w:r>
    </w:p>
    <w:p w14:paraId="55B58DA2" w14:textId="66B8C4FD" w:rsidR="00261D25" w:rsidRPr="00261D25" w:rsidRDefault="00261D25" w:rsidP="00261D25">
      <w:pPr>
        <w:rPr>
          <w:rtl/>
          <w:lang w:val="en-IL"/>
        </w:rPr>
      </w:pPr>
      <w:r w:rsidRPr="00261D25">
        <w:rPr>
          <w:rFonts w:hint="cs"/>
          <w:rtl/>
          <w:lang w:val="en-IL"/>
        </w:rPr>
        <w:t>ואולם, דווקא בתוך מסגרת מחמירה זו, ואולי דווקא משום שהמסגרת הזו חוצה את הגבולות האנושיים, ניכרת מגמת הקלה מכוונת. החולה והנוסע פטורים ומשלימים בימים אחרים, והנמנע נדרש לפדות את חסרונו במעשה חסד- האכלת עני. בכך מתברר כי התכלית איננה עינוי רק לשמו, אלא טיפוח יראת שמים והעמקת הסולידריות החברתית. הצום איננו ניתוק מן הקהילה אלא יצירת ריטואל משותף, המגיע לשיאו מדי ערב בסעודת האִפְטַאר עם רדת החשכה</w:t>
      </w:r>
      <w:r>
        <w:rPr>
          <w:rStyle w:val="FootnoteReference"/>
          <w:rtl/>
          <w:lang w:val="en-IL"/>
        </w:rPr>
        <w:footnoteReference w:id="29"/>
      </w:r>
      <w:r w:rsidRPr="00261D25">
        <w:rPr>
          <w:rFonts w:hint="cs"/>
          <w:rtl/>
          <w:lang w:val="en-IL"/>
        </w:rPr>
        <w:t>, שבה מתכנסת המשפחה והקהילה לחידוש החיים המשותפים.</w:t>
      </w:r>
    </w:p>
    <w:p w14:paraId="31077424" w14:textId="77777777" w:rsidR="00261D25" w:rsidRPr="00261D25" w:rsidRDefault="00261D25" w:rsidP="00261D25">
      <w:pPr>
        <w:rPr>
          <w:rtl/>
          <w:lang w:val="en-IL"/>
        </w:rPr>
      </w:pPr>
      <w:r w:rsidRPr="00261D25">
        <w:rPr>
          <w:rFonts w:hint="cs"/>
          <w:rtl/>
          <w:lang w:val="en-IL"/>
        </w:rPr>
        <w:t>מודל צום שני במסורת המוסלמית, המקביל במובנים רבים גם להלכה היהודית, הוא הצום הפרטי. יש לציין כי מודל זה התפתח בשלב מאוחר יחסית ביהדות, ליתר דיוק בתקופת בית שני, ואין לו אזכורים מפורשים במקרא. עובדה זו ניכרת כבר בעצם הצורך בטקסט ייעודי, מגילת תענית, שתכליתו לציין ימים שאין להתענות בהם, ככל הנראה משום שהתפתחו חוגים או יחידים שהפכו את הצום למנהג חסידות קבוע.</w:t>
      </w:r>
    </w:p>
    <w:p w14:paraId="01368E67" w14:textId="77777777" w:rsidR="00601AD4" w:rsidRPr="00601AD4" w:rsidRDefault="00601AD4" w:rsidP="00601AD4">
      <w:pPr>
        <w:rPr>
          <w:lang w:val="en-IL"/>
        </w:rPr>
      </w:pPr>
      <w:r w:rsidRPr="00601AD4">
        <w:rPr>
          <w:rFonts w:hint="cs"/>
          <w:rtl/>
          <w:lang w:val="en-IL"/>
        </w:rPr>
        <w:t>היחס לצום פרטי בספרות חז״ל איננו חד משמעי, אולם ניכר כי אף שקיימת מחלוקת, הנטייה הכללית הולכת לכיוון ביקורתי. כך, למשל, הגמרא במסכת תענית, בדרכה הדיאלקטית, מייחסת למתענה הפרטי יתר על הצורך את התואר החריף ״חוטא״, וזאת לאחר שהיא משבחת דווקא את מי שמתענה יחד עם הציבור:</w:t>
      </w:r>
    </w:p>
    <w:p w14:paraId="2501AE08" w14:textId="35C7594F" w:rsidR="00601AD4" w:rsidRPr="00601AD4" w:rsidRDefault="00601AD4" w:rsidP="00601AD4">
      <w:pPr>
        <w:pStyle w:val="Quote"/>
        <w:rPr>
          <w:rtl/>
          <w:lang w:val="en-IL"/>
        </w:rPr>
      </w:pPr>
      <w:r w:rsidRPr="00601AD4">
        <w:rPr>
          <w:rFonts w:hint="cs"/>
          <w:rtl/>
          <w:lang w:val="en-IL"/>
        </w:rPr>
        <w:lastRenderedPageBreak/>
        <w:t>כׇל הַמְצַעֵר עַצְמוֹ עִם הַצִּבּוּר — זוֹכֶה וְרוֹאֶה בְּנֶחָמַת צִבּוּר…</w:t>
      </w:r>
    </w:p>
    <w:p w14:paraId="4C7E2D9E" w14:textId="77777777" w:rsidR="00601AD4" w:rsidRPr="00601AD4" w:rsidRDefault="00601AD4" w:rsidP="00601AD4">
      <w:pPr>
        <w:pStyle w:val="Quote"/>
        <w:rPr>
          <w:rtl/>
          <w:lang w:val="en-IL"/>
        </w:rPr>
      </w:pPr>
      <w:r w:rsidRPr="00601AD4">
        <w:rPr>
          <w:rFonts w:hint="cs"/>
          <w:rtl/>
          <w:lang w:val="en-IL"/>
        </w:rPr>
        <w:t>אָמַר שְׁמוּאֵל: כׇּל הַיּוֹשֵׁב בְּתַעֲנִית נִקְרָא חוֹטֵא.</w:t>
      </w:r>
    </w:p>
    <w:p w14:paraId="1FA8DB08" w14:textId="77777777" w:rsidR="00601AD4" w:rsidRPr="00601AD4" w:rsidRDefault="00601AD4" w:rsidP="00601AD4">
      <w:pPr>
        <w:pStyle w:val="Quote"/>
        <w:rPr>
          <w:rtl/>
          <w:lang w:val="en-IL"/>
        </w:rPr>
      </w:pPr>
      <w:r w:rsidRPr="00601AD4">
        <w:rPr>
          <w:rFonts w:hint="cs"/>
          <w:rtl/>
          <w:lang w:val="en-IL"/>
        </w:rPr>
        <w:t>סָבַר כִּי הַאי תַּנָּא, דְּתַנְיָא: רַבִּי אֶלְעָזָר הַקַּפָּר בְּרַבִּי אוֹמֵר, מָה תַּלְמוּד לוֹמַר: ״וְכִפֶּר עָלָיו מֵאֲשֶׁר חָטָא עַל הַנָּפֶשׁ״, וְכִי בְּאֵיזֶה נֶפֶשׁ חָטָא זֶה? אֶלָּא שֶׁצִּיעֵר עַצְמוֹ מִן הַיַּיִן. וַהֲלֹא דְּבָרִים קַל וְחוֹמֶר: וּמָה זֶה, שֶׁלֹּא צִיעֵר עַצְמוֹ אֶלָּא מִן הַיַּיִן — נִקְרָא חוֹטֵא, הַמְצַעֵר עַצְמוֹ מִכׇּל דָּבָר וְדָּבָר — עַל אַחַת כַּמָּה וְכַמָּה.</w:t>
      </w:r>
    </w:p>
    <w:p w14:paraId="2BE78EC9" w14:textId="77777777" w:rsidR="00601AD4" w:rsidRPr="00601AD4" w:rsidRDefault="00601AD4" w:rsidP="00601AD4">
      <w:pPr>
        <w:pStyle w:val="Quote"/>
        <w:rPr>
          <w:rtl/>
          <w:lang w:val="en-IL"/>
        </w:rPr>
      </w:pPr>
      <w:r w:rsidRPr="00601AD4">
        <w:rPr>
          <w:rFonts w:hint="cs"/>
          <w:rtl/>
          <w:lang w:val="en-IL"/>
        </w:rPr>
        <w:t>רַבִּי אֶלְעָזָר אוֹמֵר: נִקְרָא קָדוֹשׁ, שֶׁנֶּאֱמַר: ״קָדוֹשׁ יִהְיֶה גַּדֵּל פֶּרַע שְׂעַר רֹאשׁוֹ״. וּמָה זֶה, שֶׁלֹּא צִיעֵר עַצְמוֹ אֶלָּא מִדָּבָר אֶחָד — נִקְרָא קָדוֹשׁ, הַמְצַעֵר עַצְמוֹ מִכׇּל דָּבָר — עַל אַחַת כַּמָּה וְכַמָּה….</w:t>
      </w:r>
    </w:p>
    <w:p w14:paraId="6D5D766E" w14:textId="77777777" w:rsidR="00601AD4" w:rsidRPr="00601AD4" w:rsidRDefault="00601AD4" w:rsidP="00601AD4">
      <w:pPr>
        <w:pStyle w:val="Quote"/>
        <w:rPr>
          <w:rtl/>
          <w:lang w:val="en-IL"/>
        </w:rPr>
      </w:pPr>
      <w:r w:rsidRPr="00601AD4">
        <w:rPr>
          <w:rFonts w:hint="cs"/>
          <w:rtl/>
          <w:lang w:val="en-IL"/>
        </w:rPr>
        <w:t>אָמַר רַב יִרְמְיָה בַּר אַבָּא: אֵין תַּעֲנִית צִיבּוּר בְּבָבֶל אֶלָּא תִּשְׁעָה בְּאָב בִּלְבַד</w:t>
      </w:r>
    </w:p>
    <w:p w14:paraId="359549C1" w14:textId="412A692A" w:rsidR="00601AD4" w:rsidRPr="00601AD4" w:rsidRDefault="00601AD4" w:rsidP="00601AD4">
      <w:pPr>
        <w:pStyle w:val="Quote"/>
        <w:rPr>
          <w:rtl/>
          <w:lang w:val="en-IL"/>
        </w:rPr>
      </w:pPr>
      <w:r w:rsidRPr="00601AD4">
        <w:rPr>
          <w:rFonts w:hint="cs"/>
          <w:rtl/>
          <w:lang w:val="en-IL"/>
        </w:rPr>
        <w:t>אָמַר רַב יִרְמְיָה בַּר אַבָּא אָמַר רֵישׁ לָקִישׁ: אֵין תַּלְמִיד חָכָם רַשַּׁאי לֵישֵׁב בְּתַעֲנִית, מִפְּנֵי שֶׁמְּמַעֵט בִּמְלֶאכֶת שָׁמַיִם</w:t>
      </w:r>
      <w:r w:rsidR="005A0532">
        <w:rPr>
          <w:rStyle w:val="FootnoteReference"/>
          <w:rtl/>
          <w:lang w:val="en-IL"/>
        </w:rPr>
        <w:footnoteReference w:id="30"/>
      </w:r>
    </w:p>
    <w:p w14:paraId="3B3B4B41" w14:textId="77777777" w:rsidR="00601AD4" w:rsidRPr="00601AD4" w:rsidRDefault="00601AD4" w:rsidP="001C3CFB">
      <w:pPr>
        <w:ind w:firstLine="0"/>
        <w:rPr>
          <w:rtl/>
          <w:lang w:val="en-IL"/>
        </w:rPr>
      </w:pPr>
      <w:r w:rsidRPr="00601AD4">
        <w:rPr>
          <w:rFonts w:hint="cs"/>
          <w:rtl/>
          <w:lang w:val="en-IL"/>
        </w:rPr>
        <w:t>מקורות אלו משרטטים תמונה מורכבת: מחד גיסא, יש הכרה בערך הסיגוף ובקדושה האפשרית הנלווית לו. מאידך גיסא, קיימת רתיעה עמוקה מסגפנות פרטית מנותקת, הנתפסת כסטייה מן המודל קהילתי. מגמה זו מתחדדת בדברי חז״ל החריפים נגד סיגוף אישי באופן כללי:</w:t>
      </w:r>
    </w:p>
    <w:p w14:paraId="6CC2C3CB" w14:textId="6A2B502D" w:rsidR="00601AD4" w:rsidRPr="00601AD4" w:rsidRDefault="00601AD4" w:rsidP="00F27EBB">
      <w:pPr>
        <w:pStyle w:val="Quote"/>
        <w:rPr>
          <w:rtl/>
          <w:lang w:val="en-IL"/>
        </w:rPr>
      </w:pPr>
      <w:r w:rsidRPr="00601AD4">
        <w:rPr>
          <w:rFonts w:hint="cs"/>
          <w:rtl/>
          <w:lang w:val="en-IL"/>
        </w:rPr>
        <w:t>לֹא דַיֵיךְ מַה שֶׁאָסְרָה לָךְ הַתּוֹרָה אֶלָּא שֶּׁאַתָּה מְבַקֵּשׁ לֶאֱסוֹר עָלֶיךָ דְבָרִים אֲחֵרִים?</w:t>
      </w:r>
      <w:r w:rsidR="005A0532">
        <w:rPr>
          <w:rStyle w:val="FootnoteReference"/>
          <w:rtl/>
          <w:lang w:val="en-IL"/>
        </w:rPr>
        <w:footnoteReference w:id="31"/>
      </w:r>
    </w:p>
    <w:p w14:paraId="06DE3205" w14:textId="2F04043D" w:rsidR="00601AD4" w:rsidRPr="00601AD4" w:rsidRDefault="00601AD4" w:rsidP="00F27EBB">
      <w:pPr>
        <w:ind w:firstLine="0"/>
        <w:rPr>
          <w:rtl/>
          <w:lang w:val="en-IL"/>
        </w:rPr>
      </w:pPr>
      <w:r w:rsidRPr="00601AD4">
        <w:rPr>
          <w:rFonts w:hint="cs"/>
          <w:rtl/>
          <w:lang w:val="en-IL"/>
        </w:rPr>
        <w:t>לא במקרה מקורות היסטוריים מתארים את היהודים כ״בעלי תעניות״</w:t>
      </w:r>
      <w:r w:rsidR="0054296C">
        <w:rPr>
          <w:rStyle w:val="FootnoteReference"/>
          <w:rtl/>
          <w:lang w:val="en-IL"/>
        </w:rPr>
        <w:footnoteReference w:id="32"/>
      </w:r>
      <w:r w:rsidRPr="00601AD4">
        <w:rPr>
          <w:rFonts w:hint="cs"/>
          <w:rtl/>
          <w:lang w:val="en-IL"/>
        </w:rPr>
        <w:t>, אך בד בבד, בספרות חז״ל התענית נתפסת בראש ובראשונה כמעשה ציבורי, ולעיתים אף ככינוס חברתי־רוחני. על רקע זה, ההתנגדות ליוזמות פרטיות מבודדות אינה חריגה אלא מהלך עקרוני ומתבקש.</w:t>
      </w:r>
    </w:p>
    <w:p w14:paraId="15319341" w14:textId="77777777" w:rsidR="00601AD4" w:rsidRPr="00601AD4" w:rsidRDefault="00601AD4" w:rsidP="00601AD4">
      <w:pPr>
        <w:rPr>
          <w:rtl/>
          <w:lang w:val="en-IL"/>
        </w:rPr>
      </w:pPr>
      <w:r w:rsidRPr="00601AD4">
        <w:rPr>
          <w:rFonts w:hint="cs"/>
          <w:rtl/>
          <w:lang w:val="en-IL"/>
        </w:rPr>
        <w:t>בחזרה למסורת המוסלמית, גם בחדית׳ים השונים היחס לצום פרטי איננו אחיד. כך למשל מובא:</w:t>
      </w:r>
    </w:p>
    <w:p w14:paraId="29EAE940" w14:textId="6F754D95" w:rsidR="00601AD4" w:rsidRPr="00601AD4" w:rsidRDefault="00601AD4" w:rsidP="00F27EBB">
      <w:pPr>
        <w:pStyle w:val="Quote"/>
        <w:rPr>
          <w:rtl/>
          <w:lang w:val="en-IL"/>
        </w:rPr>
      </w:pPr>
      <w:r w:rsidRPr="00601AD4">
        <w:rPr>
          <w:rFonts w:hint="cs"/>
          <w:rtl/>
          <w:lang w:val="en-IL"/>
        </w:rPr>
        <w:t xml:space="preserve">הו בן אחי, החלטתי להתאמץ מאוד, עד שאמרתי: אצום כל ימי חיי ואקרא את כל הקוראן בכל יום ולילה. דבר זה הגיע לאוזני שליח אלוהים, והוא בא </w:t>
      </w:r>
      <w:r w:rsidRPr="00601AD4">
        <w:rPr>
          <w:rFonts w:hint="cs"/>
          <w:rtl/>
          <w:lang w:val="en-IL"/>
        </w:rPr>
        <w:lastRenderedPageBreak/>
        <w:t>אליי לביתי ואמר: שמעתי שאמרת: אצום כל ימי חיי ואקרא את הקוראן. אמרתי: אכן אמרתי זאת, הו שליח אלוהים. מי ששמע אותו סיפר לי כי אבן עומר אמר שהנביא אמר: כל הצם כל ימי חייו- אין זה נחשב לו כצום</w:t>
      </w:r>
      <w:r w:rsidR="00A60D0A">
        <w:rPr>
          <w:rFonts w:hint="cs"/>
          <w:rtl/>
          <w:lang w:val="en-IL"/>
        </w:rPr>
        <w:t>.</w:t>
      </w:r>
      <w:r w:rsidR="00A60D0A">
        <w:rPr>
          <w:rStyle w:val="FootnoteReference"/>
          <w:rtl/>
          <w:lang w:val="en-IL"/>
        </w:rPr>
        <w:footnoteReference w:id="33"/>
      </w:r>
    </w:p>
    <w:p w14:paraId="38796F38" w14:textId="3729CEFE" w:rsidR="00FE6483" w:rsidRPr="00E93AB1" w:rsidRDefault="00601AD4" w:rsidP="00F27EBB">
      <w:pPr>
        <w:ind w:firstLine="0"/>
        <w:rPr>
          <w:lang w:val="en-IL"/>
        </w:rPr>
      </w:pPr>
      <w:r w:rsidRPr="00601AD4">
        <w:rPr>
          <w:rFonts w:hint="cs"/>
          <w:rtl/>
          <w:lang w:val="en-IL"/>
        </w:rPr>
        <w:t>ציטוט זה, מחדית׳ בדרגת סחיח׳</w:t>
      </w:r>
      <w:r w:rsidRPr="00601AD4">
        <w:rPr>
          <w:rFonts w:hint="cs"/>
          <w:lang w:val="en-IL"/>
        </w:rPr>
        <w:t xml:space="preserve">, </w:t>
      </w:r>
      <w:r w:rsidR="000F4A1F">
        <w:rPr>
          <w:rStyle w:val="FootnoteReference"/>
          <w:lang w:val="en-IL"/>
        </w:rPr>
        <w:footnoteReference w:id="34"/>
      </w:r>
      <w:r w:rsidRPr="00601AD4">
        <w:rPr>
          <w:rFonts w:hint="cs"/>
          <w:rtl/>
          <w:lang w:val="en-IL"/>
        </w:rPr>
        <w:t>מחדד נקודה עקרונית: גם האסלאם רואה ערך בסיגוף ובצום, אך זאת רק כאשר הם משולבים במהלך החיים ואינם מנתקים את האדם מן הקיום הארצי. הצום, אם כן, איננו ביטול הגשמיות אלא עיצוב שלה, צום שיש לו התחלה וסוף אם תרצו, שבמהלכו אין להתנער מן העולם אלא לחיותו בדרך של קודש. הדוגמאות לכך במסורת האסלאמית עוד רבות וארוכות, ודי בהן כדי להצביע על קרבה רעיונית מובהקת בין שתי המסורות. לפיכך, אם עד כה הוצג הצום כמעשה של משמעת, כפרה ושיוך קהילתי, הרי שמתוך המתח הזה עצמו נפתחת האפשרות לראות בו לא רק תגובה לעבר של חטא או אובדן, אלא מחווה הפונה אל העתיד - צום כמעשה של תקווה</w:t>
      </w:r>
      <w:r w:rsidRPr="00601AD4">
        <w:rPr>
          <w:rFonts w:hint="cs"/>
          <w:lang w:val="en-IL"/>
        </w:rPr>
        <w:t>.</w:t>
      </w:r>
    </w:p>
    <w:p w14:paraId="3AF3F97D" w14:textId="77777777" w:rsidR="00CA58B2" w:rsidRPr="00CA58B2" w:rsidRDefault="00CA58B2" w:rsidP="00CA58B2">
      <w:pPr>
        <w:pStyle w:val="Heading2"/>
        <w:rPr>
          <w:lang w:val="en-IL"/>
        </w:rPr>
      </w:pPr>
      <w:r w:rsidRPr="00CA58B2">
        <w:rPr>
          <w:rFonts w:hint="cs"/>
          <w:rtl/>
          <w:lang w:val="en-IL"/>
        </w:rPr>
        <w:t>בכי, חורבן וציפייה </w:t>
      </w:r>
    </w:p>
    <w:p w14:paraId="5B699BED" w14:textId="77777777" w:rsidR="0087403A" w:rsidRPr="0087403A" w:rsidRDefault="0087403A" w:rsidP="0087403A">
      <w:pPr>
        <w:ind w:firstLine="0"/>
        <w:rPr>
          <w:lang w:val="en-IL"/>
        </w:rPr>
      </w:pPr>
      <w:r w:rsidRPr="0087403A">
        <w:rPr>
          <w:rFonts w:hint="cs"/>
          <w:rtl/>
          <w:lang w:val="en-IL"/>
        </w:rPr>
        <w:t>חמשת העינויים הנוהגים על פי ההלכה ביום הכיפורים נוהגים גם בתשעה באב, למעט סימני האבלות המובהקים שנוספו ליום החורבן ואינם נוהגים ביום הקדושה. זוהי זיקה מפתיעה המעידה כי הצום עצמו נטען במשמעות שונה ואף הפוכה בהתאם להקשר ההיסטורי והתיאולוגי שבו הוא מופיע. ביום הכיפורים האדם מישראל מתקדש ומיטהר, ונכנס ברוחו אל קודש הקודשים. מתוך קרבה זו לשכינה מתייתרים צורכי הגוף, והפרישה מאכילה ושתייה נעשית תולדה של מלאות רוחנית ולא של שלילה. זהו צום של עלייה, של התכנסות אל פסגת הקדושה, שבה החומר נדחק מפני הרוח. </w:t>
      </w:r>
    </w:p>
    <w:p w14:paraId="7D8FADD6" w14:textId="09FDA803" w:rsidR="0087403A" w:rsidRPr="0087403A" w:rsidRDefault="0087403A" w:rsidP="0087403A">
      <w:pPr>
        <w:rPr>
          <w:rtl/>
          <w:lang w:val="en-IL"/>
        </w:rPr>
      </w:pPr>
      <w:r w:rsidRPr="0087403A">
        <w:rPr>
          <w:rFonts w:hint="cs"/>
          <w:rtl/>
          <w:lang w:val="en-IL"/>
        </w:rPr>
        <w:t xml:space="preserve">ואולם, עם חורבן הבית מתהפכת משמעותו של אותו מבנה עצמו. בימי הבית </w:t>
      </w:r>
      <w:r w:rsidRPr="0087403A">
        <w:rPr>
          <w:rFonts w:hint="cs"/>
          <w:rtl/>
          <w:lang w:val="en-IL"/>
        </w:rPr>
        <w:lastRenderedPageBreak/>
        <w:t>השני, כאשר הכהנים ביזו מעמד זה בהפיכתו למקור של אינטריגות פוליטיות</w:t>
      </w:r>
      <w:r w:rsidR="00A53DAF">
        <w:rPr>
          <w:rStyle w:val="FootnoteReference"/>
          <w:rtl/>
          <w:lang w:val="en-IL"/>
        </w:rPr>
        <w:footnoteReference w:id="35"/>
      </w:r>
      <w:r w:rsidRPr="0087403A">
        <w:rPr>
          <w:rFonts w:hint="cs"/>
          <w:rtl/>
          <w:lang w:val="en-IL"/>
        </w:rPr>
        <w:t>, נשבר הרצף שבין המעשה הפולחני לבין תכליתו הרוחנית. החורבן איננו אפוא אירוע חיצוני בלבד, אלא קריסה פנימית של משמעות. האדם נתרחק לא רק מן השכינה אלא גם מארצו וממקור חייו הגשמיים.</w:t>
      </w:r>
      <w:r w:rsidR="00A53DAF">
        <w:rPr>
          <w:rFonts w:hint="cs"/>
          <w:rtl/>
          <w:lang w:val="en-IL"/>
        </w:rPr>
        <w:t xml:space="preserve"> </w:t>
      </w:r>
      <w:r w:rsidRPr="0087403A">
        <w:rPr>
          <w:rFonts w:hint="cs"/>
          <w:rtl/>
          <w:lang w:val="en-IL"/>
        </w:rPr>
        <w:t>העינוי חדל להיות תוצאה של מלאות והופך לביטוי של ריקנות. בתשעה באב, אותה הימנעות מאכילה ושתייה איננה עוד תנועה של עלייה אלא קיפאון של שפל: האדם חש את דלדולו ואובדנו במלוא עוצמתם, ומתוך חוסר זה שוב אינו יכול לנגוע במאכל ובמשקה. מה שהיה ביום הכיפורים פרישה מרצון מתוך קרבה וכפרה, נעשה ביום החורבן עדות חיה לקרע שבין האדם לאלוהיו ובין העם לארצו.</w:t>
      </w:r>
    </w:p>
    <w:p w14:paraId="0C0CDA50" w14:textId="3A42413D" w:rsidR="0087403A" w:rsidRPr="0087403A" w:rsidRDefault="0087403A" w:rsidP="0087403A">
      <w:pPr>
        <w:rPr>
          <w:rtl/>
          <w:lang w:val="en-IL"/>
        </w:rPr>
      </w:pPr>
      <w:r w:rsidRPr="0087403A">
        <w:rPr>
          <w:rFonts w:hint="cs"/>
          <w:rtl/>
          <w:lang w:val="en-IL"/>
        </w:rPr>
        <w:t>במובן זה תשעה באב מתגלה כהיפוך הטרגי של יום הכיפורים: אותם עינויים עצמם, אך משמעותם שונה בתכלית. מהדהדת כאן אזהרת התוכחה</w:t>
      </w:r>
      <w:r w:rsidR="0072176C">
        <w:rPr>
          <w:rFonts w:hint="cs"/>
          <w:rtl/>
          <w:lang w:val="en-IL"/>
        </w:rPr>
        <w:t xml:space="preserve"> </w:t>
      </w:r>
      <w:r w:rsidRPr="0087403A">
        <w:rPr>
          <w:rFonts w:hint="cs"/>
          <w:rtl/>
          <w:lang w:val="en-IL"/>
        </w:rPr>
        <w:t>“תחת אשר לא עבדת את ה' אלוקיך בשמחה ובטוב לבב”</w:t>
      </w:r>
      <w:r w:rsidR="00E958B9">
        <w:rPr>
          <w:rStyle w:val="FootnoteReference"/>
          <w:rtl/>
          <w:lang w:val="en-IL"/>
        </w:rPr>
        <w:footnoteReference w:id="36"/>
      </w:r>
      <w:r w:rsidRPr="0087403A">
        <w:rPr>
          <w:rFonts w:hint="cs"/>
          <w:rtl/>
          <w:lang w:val="en-IL"/>
        </w:rPr>
        <w:t xml:space="preserve"> - לא כעונש שרירותי, אלא כהיגיון של ההיסטוריה הדתית: כאשר עבודת ה' חדלה להיות מקור חיים, גם השפע מסתלק, והעינוי שב לקיומו הטבעי כעינוי של חסר. כך נעשה הצום כאספקלריא המשקפת פעם פסגת דבקות ופעם תהום של אובדן, ופותחת את השאלה האם יוכל לשוב ולהתהפך, כקריאת הנביאים, מיום של אבל ליום של תקווה.</w:t>
      </w:r>
    </w:p>
    <w:p w14:paraId="641FF45F" w14:textId="71227936" w:rsidR="0087403A" w:rsidRPr="0087403A" w:rsidRDefault="0087403A" w:rsidP="0087403A">
      <w:pPr>
        <w:rPr>
          <w:rtl/>
          <w:lang w:val="en-IL"/>
        </w:rPr>
      </w:pPr>
      <w:r w:rsidRPr="0087403A">
        <w:rPr>
          <w:rFonts w:hint="cs"/>
          <w:rtl/>
          <w:lang w:val="en-IL"/>
        </w:rPr>
        <w:t>הפער החריף שבין יום הכיפורים לתשעה באב עולה בנקודת המפנה שבספר זכריה, כאשר גולי בבל שואלים אם להמשיך ולצום: ״הַאֶבְכֶּה בַּחֹדֶשׁ הַחֲמִשִׁי הִנָּזֵר כַּאֲשֶׁר עָשִׂיתִי זֶה כַּמֶּה שָׁנִים?״</w:t>
      </w:r>
      <w:r w:rsidR="00DF0019">
        <w:rPr>
          <w:rStyle w:val="FootnoteReference"/>
          <w:rtl/>
          <w:lang w:val="en-IL"/>
        </w:rPr>
        <w:footnoteReference w:id="37"/>
      </w:r>
      <w:r w:rsidRPr="0087403A">
        <w:rPr>
          <w:rFonts w:hint="cs"/>
          <w:rtl/>
          <w:lang w:val="en-IL"/>
        </w:rPr>
        <w:t xml:space="preserve"> ונענים לא בדיון הלכתי, אלא בקריאת תודעה:</w:t>
      </w:r>
    </w:p>
    <w:p w14:paraId="38EEBB07" w14:textId="6C238DEC" w:rsidR="0087403A" w:rsidRPr="0087403A" w:rsidRDefault="0087403A" w:rsidP="0057133C">
      <w:pPr>
        <w:pStyle w:val="Quote"/>
        <w:rPr>
          <w:rtl/>
          <w:lang w:val="en-IL"/>
        </w:rPr>
      </w:pPr>
      <w:r w:rsidRPr="0087403A">
        <w:rPr>
          <w:rFonts w:hint="cs"/>
          <w:rtl/>
          <w:lang w:val="en-IL"/>
        </w:rPr>
        <w:t>וַיְהִי דְּבַר־ה׳ אֶל־זְכַרְיָה לֵאמֹר׃ כֹּה אָמַר ה׳ צְבָאוֹת לֵאמֹר מִשְׁפַּט אֱמֶת שְׁפֹטוּ וְחֶסֶד וְרַחֲמִים עֲשׂוּ אִישׁ אֶת־אָחִיו׃ וְאַלְמָנָה וְיָתוֹם גֵּר וְעָנִי אַל־תַּעֲשֹׁקוּ וְרָעַת אִישׁ אָחִיו אַל־תַּחְשְׁבוּ בִּלְבַבְכֶם׃</w:t>
      </w:r>
      <w:r w:rsidR="00DF0019">
        <w:rPr>
          <w:rStyle w:val="FootnoteReference"/>
          <w:rtl/>
          <w:lang w:val="en-IL"/>
        </w:rPr>
        <w:footnoteReference w:id="38"/>
      </w:r>
    </w:p>
    <w:p w14:paraId="3989BF34" w14:textId="77777777" w:rsidR="0087403A" w:rsidRPr="0087403A" w:rsidRDefault="0087403A" w:rsidP="0072176C">
      <w:pPr>
        <w:ind w:firstLine="0"/>
        <w:rPr>
          <w:rtl/>
          <w:lang w:val="en-IL"/>
        </w:rPr>
      </w:pPr>
      <w:r w:rsidRPr="0087403A">
        <w:rPr>
          <w:rFonts w:hint="cs"/>
          <w:rtl/>
          <w:lang w:val="en-IL"/>
        </w:rPr>
        <w:t xml:space="preserve">הצום אינו עומד לעצמו, אלא נבחן לאור יחסו אל החיים, אל הזולת ואל העתיד. מכאן ואילך חדל הצום מלהיות רק טקס של זיכרון חורבן, והופך לאתר של הכרעה מוסרית והיסטורית. כך מתגלה הצום כמעשה העומד בין עבר לעתיד, בין חורבן </w:t>
      </w:r>
      <w:r w:rsidRPr="0087403A">
        <w:rPr>
          <w:rFonts w:hint="cs"/>
          <w:rtl/>
          <w:lang w:val="en-IL"/>
        </w:rPr>
        <w:lastRenderedPageBreak/>
        <w:t>לגאולה, בין אבל לציפייה. בהמשך נבואת זכריה מתואר האופק שבו הצום איננו רק זיכרון של חורבן, אלא תרגול של זמן :</w:t>
      </w:r>
    </w:p>
    <w:p w14:paraId="7479088D" w14:textId="5A841A68" w:rsidR="0087403A" w:rsidRPr="0087403A" w:rsidRDefault="0087403A" w:rsidP="00DF0019">
      <w:pPr>
        <w:pStyle w:val="Quote"/>
        <w:rPr>
          <w:rtl/>
          <w:lang w:val="en-IL"/>
        </w:rPr>
      </w:pPr>
      <w:r w:rsidRPr="0087403A">
        <w:rPr>
          <w:rFonts w:hint="cs"/>
          <w:rtl/>
          <w:lang w:val="en-IL"/>
        </w:rPr>
        <w:t>כֹּה־אָמַר ה׳ צְבָאוֹת צוֹם הָרְבִיעִי וְצוֹם הַחֲמִישִׁי וְצוֹם הַשְּׁבִיעִי וְצוֹם הָעֲשִׂירִי יִהְיֶה לְבֵית־יְהוּדָה לְשָׂשׂוֹן וּלְשִׂמְחָה וּלְמֹעֲדִים טוֹבִים וְהָאֱמֶת וְהַשָּׁלוֹם אֱהָבוּ׃… וְהָלְכוּ יוֹשְׁבֵי אַחַת אֶל־אַחַת לֵאמֹר נֵלְכָה הָלוֹךְ לְחַלּוֹת אֶת־פְּנֵי ה׳ וּלְבַקֵּשׁ אֶת־ה׳ צְבָאוֹת אֵלְכָה גַּם־אָנִי׃ וּבָאוּ עַמִּים רַבִּים וְגוֹיִם עֲצוּמִים לְבַקֵּשׁ אֶת־ה׳</w:t>
      </w:r>
      <w:r w:rsidR="0072176C">
        <w:rPr>
          <w:rFonts w:hint="cs"/>
          <w:rtl/>
          <w:lang w:val="en-IL"/>
        </w:rPr>
        <w:t xml:space="preserve"> </w:t>
      </w:r>
      <w:r w:rsidRPr="0087403A">
        <w:rPr>
          <w:rFonts w:hint="cs"/>
          <w:rtl/>
          <w:lang w:val="en-IL"/>
        </w:rPr>
        <w:t>צְבָאוֹת בִּירוּשָׁלָ</w:t>
      </w:r>
      <w:r w:rsidRPr="0087403A">
        <w:rPr>
          <w:rFonts w:ascii="Arial" w:hAnsi="Arial" w:cs="Arial" w:hint="cs"/>
          <w:rtl/>
          <w:lang w:val="en-IL"/>
        </w:rPr>
        <w:t>͏</w:t>
      </w:r>
      <w:r w:rsidRPr="0087403A">
        <w:rPr>
          <w:rFonts w:ascii="Narkisim" w:hAnsi="Narkisim" w:hint="cs"/>
          <w:rtl/>
          <w:lang w:val="en-IL"/>
        </w:rPr>
        <w:t>ִם</w:t>
      </w:r>
      <w:r w:rsidRPr="0087403A">
        <w:rPr>
          <w:rFonts w:hint="cs"/>
          <w:rtl/>
          <w:lang w:val="en-IL"/>
        </w:rPr>
        <w:t xml:space="preserve"> </w:t>
      </w:r>
      <w:r w:rsidRPr="0087403A">
        <w:rPr>
          <w:rFonts w:ascii="Narkisim" w:hAnsi="Narkisim" w:hint="cs"/>
          <w:rtl/>
          <w:lang w:val="en-IL"/>
        </w:rPr>
        <w:t>וּלְחַלּוֹת</w:t>
      </w:r>
      <w:r w:rsidRPr="0087403A">
        <w:rPr>
          <w:rFonts w:hint="cs"/>
          <w:rtl/>
          <w:lang w:val="en-IL"/>
        </w:rPr>
        <w:t xml:space="preserve"> </w:t>
      </w:r>
      <w:r w:rsidRPr="0087403A">
        <w:rPr>
          <w:rFonts w:ascii="Narkisim" w:hAnsi="Narkisim" w:hint="cs"/>
          <w:rtl/>
          <w:lang w:val="en-IL"/>
        </w:rPr>
        <w:t>אֶת־פְּנֵי</w:t>
      </w:r>
      <w:r w:rsidRPr="0087403A">
        <w:rPr>
          <w:rFonts w:hint="cs"/>
          <w:rtl/>
          <w:lang w:val="en-IL"/>
        </w:rPr>
        <w:t xml:space="preserve"> </w:t>
      </w:r>
      <w:r w:rsidRPr="0087403A">
        <w:rPr>
          <w:rFonts w:ascii="Narkisim" w:hAnsi="Narkisim" w:hint="cs"/>
          <w:rtl/>
          <w:lang w:val="en-IL"/>
        </w:rPr>
        <w:t>ה׳׃</w:t>
      </w:r>
      <w:r w:rsidR="00DF0019">
        <w:rPr>
          <w:rStyle w:val="FootnoteReference"/>
          <w:rtl/>
          <w:lang w:val="en-IL"/>
        </w:rPr>
        <w:footnoteReference w:id="39"/>
      </w:r>
    </w:p>
    <w:p w14:paraId="624A012E" w14:textId="77777777" w:rsidR="0087403A" w:rsidRPr="0087403A" w:rsidRDefault="0087403A" w:rsidP="0072176C">
      <w:pPr>
        <w:ind w:firstLine="0"/>
        <w:rPr>
          <w:rtl/>
          <w:lang w:val="en-IL"/>
        </w:rPr>
      </w:pPr>
      <w:r w:rsidRPr="0087403A">
        <w:rPr>
          <w:rFonts w:hint="cs"/>
          <w:rtl/>
          <w:lang w:val="en-IL"/>
        </w:rPr>
        <w:t>הצום דוחה את הסיפוק ומסרב לנחמה חפוזה. כל עוד ההיסטוריה טרם נתקנה, כל עוד האמת והשלום אינם אהובים - הגוף ימשיך להמתין. בנקודה זו נפתח ממד נוסף של הצום כאמצעי של תיקון ותקווה. נבואת ישעיהו הידועה מנסחת זאת בבהירות חדה:</w:t>
      </w:r>
    </w:p>
    <w:p w14:paraId="4C1C3A92" w14:textId="3120A43F" w:rsidR="0087403A" w:rsidRPr="0087403A" w:rsidRDefault="0087403A" w:rsidP="00222E5F">
      <w:pPr>
        <w:pStyle w:val="Quote"/>
        <w:rPr>
          <w:rtl/>
          <w:lang w:val="en-IL"/>
        </w:rPr>
      </w:pPr>
      <w:r w:rsidRPr="0087403A">
        <w:rPr>
          <w:rFonts w:hint="cs"/>
          <w:rtl/>
          <w:lang w:val="en-IL"/>
        </w:rPr>
        <w:t> הכָזֶה יִהְיֶה צוֹם אֶבְחָרֵהוּ יוֹם עַנּוֹת אָדָם נַפְשׁוֹ הֲלָכֹף כְּאַגְמֹן רֹאשׁוֹ וְשַׂק וָאֵפֶר יַצִּיעַ הֲלָזֶה תִּקְרָא־צוֹם וְיוֹם רָצוֹן לה׳: הֲלוֹא זֶה צוֹם אֶבְחָרֵהוּ פַּתֵּחַ חַרְצֻבּוֹת רֶשַׁע הַתֵּר אֲגֻדּוֹת מוֹטָה וְשַׁלַּח רְצוּצִים חׇפְשִׁים וְכׇל־מוֹטָה תְּנַתֵּקוּ׃ הֲלוֹא פָרֹס לָרָעֵב לַחְמֶךָ וַעֲנִיִּים מְרוּדִים תָּבִיא בָיִת כִּי־תִרְאֶה עָרֹם וְכִסִּיתוֹ וּמִבְּשָׂרְךָ לֹא תִתְעַלָּם׃</w:t>
      </w:r>
      <w:r w:rsidR="00222E5F">
        <w:rPr>
          <w:rStyle w:val="FootnoteReference"/>
          <w:rtl/>
          <w:lang w:val="en-IL"/>
        </w:rPr>
        <w:footnoteReference w:id="40"/>
      </w:r>
    </w:p>
    <w:p w14:paraId="71FFCC5A" w14:textId="77777777" w:rsidR="0087403A" w:rsidRPr="0087403A" w:rsidRDefault="0087403A" w:rsidP="0072176C">
      <w:pPr>
        <w:ind w:firstLine="0"/>
        <w:rPr>
          <w:rtl/>
          <w:lang w:val="en-IL"/>
        </w:rPr>
      </w:pPr>
      <w:r w:rsidRPr="0087403A">
        <w:rPr>
          <w:rFonts w:hint="cs"/>
          <w:rtl/>
          <w:lang w:val="en-IL"/>
        </w:rPr>
        <w:t>העינוי הוא כלי המעורר את האדם לחוש את חסרונו של האחר. הרעב הפרטי נועד להוליד דאגה ציבורית. זיכרון החורבן אמור להצמיח מחויבות לחיים מתוקנים. הצום איננו רק זיכרון של חורבן, אלא תרגול של זמן. הוא דוחה את הסיפוק ומסרב לנחמה חפוזה. כל עוד ההיסטוריה טרם נתקנה, כל עוד האמת והשלום אינם אהובים - הגוף ימשיך להמתין. </w:t>
      </w:r>
    </w:p>
    <w:p w14:paraId="7D4F8650" w14:textId="77777777" w:rsidR="0087403A" w:rsidRPr="0087403A" w:rsidRDefault="0087403A" w:rsidP="0087403A">
      <w:pPr>
        <w:rPr>
          <w:rtl/>
          <w:lang w:val="en-IL"/>
        </w:rPr>
      </w:pPr>
      <w:r w:rsidRPr="0087403A">
        <w:rPr>
          <w:rFonts w:hint="cs"/>
          <w:rtl/>
          <w:lang w:val="en-IL"/>
        </w:rPr>
        <w:t>ובכך נסגר גם המעגל שנפתח בדמיון שבין יום הכיפורים לתשעה באב: אותו מבנה פולחני עצמו יכול לשמש פעם עלייה אל קודש הקודשים ופעם שקיעה אל תהום החורבן. ובכן, דרך נבואות הנחמה נרמזת אפשרות שלישית: תנועה של ציפייה ותיקון, שבה הזיכרון איננו רק קופא באבל אלא גם נושא עמו הבטחה לעתיד אחר, עתיד בו כל באי עולם, ברן יחד, קוראים בשם ה׳.</w:t>
      </w:r>
    </w:p>
    <w:p w14:paraId="5FE2F849" w14:textId="77777777" w:rsidR="00E029D5" w:rsidRPr="00E029D5" w:rsidRDefault="00E029D5" w:rsidP="00E029D5">
      <w:pPr>
        <w:pStyle w:val="Heading2"/>
        <w:rPr>
          <w:lang w:val="en-IL"/>
        </w:rPr>
      </w:pPr>
      <w:r w:rsidRPr="00E029D5">
        <w:rPr>
          <w:rFonts w:hint="cs"/>
          <w:rtl/>
        </w:rPr>
        <w:lastRenderedPageBreak/>
        <w:t>סוף דבר.</w:t>
      </w:r>
    </w:p>
    <w:p w14:paraId="76F26A7A" w14:textId="77777777" w:rsidR="0027276C" w:rsidRPr="0027276C" w:rsidRDefault="0027276C" w:rsidP="0027276C">
      <w:pPr>
        <w:ind w:firstLine="0"/>
        <w:rPr>
          <w:lang w:val="en-IL"/>
        </w:rPr>
      </w:pPr>
      <w:r w:rsidRPr="0027276C">
        <w:rPr>
          <w:rFonts w:hint="cs"/>
          <w:rtl/>
        </w:rPr>
        <w:t>באמצע זמן קיץ של שיעור א׳, התשפ״ה, קראתי את ״סידהרתא״ של הרמן הסה. קטע אחד מן הספר לא עזב אותי מאז. הוא שב והופיע במוחי בצום תשעה באב של אותה שנה, בצום גדליה שלאחריו, וביום הכיפורים של שנת התשפ״ו. למעשה הוא אחד המניעים לכתיבת הדברים שלהלן, וזה לשונו:</w:t>
      </w:r>
    </w:p>
    <w:p w14:paraId="4CEBCB92" w14:textId="77777777" w:rsidR="0027276C" w:rsidRPr="0027276C" w:rsidRDefault="0027276C" w:rsidP="0027276C">
      <w:pPr>
        <w:pStyle w:val="Quote"/>
        <w:rPr>
          <w:rtl/>
        </w:rPr>
      </w:pPr>
      <w:r w:rsidRPr="0027276C">
        <w:rPr>
          <w:rFonts w:hint="cs"/>
          <w:rtl/>
        </w:rPr>
        <w:t>״מה יש לך לתת? מה למדת?"</w:t>
      </w:r>
    </w:p>
    <w:p w14:paraId="0CED869F" w14:textId="48A18756" w:rsidR="0027276C" w:rsidRPr="0027276C" w:rsidRDefault="0027276C" w:rsidP="0027276C">
      <w:pPr>
        <w:pStyle w:val="Quote"/>
        <w:rPr>
          <w:rtl/>
        </w:rPr>
      </w:pPr>
      <w:r w:rsidRPr="0027276C">
        <w:rPr>
          <w:rFonts w:hint="cs"/>
          <w:rtl/>
        </w:rPr>
        <w:t>עונה לו סידהרתא: "אני יכול לחשוב, אני יכול לחכות, אני יכול לצום".</w:t>
      </w:r>
    </w:p>
    <w:p w14:paraId="0F52286E" w14:textId="034F6E89" w:rsidR="0027276C" w:rsidRPr="0027276C" w:rsidRDefault="0027276C" w:rsidP="0027276C">
      <w:pPr>
        <w:pStyle w:val="Quote"/>
        <w:rPr>
          <w:rtl/>
        </w:rPr>
      </w:pPr>
      <w:r w:rsidRPr="0027276C">
        <w:rPr>
          <w:rFonts w:hint="cs"/>
          <w:rtl/>
        </w:rPr>
        <w:t>"זה הכל?" שואל קמהסוואמי.</w:t>
      </w:r>
    </w:p>
    <w:p w14:paraId="5DE5ACF2" w14:textId="55707500" w:rsidR="0027276C" w:rsidRPr="0027276C" w:rsidRDefault="0027276C" w:rsidP="0027276C">
      <w:pPr>
        <w:pStyle w:val="Quote"/>
        <w:rPr>
          <w:rtl/>
        </w:rPr>
      </w:pPr>
      <w:r w:rsidRPr="0027276C">
        <w:rPr>
          <w:rFonts w:hint="cs"/>
          <w:rtl/>
        </w:rPr>
        <w:t>"כן אני מאמין שזה הכל" </w:t>
      </w:r>
    </w:p>
    <w:p w14:paraId="4F28A777" w14:textId="77777777" w:rsidR="0027276C" w:rsidRPr="0027276C" w:rsidRDefault="0027276C" w:rsidP="0027276C">
      <w:pPr>
        <w:pStyle w:val="Quote"/>
        <w:rPr>
          <w:rtl/>
        </w:rPr>
      </w:pPr>
      <w:r w:rsidRPr="0027276C">
        <w:rPr>
          <w:rFonts w:hint="cs"/>
          <w:rtl/>
        </w:rPr>
        <w:t>"ואיך אתה משתמש בזה? למשל לצום? למה זה טוב?" תמה קמהסוואמי;</w:t>
      </w:r>
    </w:p>
    <w:p w14:paraId="5623DA76" w14:textId="2DF6EA40" w:rsidR="00F951BE" w:rsidRDefault="0027276C" w:rsidP="00F951BE">
      <w:pPr>
        <w:pStyle w:val="Quote"/>
        <w:rPr>
          <w:rtl/>
        </w:rPr>
      </w:pPr>
      <w:r w:rsidRPr="0027276C">
        <w:rPr>
          <w:rFonts w:hint="cs"/>
          <w:rtl/>
        </w:rPr>
        <w:t>עונה סידהרתא:</w:t>
      </w:r>
      <w:r w:rsidR="0072176C">
        <w:rPr>
          <w:rFonts w:hint="cs"/>
          <w:rtl/>
        </w:rPr>
        <w:t xml:space="preserve"> </w:t>
      </w:r>
      <w:r w:rsidRPr="0027276C">
        <w:rPr>
          <w:rFonts w:hint="cs"/>
          <w:rtl/>
        </w:rPr>
        <w:t>"כשלאדם אין מה לאכול, צום הוא הדבר החכם לעשות , כאשר הוא רעב הוא יכול לחכות בשלווה, ללא תחושת דחיפות, למשך זמן ארוך הוא יכול לתת לרעב לקנן בו ויכול לצחוק על כך"</w:t>
      </w:r>
      <w:r w:rsidR="00A72BFB">
        <w:rPr>
          <w:rStyle w:val="FootnoteReference"/>
          <w:rtl/>
        </w:rPr>
        <w:footnoteReference w:id="41"/>
      </w:r>
    </w:p>
    <w:p w14:paraId="3BB7597A" w14:textId="5E21EA3C" w:rsidR="0027276C" w:rsidRPr="0027276C" w:rsidRDefault="0027276C" w:rsidP="00F951BE">
      <w:pPr>
        <w:ind w:firstLine="0"/>
      </w:pPr>
      <w:r w:rsidRPr="0027276C">
        <w:rPr>
          <w:rFonts w:hint="cs"/>
          <w:rtl/>
        </w:rPr>
        <w:t>מאז, הצום נעשה עבורי צורה של המתנה, כזו המאפשרת לרעב להיות נוכח מבלי למהר לסלקו. בכל אחד מן הצומות מצאתי עצמי לומד לשהות, ולהרגיש את עוצמת ההמתנה והניתוק שבצום. ובתוך ההמתנה הזו, עלה גם ציר נוסף של ציפייה. לא רק הציפייה לסיום הצום, אלא לציפייה העמוקה יותר, זו הנשזרת בדברי זכריה וישעיהו: לשלום שעוד לא הושלם, לאמת שעוד לא נתגלתה.</w:t>
      </w:r>
    </w:p>
    <w:p w14:paraId="03F070CB" w14:textId="77777777" w:rsidR="0027276C" w:rsidRPr="0027276C" w:rsidRDefault="0027276C" w:rsidP="0027276C">
      <w:pPr>
        <w:ind w:firstLine="0"/>
        <w:rPr>
          <w:rtl/>
        </w:rPr>
      </w:pPr>
      <w:r w:rsidRPr="0027276C">
        <w:rPr>
          <w:rFonts w:hint="cs"/>
          <w:rtl/>
        </w:rPr>
        <w:t>בשלהי זמן חורף, שיעור ב׳, התשפ״ו- נכון לכתיבת שורות אלו, הציפייה הזו טרם נענתה. </w:t>
      </w:r>
    </w:p>
    <w:p w14:paraId="113BE748" w14:textId="01D41C60" w:rsidR="00C87786" w:rsidRDefault="0027276C" w:rsidP="00D63095">
      <w:pPr>
        <w:ind w:firstLine="0"/>
        <w:rPr>
          <w:rtl/>
        </w:rPr>
      </w:pPr>
      <w:r w:rsidRPr="0027276C">
        <w:rPr>
          <w:rFonts w:hint="cs"/>
          <w:rtl/>
        </w:rPr>
        <w:t xml:space="preserve">אך בכל צום אני שב אליה כהבטחה: לעצור, לצום ולצפות לששון ולשמחה, למועדים טובים, </w:t>
      </w:r>
      <w:r w:rsidRPr="0027276C">
        <w:rPr>
          <w:rFonts w:hint="cs"/>
          <w:b/>
          <w:bCs/>
          <w:rtl/>
        </w:rPr>
        <w:t>והאמת והשלום אהבו</w:t>
      </w:r>
      <w:r w:rsidRPr="0027276C">
        <w:rPr>
          <w:rFonts w:hint="cs"/>
          <w:rtl/>
        </w:rPr>
        <w:t>.</w:t>
      </w:r>
    </w:p>
    <w:sectPr w:rsidR="00C87786" w:rsidSect="00C87786">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89947" w14:textId="77777777" w:rsidR="005F7592" w:rsidRDefault="005F7592" w:rsidP="00612B20">
      <w:pPr>
        <w:spacing w:line="240" w:lineRule="auto"/>
      </w:pPr>
      <w:r>
        <w:separator/>
      </w:r>
    </w:p>
  </w:endnote>
  <w:endnote w:type="continuationSeparator" w:id="0">
    <w:p w14:paraId="6BEE55BC" w14:textId="77777777" w:rsidR="005F7592" w:rsidRDefault="005F7592"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023E1" w14:textId="77777777" w:rsidR="00187793" w:rsidRDefault="001877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4DDCF" w14:textId="77777777" w:rsidR="00187793" w:rsidRDefault="001877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E17C8"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C3C5E" w14:textId="77777777" w:rsidR="005F7592" w:rsidRDefault="005F7592" w:rsidP="008D6718">
      <w:pPr>
        <w:spacing w:line="240" w:lineRule="auto"/>
        <w:ind w:firstLine="0"/>
        <w:rPr>
          <w:rtl/>
        </w:rPr>
      </w:pPr>
    </w:p>
  </w:footnote>
  <w:footnote w:type="continuationSeparator" w:id="0">
    <w:p w14:paraId="2B36A460" w14:textId="77777777" w:rsidR="005F7592" w:rsidRPr="00187664" w:rsidRDefault="005F7592" w:rsidP="00187664">
      <w:pPr>
        <w:pStyle w:val="Footer"/>
        <w:rPr>
          <w:szCs w:val="22"/>
          <w:rtl/>
        </w:rPr>
      </w:pPr>
    </w:p>
  </w:footnote>
  <w:footnote w:id="1">
    <w:p w14:paraId="2DBE5942" w14:textId="7F1F2098" w:rsidR="00727A09" w:rsidRPr="00727A09" w:rsidRDefault="00727A09" w:rsidP="00727A09">
      <w:pPr>
        <w:pStyle w:val="FootnoteText"/>
        <w:rPr>
          <w:lang w:val="en-IL"/>
        </w:rPr>
      </w:pPr>
      <w:r>
        <w:rPr>
          <w:rStyle w:val="FootnoteReference"/>
        </w:rPr>
        <w:footnoteRef/>
      </w:r>
      <w:r>
        <w:rPr>
          <w:rtl/>
        </w:rPr>
        <w:t xml:space="preserve"> </w:t>
      </w:r>
      <w:r w:rsidR="007D452A">
        <w:rPr>
          <w:rtl/>
        </w:rPr>
        <w:tab/>
      </w:r>
      <w:r w:rsidRPr="00727A09">
        <w:rPr>
          <w:rFonts w:hint="cs"/>
          <w:rtl/>
        </w:rPr>
        <w:t>"מן התרבויות של המזרח הקדמון לא הגיעו לידינו עדויות של צומות קבועים בפולחן או מקובלים כמנהג״ ״צום״, אנציקלופדיה מקראית, ו׳, עמ׳ 693</w:t>
      </w:r>
    </w:p>
  </w:footnote>
  <w:footnote w:id="2">
    <w:p w14:paraId="322CDAB8" w14:textId="229D1807" w:rsidR="00727A09" w:rsidRPr="00727A09" w:rsidRDefault="00727A09" w:rsidP="00727A09">
      <w:pPr>
        <w:pStyle w:val="FootnoteText"/>
        <w:rPr>
          <w:rtl/>
          <w:lang w:val="en-IL"/>
        </w:rPr>
      </w:pPr>
      <w:r>
        <w:rPr>
          <w:rStyle w:val="FootnoteReference"/>
        </w:rPr>
        <w:footnoteRef/>
      </w:r>
      <w:r w:rsidR="0072176C">
        <w:rPr>
          <w:rtl/>
        </w:rPr>
        <w:t xml:space="preserve"> </w:t>
      </w:r>
      <w:r w:rsidR="007D452A">
        <w:rPr>
          <w:rtl/>
        </w:rPr>
        <w:tab/>
      </w:r>
      <w:r w:rsidRPr="00727A09">
        <w:rPr>
          <w:rFonts w:hint="cs"/>
          <w:rtl/>
        </w:rPr>
        <w:t>לימינליות (</w:t>
      </w:r>
      <w:r w:rsidRPr="00727A09">
        <w:rPr>
          <w:rFonts w:hint="cs"/>
          <w:lang w:val="en-IL"/>
        </w:rPr>
        <w:t>Liminality</w:t>
      </w:r>
      <w:r w:rsidRPr="00727A09">
        <w:rPr>
          <w:rFonts w:hint="cs"/>
          <w:rtl/>
        </w:rPr>
        <w:t>) או סִפִּיוּת בעברית, הוא מונח תרבותי־אנתרופולוגי המתאר מצב “בין-לבין״ בטקסים דתיים בעיקר. על פי התיאוריות של ארנולד ואן גנפ, ויקטור טרנר אחריו, זהו שלב שבו האדם משעה זמנית את זהותו והסטטוסים החברתיים הקודמים שלו בעזרת ניתוק. בתקופה זו יש שחרור מהכללים והיררכיות של הקיום הרגיל, ופתיחות לשינוי, טרנספורמציה והעמקה רוחנית או אישית. תופעה זו מצויה בכמה דוגמאות מהעולם הטקסי- דתי, דוגמת: צום, עלייה לרגל, תפילת הציבור ועוד דוגמאות רבות.</w:t>
      </w:r>
    </w:p>
  </w:footnote>
  <w:footnote w:id="3">
    <w:p w14:paraId="55FB99FC" w14:textId="4635A7CB" w:rsidR="00727A09" w:rsidRPr="00727A09" w:rsidRDefault="00727A09" w:rsidP="007D452A">
      <w:pPr>
        <w:pStyle w:val="FootnoteText"/>
        <w:rPr>
          <w:lang w:val="en-IL"/>
        </w:rPr>
      </w:pPr>
      <w:r>
        <w:rPr>
          <w:rStyle w:val="FootnoteReference"/>
        </w:rPr>
        <w:footnoteRef/>
      </w:r>
      <w:r>
        <w:rPr>
          <w:rtl/>
        </w:rPr>
        <w:t xml:space="preserve"> </w:t>
      </w:r>
      <w:r w:rsidR="007D452A">
        <w:rPr>
          <w:rtl/>
        </w:rPr>
        <w:tab/>
      </w:r>
      <w:r w:rsidRPr="00727A09">
        <w:rPr>
          <w:rFonts w:hint="cs"/>
          <w:rtl/>
        </w:rPr>
        <w:t>דוגמת הדת הזורואסטרית- מן המסורות הדתיות העתיקות בעולם, אשר צמחה בפרס הקדומה סביב דמותו של זרתוסטרא (</w:t>
      </w:r>
      <w:r w:rsidRPr="00727A09">
        <w:rPr>
          <w:rFonts w:hint="cs"/>
          <w:lang w:val="en-IL"/>
        </w:rPr>
        <w:t>Zarathustra</w:t>
      </w:r>
      <w:r w:rsidRPr="00727A09">
        <w:rPr>
          <w:rFonts w:hint="cs"/>
          <w:rtl/>
        </w:rPr>
        <w:t>) ומעמידה במרכזה את המאבק קוסמי בין הטוב (אהורה־מאזדה) לרע (אנגרא־מייניו). בשונה ממסורות סגפניות אחרות, הזורואסטריות מדגישה את ערך הגוף, ורואה בהחלשת הגוף משום פגיעה ביכולתו של האדם לפעול לטובת הסדר הקוסמי. בהתאם לכך, הצום אינו נתפס כפרקטיקה דתית ראויה, ואף עשוי להיחשב כמעשה המרחיק את האדם מייעודו המוסרי בעולם. עמדה זו משקפת תפיסה תיאולוגית שלפיה עבודת האל והמאבק ברע מתרחשים באמצעות פעולה, אחריות ותיקון המציאות, ולא באמצעות סיגוף ופרישה ממנה.</w:t>
      </w:r>
    </w:p>
  </w:footnote>
  <w:footnote w:id="4">
    <w:p w14:paraId="53785415" w14:textId="741EA6F5" w:rsidR="009166CA" w:rsidRPr="009166CA" w:rsidRDefault="009166CA" w:rsidP="00E921C8">
      <w:pPr>
        <w:pStyle w:val="FootnoteText"/>
        <w:rPr>
          <w:lang w:val="en-IL"/>
        </w:rPr>
      </w:pPr>
      <w:r>
        <w:rPr>
          <w:rStyle w:val="FootnoteReference"/>
        </w:rPr>
        <w:footnoteRef/>
      </w:r>
      <w:r>
        <w:rPr>
          <w:rtl/>
        </w:rPr>
        <w:t xml:space="preserve"> </w:t>
      </w:r>
      <w:r w:rsidR="007D452A">
        <w:rPr>
          <w:rtl/>
        </w:rPr>
        <w:tab/>
      </w:r>
      <w:r w:rsidRPr="009166CA">
        <w:rPr>
          <w:rFonts w:hint="cs"/>
          <w:rtl/>
        </w:rPr>
        <w:t>שופטים, כ׳; בטרם ההכרעה במלחמה, נאסף ישראל אל בית־אל, “וַיִּבְכּוּ וַיֵּשְׁבוּ שָׁם לִפְנֵי ה’ וַיָּצוּמוּ בַּיּוֹם הַהוּא עַד הָעָרֶב” (שם, כ״ו). הצום מתפקד כאן הן ככלי תפילה והן כהכנה לקראת פגישה עם דבר ה’. קריאה אילמת של “אנחנו מחכים שתשקיף ותראה שאנחנו כאן”. ואכן, לאחר הצום והקרבנות ניתנת תשובה אלוהית בדבר הניצחון, והמערכה מוכרעת לטובת ישראל.</w:t>
      </w:r>
    </w:p>
  </w:footnote>
  <w:footnote w:id="5">
    <w:p w14:paraId="6E967540" w14:textId="4C1A5DF5" w:rsidR="00E921C8" w:rsidRDefault="00E921C8" w:rsidP="00E921C8">
      <w:pPr>
        <w:pStyle w:val="FootnoteText"/>
      </w:pPr>
      <w:r>
        <w:rPr>
          <w:rStyle w:val="FootnoteReference"/>
        </w:rPr>
        <w:footnoteRef/>
      </w:r>
      <w:r>
        <w:rPr>
          <w:rtl/>
        </w:rPr>
        <w:t xml:space="preserve"> </w:t>
      </w:r>
      <w:r w:rsidR="007D452A">
        <w:rPr>
          <w:rtl/>
        </w:rPr>
        <w:tab/>
      </w:r>
      <w:r w:rsidRPr="00E921C8">
        <w:rPr>
          <w:rFonts w:hint="cs"/>
          <w:rtl/>
        </w:rPr>
        <w:t>שמואל א׳, י״ד</w:t>
      </w:r>
    </w:p>
  </w:footnote>
  <w:footnote w:id="6">
    <w:p w14:paraId="415BA253" w14:textId="0BBB710D" w:rsidR="00E921C8" w:rsidRDefault="00E921C8" w:rsidP="00F4073D">
      <w:pPr>
        <w:pStyle w:val="FootnoteText"/>
        <w:rPr>
          <w:rtl/>
        </w:rPr>
      </w:pPr>
      <w:r>
        <w:rPr>
          <w:rStyle w:val="FootnoteReference"/>
        </w:rPr>
        <w:footnoteRef/>
      </w:r>
      <w:r w:rsidR="0072176C">
        <w:rPr>
          <w:rtl/>
        </w:rPr>
        <w:t xml:space="preserve"> </w:t>
      </w:r>
      <w:r w:rsidR="007D452A">
        <w:rPr>
          <w:rtl/>
        </w:rPr>
        <w:tab/>
      </w:r>
      <w:r w:rsidRPr="00E921C8">
        <w:rPr>
          <w:rFonts w:hint="cs"/>
          <w:rtl/>
        </w:rPr>
        <w:t>הציווי מעורר קושי, מאחר ומבחינה צבאית, צום מחליש את הלוחמים ופוגע ביכולתם הפיזית. קושי זה עולה במפורש בדברי יונתן, לאחר שטעם מיערת הדבש, כאשר הוא קובע כי אביו “עָכַר אָבִי אֶת־הָאָרֶץ... כִּי־אֹרוּ עֵינַי כִּי טָעַמְתִּי מְעַט דְּבַשׁ הַזֶּה׃” ניסיון התירוץ לקושי העולה בפרשנים שם הוא- עצירה לאכול עלולה הייתה להטריד אותם ולהסיח דעתם מהלחימה (ראה רד</w:t>
      </w:r>
      <w:r w:rsidR="00464CD4">
        <w:rPr>
          <w:rFonts w:hint="cs"/>
          <w:rtl/>
        </w:rPr>
        <w:t>"</w:t>
      </w:r>
      <w:r w:rsidRPr="00E921C8">
        <w:rPr>
          <w:rFonts w:hint="cs"/>
          <w:rtl/>
        </w:rPr>
        <w:t>ק ואברבנאל שם).</w:t>
      </w:r>
    </w:p>
  </w:footnote>
  <w:footnote w:id="7">
    <w:p w14:paraId="18A68200" w14:textId="01D791E5" w:rsidR="00F4073D" w:rsidRDefault="00F4073D" w:rsidP="00E95F62">
      <w:pPr>
        <w:pStyle w:val="FootnoteText"/>
      </w:pPr>
      <w:r>
        <w:rPr>
          <w:rStyle w:val="FootnoteReference"/>
        </w:rPr>
        <w:footnoteRef/>
      </w:r>
      <w:r w:rsidR="0072176C">
        <w:rPr>
          <w:rtl/>
        </w:rPr>
        <w:t xml:space="preserve"> </w:t>
      </w:r>
      <w:r w:rsidR="007D452A">
        <w:rPr>
          <w:rtl/>
        </w:rPr>
        <w:tab/>
      </w:r>
      <w:r w:rsidRPr="00F4073D">
        <w:rPr>
          <w:rFonts w:hint="cs"/>
          <w:rtl/>
        </w:rPr>
        <w:t>שמואל ב׳, י״ב</w:t>
      </w:r>
    </w:p>
  </w:footnote>
  <w:footnote w:id="8">
    <w:p w14:paraId="34CB758F" w14:textId="213D0D1F" w:rsidR="00E95F62" w:rsidRDefault="00E95F62" w:rsidP="007D452A">
      <w:pPr>
        <w:pStyle w:val="FootnoteText"/>
        <w:rPr>
          <w:rtl/>
        </w:rPr>
      </w:pPr>
      <w:r>
        <w:rPr>
          <w:rStyle w:val="FootnoteReference"/>
        </w:rPr>
        <w:footnoteRef/>
      </w:r>
      <w:r>
        <w:rPr>
          <w:rtl/>
        </w:rPr>
        <w:t xml:space="preserve"> </w:t>
      </w:r>
      <w:r w:rsidR="007D452A">
        <w:rPr>
          <w:rtl/>
        </w:rPr>
        <w:tab/>
      </w:r>
      <w:r w:rsidRPr="00E95F62">
        <w:rPr>
          <w:rFonts w:hint="cs"/>
          <w:rtl/>
        </w:rPr>
        <w:t xml:space="preserve">ראיה לכך היא הדאגה של הזקנים לדוד ״וַיָּקֻמוּ זִקְנֵי בֵיתוֹ עָלָיו לַהֲקִימוֹ מִן־הָאָרֶץ וְלֹא אָבָה וְלֹא־בָרָא אִתָּם לָחֶם״ (שם, י״ז). </w:t>
      </w:r>
      <w:r w:rsidR="00464CD4" w:rsidRPr="00E95F62">
        <w:rPr>
          <w:rFonts w:hint="cs"/>
          <w:rtl/>
        </w:rPr>
        <w:t>אברבנאל</w:t>
      </w:r>
      <w:r w:rsidRPr="00E95F62">
        <w:rPr>
          <w:rFonts w:hint="cs"/>
          <w:rtl/>
        </w:rPr>
        <w:t xml:space="preserve"> (שם) מפרש: ״ועם היות שקמו זקני ביתו להאכילו ולהקימו מהארץ לא אבה ולא אכל לחם, ושמת הנער ביום השביעי והיו אנשיו יראים מהגיד לו פן יעשה רעה, רוצה לומר בגופו שיתגודד וימית עצמו״. אכן נראה לאנשי ביתו של דוד, שהוא פשוט מדוכא.</w:t>
      </w:r>
    </w:p>
  </w:footnote>
  <w:footnote w:id="9">
    <w:p w14:paraId="227EC28B" w14:textId="2FCBBCFB" w:rsidR="002A7C4E" w:rsidRDefault="002A7C4E" w:rsidP="001E29D1">
      <w:pPr>
        <w:pStyle w:val="FootnoteText"/>
      </w:pPr>
      <w:r>
        <w:rPr>
          <w:rStyle w:val="FootnoteReference"/>
        </w:rPr>
        <w:footnoteRef/>
      </w:r>
      <w:r>
        <w:rPr>
          <w:rtl/>
        </w:rPr>
        <w:t xml:space="preserve"> </w:t>
      </w:r>
      <w:r w:rsidR="007D452A">
        <w:rPr>
          <w:rtl/>
        </w:rPr>
        <w:tab/>
      </w:r>
      <w:r w:rsidRPr="002A7C4E">
        <w:rPr>
          <w:rFonts w:hint="cs"/>
          <w:rtl/>
        </w:rPr>
        <w:t>שמואל א׳, ל״א</w:t>
      </w:r>
    </w:p>
  </w:footnote>
  <w:footnote w:id="10">
    <w:p w14:paraId="2748A68F" w14:textId="49AC711A" w:rsidR="001E29D1" w:rsidRDefault="001E29D1" w:rsidP="007D452A">
      <w:pPr>
        <w:pStyle w:val="FootnoteText"/>
        <w:rPr>
          <w:rtl/>
        </w:rPr>
      </w:pPr>
      <w:r>
        <w:rPr>
          <w:rStyle w:val="FootnoteReference"/>
        </w:rPr>
        <w:footnoteRef/>
      </w:r>
      <w:r>
        <w:rPr>
          <w:rtl/>
        </w:rPr>
        <w:t xml:space="preserve"> </w:t>
      </w:r>
      <w:r w:rsidR="007D452A">
        <w:rPr>
          <w:rtl/>
        </w:rPr>
        <w:tab/>
      </w:r>
      <w:r w:rsidRPr="001E29D1">
        <w:rPr>
          <w:rFonts w:hint="cs"/>
          <w:rtl/>
        </w:rPr>
        <w:t>אסתר ד׳</w:t>
      </w:r>
    </w:p>
  </w:footnote>
  <w:footnote w:id="11">
    <w:p w14:paraId="674AE8E9" w14:textId="3E237328" w:rsidR="00AB3979" w:rsidRDefault="00AB3979" w:rsidP="00AB3979">
      <w:pPr>
        <w:pStyle w:val="FootnoteText"/>
        <w:rPr>
          <w:rtl/>
        </w:rPr>
      </w:pPr>
      <w:r>
        <w:rPr>
          <w:rStyle w:val="FootnoteReference"/>
        </w:rPr>
        <w:footnoteRef/>
      </w:r>
      <w:r w:rsidR="0072176C">
        <w:rPr>
          <w:rtl/>
        </w:rPr>
        <w:t xml:space="preserve"> </w:t>
      </w:r>
      <w:r w:rsidR="007D452A">
        <w:rPr>
          <w:rtl/>
        </w:rPr>
        <w:tab/>
      </w:r>
      <w:r w:rsidRPr="00AB3979">
        <w:rPr>
          <w:rFonts w:hint="cs"/>
          <w:rtl/>
        </w:rPr>
        <w:t>ויקרא, ט״ז</w:t>
      </w:r>
    </w:p>
  </w:footnote>
  <w:footnote w:id="12">
    <w:p w14:paraId="2553DEBC" w14:textId="7F49F67B" w:rsidR="0060100C" w:rsidRDefault="0060100C" w:rsidP="0060100C">
      <w:pPr>
        <w:pStyle w:val="FootnoteText"/>
        <w:rPr>
          <w:rtl/>
        </w:rPr>
      </w:pPr>
      <w:r>
        <w:rPr>
          <w:rStyle w:val="FootnoteReference"/>
        </w:rPr>
        <w:footnoteRef/>
      </w:r>
      <w:r w:rsidR="0072176C">
        <w:rPr>
          <w:rtl/>
        </w:rPr>
        <w:t xml:space="preserve"> </w:t>
      </w:r>
      <w:r w:rsidR="007D452A">
        <w:rPr>
          <w:rtl/>
        </w:rPr>
        <w:tab/>
      </w:r>
      <w:r w:rsidRPr="0060100C">
        <w:rPr>
          <w:rFonts w:hint="cs"/>
          <w:rtl/>
        </w:rPr>
        <w:t>ויקרא, כ״ג</w:t>
      </w:r>
    </w:p>
  </w:footnote>
  <w:footnote w:id="13">
    <w:p w14:paraId="620C6277" w14:textId="37E29817" w:rsidR="0060100C" w:rsidRDefault="0060100C" w:rsidP="0060100C">
      <w:pPr>
        <w:pStyle w:val="FootnoteText"/>
      </w:pPr>
      <w:r>
        <w:rPr>
          <w:rStyle w:val="FootnoteReference"/>
        </w:rPr>
        <w:footnoteRef/>
      </w:r>
      <w:r w:rsidR="0072176C">
        <w:rPr>
          <w:rtl/>
        </w:rPr>
        <w:t xml:space="preserve"> </w:t>
      </w:r>
      <w:r w:rsidR="007D452A">
        <w:rPr>
          <w:rtl/>
        </w:rPr>
        <w:tab/>
      </w:r>
      <w:r w:rsidRPr="0060100C">
        <w:rPr>
          <w:rFonts w:hint="cs"/>
          <w:rtl/>
        </w:rPr>
        <w:t>ישעיהו, נ״ח, ג׳</w:t>
      </w:r>
    </w:p>
  </w:footnote>
  <w:footnote w:id="14">
    <w:p w14:paraId="63120142" w14:textId="6B5E46E2" w:rsidR="00F448F2" w:rsidRDefault="00F448F2" w:rsidP="00F448F2">
      <w:pPr>
        <w:pStyle w:val="FootnoteText"/>
      </w:pPr>
      <w:r>
        <w:rPr>
          <w:rStyle w:val="FootnoteReference"/>
        </w:rPr>
        <w:footnoteRef/>
      </w:r>
      <w:r w:rsidR="0072176C">
        <w:rPr>
          <w:rtl/>
        </w:rPr>
        <w:t xml:space="preserve"> </w:t>
      </w:r>
      <w:r w:rsidR="007D452A">
        <w:rPr>
          <w:rtl/>
        </w:rPr>
        <w:tab/>
      </w:r>
      <w:r w:rsidRPr="00F448F2">
        <w:rPr>
          <w:rFonts w:hint="cs"/>
          <w:rtl/>
        </w:rPr>
        <w:t>תהילים ,ק״ז, כ</w:t>
      </w:r>
    </w:p>
  </w:footnote>
  <w:footnote w:id="15">
    <w:p w14:paraId="47545BEA" w14:textId="20500F6F" w:rsidR="00F448F2" w:rsidRDefault="00F448F2" w:rsidP="00F448F2">
      <w:pPr>
        <w:pStyle w:val="FootnoteText"/>
      </w:pPr>
      <w:r>
        <w:rPr>
          <w:rStyle w:val="FootnoteReference"/>
        </w:rPr>
        <w:footnoteRef/>
      </w:r>
      <w:r w:rsidR="0072176C">
        <w:rPr>
          <w:rtl/>
        </w:rPr>
        <w:t xml:space="preserve"> </w:t>
      </w:r>
      <w:r w:rsidR="007D452A">
        <w:rPr>
          <w:rtl/>
        </w:rPr>
        <w:tab/>
      </w:r>
      <w:r w:rsidRPr="00F448F2">
        <w:rPr>
          <w:rFonts w:hint="cs"/>
          <w:rtl/>
        </w:rPr>
        <w:t>ישעיהו, נ״ה, ב.</w:t>
      </w:r>
      <w:r w:rsidR="0072176C">
        <w:rPr>
          <w:rFonts w:hint="cs"/>
          <w:rtl/>
        </w:rPr>
        <w:t xml:space="preserve"> </w:t>
      </w:r>
      <w:r w:rsidRPr="00F448F2">
        <w:rPr>
          <w:rFonts w:hint="cs"/>
          <w:rtl/>
        </w:rPr>
        <w:t>וכן מביא גם האבן עזרא (ויקרא, ט״ז) אחר שהכתוב אומר ״ותתענג בדשן נפשכם״ ידענו כי הענוי הפך התענוג והוא הצום ועוד ״ונפש נענה תשביע״ שטעמו כמו ותפק לרעב נפשך…והכלל כל עינוי שימצא במקרא דבק עם נפש הוא הצום״</w:t>
      </w:r>
    </w:p>
  </w:footnote>
  <w:footnote w:id="16">
    <w:p w14:paraId="096E4BED" w14:textId="7A351415" w:rsidR="00714A8B" w:rsidRPr="00714A8B" w:rsidRDefault="00714A8B" w:rsidP="00714A8B">
      <w:pPr>
        <w:pStyle w:val="FootnoteText"/>
        <w:rPr>
          <w:rtl/>
          <w:lang w:val="en-IL"/>
        </w:rPr>
      </w:pPr>
      <w:r>
        <w:rPr>
          <w:rStyle w:val="FootnoteReference"/>
        </w:rPr>
        <w:footnoteRef/>
      </w:r>
      <w:r w:rsidR="0072176C">
        <w:rPr>
          <w:rtl/>
        </w:rPr>
        <w:t xml:space="preserve"> </w:t>
      </w:r>
      <w:r w:rsidR="007D452A">
        <w:rPr>
          <w:rtl/>
        </w:rPr>
        <w:tab/>
      </w:r>
      <w:r w:rsidRPr="00714A8B">
        <w:rPr>
          <w:rFonts w:hint="cs"/>
          <w:rtl/>
        </w:rPr>
        <w:t>זיגמונד פרויד, ״משה האיש והדת המונותיאיסטית״; מבחר כתבים ז׳, עמ׳ 131</w:t>
      </w:r>
    </w:p>
  </w:footnote>
  <w:footnote w:id="17">
    <w:p w14:paraId="4587F791" w14:textId="7E6D4EF9" w:rsidR="00F47BEB" w:rsidRPr="00F47BEB" w:rsidRDefault="00F47BEB" w:rsidP="00F47BEB">
      <w:pPr>
        <w:pStyle w:val="FootnoteText"/>
        <w:rPr>
          <w:rtl/>
          <w:lang w:val="en-IL"/>
        </w:rPr>
      </w:pPr>
      <w:r>
        <w:rPr>
          <w:rStyle w:val="FootnoteReference"/>
        </w:rPr>
        <w:footnoteRef/>
      </w:r>
      <w:r w:rsidR="0072176C">
        <w:rPr>
          <w:rtl/>
        </w:rPr>
        <w:t xml:space="preserve"> </w:t>
      </w:r>
      <w:r w:rsidR="007D452A">
        <w:rPr>
          <w:rtl/>
        </w:rPr>
        <w:tab/>
      </w:r>
      <w:r w:rsidRPr="00F47BEB">
        <w:rPr>
          <w:rFonts w:hint="cs"/>
          <w:rtl/>
        </w:rPr>
        <w:t>תפיסתו של פרויד את ההתעלות הרוחנית ב״משה והמונותיאיזם״ ממשיכה ישירות את המבנה המוכר שהוצג בטוטם וטאבו: האל מתפקד כהפנמה של האב הקדמון - דמות של חוק,</w:t>
      </w:r>
      <w:r w:rsidR="0072176C">
        <w:rPr>
          <w:rFonts w:hint="cs"/>
          <w:rtl/>
        </w:rPr>
        <w:t xml:space="preserve"> </w:t>
      </w:r>
      <w:r w:rsidRPr="00F47BEB">
        <w:rPr>
          <w:rFonts w:hint="cs"/>
          <w:rtl/>
        </w:rPr>
        <w:t>בעוד שהממד האימהי, המזוהה עם גוף, חושיות וקרבה מיידית, מודר לשוליים. ההתעלות מתרחשת אפוא דרך העדפת האב על פני האם, כמהלך תרבותי המחליף פולחן חושי בדת של חוק ומוסר. זיגמונד פרויד, טוטם וטאבו, (1913)</w:t>
      </w:r>
    </w:p>
  </w:footnote>
  <w:footnote w:id="18">
    <w:p w14:paraId="256E1FF4" w14:textId="19AD5610" w:rsidR="009A40BA" w:rsidRDefault="009A40BA" w:rsidP="009A40BA">
      <w:pPr>
        <w:pStyle w:val="FootnoteText"/>
        <w:rPr>
          <w:rtl/>
        </w:rPr>
      </w:pPr>
      <w:r>
        <w:rPr>
          <w:rStyle w:val="FootnoteReference"/>
        </w:rPr>
        <w:footnoteRef/>
      </w:r>
      <w:r w:rsidR="0072176C">
        <w:rPr>
          <w:rtl/>
        </w:rPr>
        <w:t xml:space="preserve"> </w:t>
      </w:r>
      <w:r w:rsidR="007D452A">
        <w:rPr>
          <w:rtl/>
        </w:rPr>
        <w:tab/>
      </w:r>
      <w:r w:rsidRPr="009A40BA">
        <w:rPr>
          <w:rFonts w:hint="cs"/>
          <w:rtl/>
        </w:rPr>
        <w:t>שמות, ל״ד</w:t>
      </w:r>
    </w:p>
  </w:footnote>
  <w:footnote w:id="19">
    <w:p w14:paraId="3F73F02A" w14:textId="79E0580B" w:rsidR="0071562F" w:rsidRDefault="0071562F" w:rsidP="0071562F">
      <w:pPr>
        <w:pStyle w:val="FootnoteText"/>
        <w:rPr>
          <w:rtl/>
        </w:rPr>
      </w:pPr>
      <w:r>
        <w:rPr>
          <w:rStyle w:val="FootnoteReference"/>
        </w:rPr>
        <w:footnoteRef/>
      </w:r>
      <w:r w:rsidR="0072176C">
        <w:rPr>
          <w:rtl/>
        </w:rPr>
        <w:t xml:space="preserve"> </w:t>
      </w:r>
      <w:r w:rsidR="007D452A">
        <w:rPr>
          <w:rtl/>
        </w:rPr>
        <w:tab/>
      </w:r>
      <w:r w:rsidRPr="0071562F">
        <w:rPr>
          <w:rFonts w:hint="cs"/>
          <w:rtl/>
        </w:rPr>
        <w:t>דברים, ט׳</w:t>
      </w:r>
    </w:p>
  </w:footnote>
  <w:footnote w:id="20">
    <w:p w14:paraId="3263A41E" w14:textId="091C32F8" w:rsidR="007E53F6" w:rsidRDefault="007E53F6" w:rsidP="007E53F6">
      <w:pPr>
        <w:pStyle w:val="FootnoteText"/>
        <w:rPr>
          <w:rtl/>
        </w:rPr>
      </w:pPr>
      <w:r>
        <w:rPr>
          <w:rStyle w:val="FootnoteReference"/>
        </w:rPr>
        <w:footnoteRef/>
      </w:r>
      <w:r w:rsidR="0072176C">
        <w:rPr>
          <w:rtl/>
        </w:rPr>
        <w:t xml:space="preserve"> </w:t>
      </w:r>
      <w:r w:rsidR="007D452A">
        <w:rPr>
          <w:rtl/>
        </w:rPr>
        <w:tab/>
      </w:r>
      <w:r w:rsidRPr="007E53F6">
        <w:rPr>
          <w:rFonts w:hint="cs"/>
          <w:rtl/>
        </w:rPr>
        <w:t>ישעיהו, א׳.</w:t>
      </w:r>
      <w:r w:rsidR="0072176C">
        <w:rPr>
          <w:rFonts w:hint="cs"/>
          <w:rtl/>
        </w:rPr>
        <w:t xml:space="preserve"> </w:t>
      </w:r>
      <w:r w:rsidRPr="007E53F6">
        <w:rPr>
          <w:rFonts w:hint="cs"/>
          <w:rtl/>
        </w:rPr>
        <w:t>עמוס, ה׳</w:t>
      </w:r>
    </w:p>
  </w:footnote>
  <w:footnote w:id="21">
    <w:p w14:paraId="52C11B84" w14:textId="2C42F95F" w:rsidR="000F5EB5" w:rsidRPr="000F5EB5" w:rsidRDefault="000F5EB5" w:rsidP="000F5EB5">
      <w:pPr>
        <w:pStyle w:val="FootnoteText"/>
        <w:rPr>
          <w:rtl/>
          <w:lang w:val="en-IL"/>
        </w:rPr>
      </w:pPr>
      <w:r>
        <w:rPr>
          <w:rStyle w:val="FootnoteReference"/>
        </w:rPr>
        <w:footnoteRef/>
      </w:r>
      <w:r w:rsidR="0072176C">
        <w:rPr>
          <w:rtl/>
        </w:rPr>
        <w:t xml:space="preserve"> </w:t>
      </w:r>
      <w:r w:rsidR="007D452A">
        <w:rPr>
          <w:rtl/>
        </w:rPr>
        <w:tab/>
      </w:r>
      <w:r w:rsidRPr="000F5EB5">
        <w:rPr>
          <w:rFonts w:hint="cs"/>
          <w:rtl/>
        </w:rPr>
        <w:t>בבלי, ברכות י״ג ע״א. וכן בבלי, ראש השנה, כ״ח ע״א</w:t>
      </w:r>
    </w:p>
  </w:footnote>
  <w:footnote w:id="22">
    <w:p w14:paraId="70F7DE86" w14:textId="717D7A6D" w:rsidR="000F5EB5" w:rsidRPr="000F5EB5" w:rsidRDefault="000F5EB5" w:rsidP="000F5EB5">
      <w:pPr>
        <w:pStyle w:val="FootnoteText"/>
        <w:rPr>
          <w:rtl/>
          <w:lang w:val="en-IL"/>
        </w:rPr>
      </w:pPr>
      <w:r>
        <w:rPr>
          <w:rStyle w:val="FootnoteReference"/>
        </w:rPr>
        <w:footnoteRef/>
      </w:r>
      <w:r w:rsidR="0072176C">
        <w:rPr>
          <w:rtl/>
        </w:rPr>
        <w:t xml:space="preserve"> </w:t>
      </w:r>
      <w:r w:rsidR="007D452A">
        <w:rPr>
          <w:rtl/>
        </w:rPr>
        <w:tab/>
      </w:r>
      <w:r w:rsidRPr="000F5EB5">
        <w:rPr>
          <w:rFonts w:hint="cs"/>
          <w:rtl/>
        </w:rPr>
        <w:t>איגרת שנייה אל הקורינתים, ג, ו. </w:t>
      </w:r>
    </w:p>
  </w:footnote>
  <w:footnote w:id="23">
    <w:p w14:paraId="7476C3E1" w14:textId="13199FE2" w:rsidR="004A1195" w:rsidRPr="004A1195" w:rsidRDefault="004A1195" w:rsidP="004A1195">
      <w:pPr>
        <w:pStyle w:val="FootnoteText"/>
        <w:rPr>
          <w:lang w:val="en-IL"/>
        </w:rPr>
      </w:pPr>
      <w:r>
        <w:rPr>
          <w:rStyle w:val="FootnoteReference"/>
        </w:rPr>
        <w:footnoteRef/>
      </w:r>
      <w:r w:rsidR="0072176C">
        <w:rPr>
          <w:rtl/>
        </w:rPr>
        <w:t xml:space="preserve"> </w:t>
      </w:r>
      <w:r w:rsidR="007D452A">
        <w:rPr>
          <w:rtl/>
        </w:rPr>
        <w:tab/>
      </w:r>
      <w:r w:rsidRPr="004A1195">
        <w:rPr>
          <w:rFonts w:hint="cs"/>
          <w:rtl/>
        </w:rPr>
        <w:t>האיגרת אל האפסים, ב, ח.</w:t>
      </w:r>
    </w:p>
  </w:footnote>
  <w:footnote w:id="24">
    <w:p w14:paraId="607AE115" w14:textId="6E8A89A5" w:rsidR="0045726C" w:rsidRPr="0045726C" w:rsidRDefault="0045726C" w:rsidP="0045726C">
      <w:pPr>
        <w:pStyle w:val="FootnoteText"/>
        <w:rPr>
          <w:lang w:val="en-IL"/>
        </w:rPr>
      </w:pPr>
      <w:r>
        <w:rPr>
          <w:rStyle w:val="FootnoteReference"/>
        </w:rPr>
        <w:footnoteRef/>
      </w:r>
      <w:r w:rsidR="0072176C">
        <w:rPr>
          <w:rtl/>
        </w:rPr>
        <w:t xml:space="preserve"> </w:t>
      </w:r>
      <w:r w:rsidR="007D452A">
        <w:rPr>
          <w:rtl/>
        </w:rPr>
        <w:tab/>
      </w:r>
      <w:r w:rsidRPr="0045726C">
        <w:rPr>
          <w:rFonts w:hint="cs"/>
          <w:rtl/>
        </w:rPr>
        <w:t>נאום שנשא ישו לפי המסורת הנוצרית על הר באזור הגליל, נוסח הדרשה מופיע בבשורה על־פי מתי, פרקים ה' - ז', הברית החדשה.</w:t>
      </w:r>
    </w:p>
  </w:footnote>
  <w:footnote w:id="25">
    <w:p w14:paraId="1AB7DAB1" w14:textId="556278D5" w:rsidR="00261D25" w:rsidRPr="00261D25" w:rsidRDefault="00261D25" w:rsidP="00261D25">
      <w:pPr>
        <w:pStyle w:val="FootnoteText"/>
        <w:rPr>
          <w:rtl/>
          <w:lang w:val="en-IL"/>
        </w:rPr>
      </w:pPr>
      <w:r>
        <w:rPr>
          <w:rStyle w:val="FootnoteReference"/>
        </w:rPr>
        <w:footnoteRef/>
      </w:r>
      <w:r w:rsidR="0072176C">
        <w:rPr>
          <w:rtl/>
        </w:rPr>
        <w:t xml:space="preserve"> </w:t>
      </w:r>
      <w:r w:rsidR="007D452A">
        <w:rPr>
          <w:rtl/>
        </w:rPr>
        <w:tab/>
      </w:r>
      <w:r w:rsidRPr="00261D25">
        <w:rPr>
          <w:rFonts w:hint="cs"/>
          <w:rtl/>
        </w:rPr>
        <w:t>הס׳וּפִיוּת, הזרם המיסטי באסלאם, רואה בסיגוף הגוף ובפרישות מן ההנאות אמצעי מרכזי לטיהור הנפש (</w:t>
      </w:r>
      <w:r w:rsidRPr="00261D25">
        <w:rPr>
          <w:rFonts w:ascii="Arial" w:hAnsi="Arial" w:cs="Arial" w:hint="cs"/>
          <w:rtl/>
          <w:lang w:bidi="ar-SA"/>
        </w:rPr>
        <w:t>تزكية</w:t>
      </w:r>
      <w:r w:rsidRPr="00261D25">
        <w:rPr>
          <w:rFonts w:hint="cs"/>
          <w:rtl/>
          <w:lang w:bidi="ar-SA"/>
        </w:rPr>
        <w:t xml:space="preserve"> </w:t>
      </w:r>
      <w:r w:rsidRPr="00261D25">
        <w:rPr>
          <w:rFonts w:ascii="Arial" w:hAnsi="Arial" w:cs="Arial" w:hint="cs"/>
          <w:rtl/>
          <w:lang w:bidi="ar-SA"/>
        </w:rPr>
        <w:t>النفس</w:t>
      </w:r>
      <w:r w:rsidRPr="00261D25">
        <w:rPr>
          <w:rFonts w:hint="cs"/>
          <w:rtl/>
          <w:lang w:bidi="ar-SA"/>
        </w:rPr>
        <w:t xml:space="preserve">) . </w:t>
      </w:r>
      <w:r w:rsidRPr="00261D25">
        <w:rPr>
          <w:rFonts w:hint="cs"/>
          <w:rtl/>
        </w:rPr>
        <w:t>במסורות סופיות רבות נתפסים הצום, מיעוט השינה, לבישת בגדי צמר מגרדים וההתרחקות מתענוגות העולם- כדרכים לגיטימיות ואף רצויות להכשרת הלב ולהשגת ידיעה רוחנית.</w:t>
      </w:r>
    </w:p>
  </w:footnote>
  <w:footnote w:id="26">
    <w:p w14:paraId="456DA76F" w14:textId="4DA4349B" w:rsidR="00261D25" w:rsidRPr="00261D25" w:rsidRDefault="00261D25" w:rsidP="00261D25">
      <w:pPr>
        <w:pStyle w:val="FootnoteText"/>
        <w:rPr>
          <w:rtl/>
          <w:lang w:val="en-IL"/>
        </w:rPr>
      </w:pPr>
      <w:r>
        <w:rPr>
          <w:rStyle w:val="FootnoteReference"/>
        </w:rPr>
        <w:footnoteRef/>
      </w:r>
      <w:r w:rsidR="0072176C">
        <w:rPr>
          <w:rtl/>
        </w:rPr>
        <w:t xml:space="preserve"> </w:t>
      </w:r>
      <w:r w:rsidR="007D452A">
        <w:rPr>
          <w:rtl/>
        </w:rPr>
        <w:tab/>
      </w:r>
      <w:r w:rsidRPr="00261D25">
        <w:rPr>
          <w:rFonts w:hint="cs"/>
          <w:rtl/>
        </w:rPr>
        <w:t>הדברים נכתבו בימי הרמדאן של שנת 2026. העיסוק באסלאם בהקשר זה איננו נובע רק מהתעניינותי האישית בעולם המוסלמי, אלא גם מרוח התקופה ומתודעת הזמן שבה נכתב המאמר: חודש שלם שבו מרחב ציבורי רחב מובנה סביב משמעת של צום, עורר מחדש את השאלה בדבר המשמעות הדתית של הצום בכלל ושל הצום היהודי בפרט. ההשוואה איננה מבקשת לטשטש הבדלים תיאולוגיים, אלא להפיק תועלת מן המבט המקביל</w:t>
      </w:r>
      <w:r w:rsidR="0072176C">
        <w:rPr>
          <w:rFonts w:hint="cs"/>
          <w:rtl/>
        </w:rPr>
        <w:t xml:space="preserve"> </w:t>
      </w:r>
      <w:r w:rsidRPr="00261D25">
        <w:rPr>
          <w:rFonts w:hint="cs"/>
          <w:rtl/>
        </w:rPr>
        <w:t>ולהבליט מתוך הניגוד והדמיון גם יחד את ייחודו של מבנה הצום במסורת ישראל.</w:t>
      </w:r>
    </w:p>
  </w:footnote>
  <w:footnote w:id="27">
    <w:p w14:paraId="25819A17" w14:textId="51463CDA" w:rsidR="00261D25" w:rsidRPr="00261D25" w:rsidRDefault="00261D25" w:rsidP="00261D25">
      <w:pPr>
        <w:pStyle w:val="FootnoteText"/>
        <w:rPr>
          <w:lang w:val="en-IL"/>
        </w:rPr>
      </w:pPr>
      <w:r>
        <w:rPr>
          <w:rStyle w:val="FootnoteReference"/>
        </w:rPr>
        <w:footnoteRef/>
      </w:r>
      <w:r w:rsidR="0072176C">
        <w:rPr>
          <w:rtl/>
        </w:rPr>
        <w:t xml:space="preserve"> </w:t>
      </w:r>
      <w:r w:rsidR="007D452A">
        <w:rPr>
          <w:rtl/>
        </w:rPr>
        <w:tab/>
      </w:r>
      <w:r w:rsidRPr="00261D25">
        <w:rPr>
          <w:rFonts w:hint="cs"/>
          <w:rtl/>
        </w:rPr>
        <w:t>בשונה מלוח השנה היהודי המעורב</w:t>
      </w:r>
      <w:r w:rsidRPr="00261D25">
        <w:rPr>
          <w:rtl/>
        </w:rPr>
        <w:t xml:space="preserve">, </w:t>
      </w:r>
      <w:r w:rsidRPr="00261D25">
        <w:rPr>
          <w:rFonts w:hint="cs"/>
          <w:rtl/>
        </w:rPr>
        <w:t>לוח השנה המוסלמי מבוסס על מחזור ירחי טהור ואיננו מסונכרן עם השנה השמשית, עובדה היוצרת נתק בין מועדי הפולחן לבין מחזורי הטבע, החקלאות והאקלים. נתק זה משפיע במיוחד על פרקטיקות הלכתיות התלויות בזמן, ובראשן צום הרמדאן, הנע לאורך עונות השנה ועלול לחול לעיתים בתנאים פיזיים קיצוניים. תופעה זו משקפת מגבלה רחבה יותר של ההלכה המוסלמית, מאחר והתעצבה בראשיתה בסביבה נוודית ולא</w:t>
      </w:r>
      <w:r w:rsidR="0024292D">
        <w:rPr>
          <w:rFonts w:hint="cs"/>
          <w:rtl/>
        </w:rPr>
        <w:t xml:space="preserve"> </w:t>
      </w:r>
      <w:r w:rsidRPr="00261D25">
        <w:rPr>
          <w:rFonts w:hint="cs"/>
          <w:rtl/>
        </w:rPr>
        <w:t>חקלאית. כך למשל דיני הירושה, ומנגנוני צדקה וחובה כלכלית שאינם כוללים מערכת מפותחת של תרומות חקלאיות או מעשרות מן התוצרת, אלא מתמקדים בעיקר בהעברת רכוש קיים או עזוב. להרחבה ראה: ״בין הלכה ביהדות להלכה באסלאם״, חוה לצרוס יפה, ״תרביץ״, נ״א ב׳, תשמ״ב</w:t>
      </w:r>
    </w:p>
  </w:footnote>
  <w:footnote w:id="28">
    <w:p w14:paraId="65B4E54F" w14:textId="1B916F50" w:rsidR="00261D25" w:rsidRDefault="00261D25" w:rsidP="00261D25">
      <w:pPr>
        <w:pStyle w:val="FootnoteText"/>
        <w:rPr>
          <w:rtl/>
        </w:rPr>
      </w:pPr>
      <w:r>
        <w:rPr>
          <w:rStyle w:val="FootnoteReference"/>
        </w:rPr>
        <w:footnoteRef/>
      </w:r>
      <w:r w:rsidR="0072176C">
        <w:rPr>
          <w:rtl/>
        </w:rPr>
        <w:t xml:space="preserve"> </w:t>
      </w:r>
      <w:r w:rsidR="007D452A">
        <w:rPr>
          <w:rtl/>
        </w:rPr>
        <w:tab/>
      </w:r>
      <w:r w:rsidRPr="00261D25">
        <w:rPr>
          <w:rFonts w:hint="cs"/>
          <w:rtl/>
        </w:rPr>
        <w:t>סורת אל-בקרה, 183-185</w:t>
      </w:r>
    </w:p>
  </w:footnote>
  <w:footnote w:id="29">
    <w:p w14:paraId="6D5B2359" w14:textId="74CC71BE" w:rsidR="00E35115" w:rsidRDefault="00261D25" w:rsidP="00261D25">
      <w:pPr>
        <w:pStyle w:val="FootnoteText"/>
        <w:rPr>
          <w:rtl/>
          <w:lang w:val="en-IL"/>
        </w:rPr>
      </w:pPr>
      <w:r>
        <w:rPr>
          <w:rStyle w:val="FootnoteReference"/>
        </w:rPr>
        <w:footnoteRef/>
      </w:r>
      <w:r w:rsidR="0072176C">
        <w:rPr>
          <w:rtl/>
        </w:rPr>
        <w:t xml:space="preserve"> </w:t>
      </w:r>
      <w:r w:rsidR="007D452A">
        <w:rPr>
          <w:rtl/>
        </w:rPr>
        <w:tab/>
      </w:r>
      <w:r w:rsidRPr="00261D25">
        <w:rPr>
          <w:rFonts w:hint="cs"/>
          <w:rtl/>
        </w:rPr>
        <w:t>סורת אל בקרה, 187. מעניין הוא הסימן להכשר תחילת הצום, ״משיבדיל בין חוט אדום לחוט לבן״, יתכן ונלקחה השראה ממסורת יהודית, לגבי זמן תחילת קריאת שמע של שחרית; משנה ברכות, א,א.</w:t>
      </w:r>
    </w:p>
    <w:p w14:paraId="5A6C09AB" w14:textId="77777777" w:rsidR="00E35115" w:rsidRDefault="00261D25" w:rsidP="007D452A">
      <w:pPr>
        <w:pStyle w:val="FootnoteText"/>
        <w:ind w:firstLine="0"/>
        <w:rPr>
          <w:rtl/>
          <w:lang w:val="en-IL"/>
        </w:rPr>
      </w:pPr>
      <w:r w:rsidRPr="00261D25">
        <w:rPr>
          <w:rFonts w:hint="cs"/>
          <w:rtl/>
          <w:lang w:val="en-IL"/>
        </w:rPr>
        <w:t>דבר אחר הוא אולי ״לשון של זהורית״ שמוזכרת בהקשר ליום כיפור; משנה, יומא, ו, ו</w:t>
      </w:r>
      <w:r>
        <w:rPr>
          <w:rFonts w:hint="cs"/>
          <w:rtl/>
          <w:lang w:val="en-IL"/>
        </w:rPr>
        <w:t>.</w:t>
      </w:r>
    </w:p>
    <w:p w14:paraId="6C7720CB" w14:textId="2E402AA9" w:rsidR="00261D25" w:rsidRPr="00261D25" w:rsidRDefault="00261D25" w:rsidP="007D452A">
      <w:pPr>
        <w:pStyle w:val="FootnoteText"/>
        <w:ind w:firstLine="0"/>
        <w:rPr>
          <w:lang w:val="en-IL"/>
        </w:rPr>
      </w:pPr>
      <w:r w:rsidRPr="00261D25">
        <w:rPr>
          <w:rFonts w:hint="cs"/>
          <w:rtl/>
          <w:lang w:val="en-IL"/>
        </w:rPr>
        <w:t>מסורות מקבילות נוספות בנוגע לצום, עלולות להיות העובדה שהנביא מוחמד היה צם בימי שני וחמישי משום ש“המעשים מובאים בהם לפני אלוהים”, דבר שעלול להיות מקביל ל-״יום הכניסה״ היהודי בו היו קוראים בתורה; תוספתא מגילה (ליברמן) א, ב.</w:t>
      </w:r>
      <w:r w:rsidR="005A05AF">
        <w:rPr>
          <w:rFonts w:hint="cs"/>
          <w:rtl/>
          <w:lang w:val="en-IL"/>
        </w:rPr>
        <w:t xml:space="preserve"> </w:t>
      </w:r>
      <w:r w:rsidRPr="00261D25">
        <w:rPr>
          <w:rFonts w:hint="cs"/>
          <w:rtl/>
          <w:lang w:val="en-IL"/>
        </w:rPr>
        <w:t>והדוגמאות עוד רבות כמובן (ראה הע׳ שוליים 27).</w:t>
      </w:r>
    </w:p>
  </w:footnote>
  <w:footnote w:id="30">
    <w:p w14:paraId="1AE6EE48" w14:textId="10D815CF" w:rsidR="005A0532" w:rsidRPr="005A0532" w:rsidRDefault="005A0532" w:rsidP="005A0532">
      <w:pPr>
        <w:pStyle w:val="FootnoteText"/>
        <w:rPr>
          <w:rtl/>
          <w:lang w:val="en-IL"/>
        </w:rPr>
      </w:pPr>
      <w:r>
        <w:rPr>
          <w:rStyle w:val="FootnoteReference"/>
        </w:rPr>
        <w:footnoteRef/>
      </w:r>
      <w:r w:rsidR="0072176C">
        <w:rPr>
          <w:rtl/>
        </w:rPr>
        <w:t xml:space="preserve"> </w:t>
      </w:r>
      <w:r w:rsidR="007D452A">
        <w:rPr>
          <w:rtl/>
        </w:rPr>
        <w:tab/>
      </w:r>
      <w:r w:rsidRPr="005A0532">
        <w:rPr>
          <w:rFonts w:hint="cs"/>
          <w:rtl/>
        </w:rPr>
        <w:t>בבלי, תענית, י״א, ע״א</w:t>
      </w:r>
    </w:p>
  </w:footnote>
  <w:footnote w:id="31">
    <w:p w14:paraId="3A6D0595" w14:textId="62E3FAA1" w:rsidR="005A0532" w:rsidRPr="005A0532" w:rsidRDefault="005A0532" w:rsidP="005A0532">
      <w:pPr>
        <w:pStyle w:val="FootnoteText"/>
        <w:rPr>
          <w:rtl/>
          <w:lang w:val="en-IL"/>
        </w:rPr>
      </w:pPr>
      <w:r>
        <w:rPr>
          <w:rStyle w:val="FootnoteReference"/>
        </w:rPr>
        <w:footnoteRef/>
      </w:r>
      <w:r w:rsidR="0072176C">
        <w:rPr>
          <w:rtl/>
        </w:rPr>
        <w:t xml:space="preserve"> </w:t>
      </w:r>
      <w:r w:rsidR="007D452A">
        <w:rPr>
          <w:rtl/>
        </w:rPr>
        <w:tab/>
      </w:r>
      <w:r w:rsidRPr="005A0532">
        <w:rPr>
          <w:rFonts w:hint="cs"/>
          <w:rtl/>
        </w:rPr>
        <w:t>ירושלמי, נדרים, כ״ב, ע״א</w:t>
      </w:r>
    </w:p>
  </w:footnote>
  <w:footnote w:id="32">
    <w:p w14:paraId="48237525" w14:textId="745CE8D3" w:rsidR="0054296C" w:rsidRDefault="0054296C" w:rsidP="007D452A">
      <w:pPr>
        <w:pStyle w:val="FootnoteText"/>
        <w:rPr>
          <w:rtl/>
        </w:rPr>
      </w:pPr>
      <w:r>
        <w:rPr>
          <w:rStyle w:val="FootnoteReference"/>
        </w:rPr>
        <w:footnoteRef/>
      </w:r>
      <w:r>
        <w:rPr>
          <w:rtl/>
        </w:rPr>
        <w:t xml:space="preserve"> </w:t>
      </w:r>
      <w:r w:rsidR="007D452A">
        <w:rPr>
          <w:rtl/>
        </w:rPr>
        <w:tab/>
      </w:r>
      <w:r w:rsidRPr="0054296C">
        <w:rPr>
          <w:rFonts w:hint="cs"/>
          <w:rtl/>
        </w:rPr>
        <w:t>סווטוניוס, ״חיי שנים עשר הקיסרים״, ב׳</w:t>
      </w:r>
      <w:r w:rsidR="0072176C">
        <w:rPr>
          <w:rFonts w:hint="cs"/>
          <w:rtl/>
        </w:rPr>
        <w:t xml:space="preserve"> </w:t>
      </w:r>
      <w:r w:rsidRPr="0054296C">
        <w:rPr>
          <w:rFonts w:hint="cs"/>
          <w:rtl/>
        </w:rPr>
        <w:t xml:space="preserve">, אוגוסטוס, 76; תרגום מלטינית- אלכסנדר שור, מסדה, (1987). ראה גם: </w:t>
      </w:r>
      <w:r w:rsidRPr="0054296C">
        <w:rPr>
          <w:rFonts w:ascii="Arial" w:hAnsi="Arial" w:cs="Arial" w:hint="cs"/>
          <w:rtl/>
        </w:rPr>
        <w:t>​​</w:t>
      </w:r>
      <w:r w:rsidRPr="0054296C">
        <w:rPr>
          <w:rFonts w:ascii="Narkisim" w:hAnsi="Narkisim" w:hint="cs"/>
          <w:rtl/>
        </w:rPr>
        <w:t>טקיטוס</w:t>
      </w:r>
      <w:r w:rsidRPr="0054296C">
        <w:rPr>
          <w:rFonts w:hint="cs"/>
          <w:rtl/>
        </w:rPr>
        <w:t xml:space="preserve">, </w:t>
      </w:r>
      <w:r w:rsidRPr="0054296C">
        <w:rPr>
          <w:rFonts w:ascii="Narkisim" w:hAnsi="Narkisim" w:hint="cs"/>
          <w:rtl/>
        </w:rPr>
        <w:t>״היסטוריות״</w:t>
      </w:r>
      <w:r w:rsidRPr="0054296C">
        <w:rPr>
          <w:rFonts w:hint="cs"/>
          <w:rtl/>
        </w:rPr>
        <w:t xml:space="preserve"> , </w:t>
      </w:r>
      <w:r w:rsidRPr="0054296C">
        <w:rPr>
          <w:rFonts w:ascii="Narkisim" w:hAnsi="Narkisim" w:hint="cs"/>
          <w:rtl/>
        </w:rPr>
        <w:t>ה</w:t>
      </w:r>
      <w:r w:rsidRPr="0054296C">
        <w:rPr>
          <w:rFonts w:hint="cs"/>
          <w:rtl/>
        </w:rPr>
        <w:t>', 4</w:t>
      </w:r>
      <w:r w:rsidRPr="0054296C">
        <w:rPr>
          <w:rFonts w:ascii="Narkisim" w:hAnsi="Narkisim" w:hint="cs"/>
          <w:rtl/>
        </w:rPr>
        <w:t>–</w:t>
      </w:r>
      <w:r w:rsidRPr="0054296C">
        <w:rPr>
          <w:rFonts w:hint="cs"/>
          <w:rtl/>
        </w:rPr>
        <w:t>5.</w:t>
      </w:r>
    </w:p>
  </w:footnote>
  <w:footnote w:id="33">
    <w:p w14:paraId="022E30CA" w14:textId="243CA650" w:rsidR="00A60D0A" w:rsidRPr="00A60D0A" w:rsidRDefault="00A60D0A" w:rsidP="00A60D0A">
      <w:pPr>
        <w:pStyle w:val="FootnoteText"/>
        <w:rPr>
          <w:lang w:val="en-IL"/>
        </w:rPr>
      </w:pPr>
      <w:r>
        <w:rPr>
          <w:rStyle w:val="FootnoteReference"/>
        </w:rPr>
        <w:footnoteRef/>
      </w:r>
      <w:r w:rsidR="0072176C">
        <w:rPr>
          <w:rtl/>
        </w:rPr>
        <w:t xml:space="preserve"> </w:t>
      </w:r>
      <w:r w:rsidR="007D452A">
        <w:rPr>
          <w:rtl/>
        </w:rPr>
        <w:tab/>
      </w:r>
      <w:r w:rsidRPr="00A60D0A">
        <w:rPr>
          <w:rFonts w:hint="cs"/>
          <w:rtl/>
        </w:rPr>
        <w:t>סונה אל- נסאי, ספר הצום, חדית׳ 2393;</w:t>
      </w:r>
    </w:p>
  </w:footnote>
  <w:footnote w:id="34">
    <w:p w14:paraId="59F6B83E" w14:textId="58677111" w:rsidR="000F4A1F" w:rsidRPr="000F4A1F" w:rsidRDefault="000F4A1F" w:rsidP="000F4A1F">
      <w:pPr>
        <w:pStyle w:val="FootnoteText"/>
        <w:rPr>
          <w:lang w:val="en-IL"/>
        </w:rPr>
      </w:pPr>
      <w:r>
        <w:rPr>
          <w:rStyle w:val="FootnoteReference"/>
        </w:rPr>
        <w:footnoteRef/>
      </w:r>
      <w:r>
        <w:rPr>
          <w:rtl/>
        </w:rPr>
        <w:t xml:space="preserve"> </w:t>
      </w:r>
      <w:r w:rsidR="007D452A">
        <w:rPr>
          <w:rtl/>
        </w:rPr>
        <w:tab/>
      </w:r>
      <w:r w:rsidRPr="000F4A1F">
        <w:rPr>
          <w:rFonts w:hint="cs"/>
          <w:rtl/>
        </w:rPr>
        <w:t>מקובל לדרג חדית׳ים לפי מידת אמינותם על בסיס בדיקת שרשרת המסירה (אִסְנָאד) ומהימנות התוכן (מַתְן). הדרגות העיקריות הן:</w:t>
      </w:r>
      <w:r>
        <w:rPr>
          <w:rFonts w:hint="cs"/>
          <w:rtl/>
          <w:lang w:val="en-IL"/>
        </w:rPr>
        <w:t xml:space="preserve"> </w:t>
      </w:r>
      <w:r w:rsidRPr="000F4A1F">
        <w:rPr>
          <w:rFonts w:hint="cs"/>
          <w:rtl/>
        </w:rPr>
        <w:t>צַחִיח (</w:t>
      </w:r>
      <w:r w:rsidRPr="000F4A1F">
        <w:rPr>
          <w:rFonts w:ascii="Arial" w:hAnsi="Arial" w:cs="Arial" w:hint="cs"/>
          <w:rtl/>
          <w:lang w:bidi="ar-SA"/>
        </w:rPr>
        <w:t>صحيح</w:t>
      </w:r>
      <w:r w:rsidRPr="000F4A1F">
        <w:rPr>
          <w:rFonts w:hint="cs"/>
          <w:rtl/>
          <w:lang w:bidi="ar-SA"/>
        </w:rPr>
        <w:t>) -</w:t>
      </w:r>
      <w:r w:rsidRPr="000F4A1F">
        <w:rPr>
          <w:rFonts w:hint="cs"/>
          <w:rtl/>
        </w:rPr>
        <w:t>חדית׳ מהימן לחלוטין, שמסריו רציפים ומהימנים; חַסַן (</w:t>
      </w:r>
      <w:r w:rsidRPr="000F4A1F">
        <w:rPr>
          <w:rFonts w:ascii="Arial" w:hAnsi="Arial" w:cs="Arial" w:hint="cs"/>
          <w:rtl/>
          <w:lang w:bidi="ar-SA"/>
        </w:rPr>
        <w:t>حسن</w:t>
      </w:r>
      <w:r w:rsidRPr="000F4A1F">
        <w:rPr>
          <w:rFonts w:hint="cs"/>
          <w:rtl/>
          <w:lang w:bidi="ar-SA"/>
        </w:rPr>
        <w:t>) -</w:t>
      </w:r>
      <w:r w:rsidRPr="000F4A1F">
        <w:rPr>
          <w:rFonts w:hint="cs"/>
          <w:rtl/>
        </w:rPr>
        <w:t>חדית׳ אמין בדרגה נמוכה יותר; דַעִיף (</w:t>
      </w:r>
      <w:r w:rsidRPr="000F4A1F">
        <w:rPr>
          <w:rFonts w:ascii="Arial" w:hAnsi="Arial" w:cs="Arial" w:hint="cs"/>
          <w:rtl/>
          <w:lang w:bidi="ar-SA"/>
        </w:rPr>
        <w:t>ضعيف</w:t>
      </w:r>
      <w:r w:rsidRPr="000F4A1F">
        <w:rPr>
          <w:rFonts w:hint="cs"/>
          <w:rtl/>
          <w:lang w:bidi="ar-SA"/>
        </w:rPr>
        <w:t xml:space="preserve">)- </w:t>
      </w:r>
      <w:r w:rsidRPr="000F4A1F">
        <w:rPr>
          <w:rFonts w:hint="cs"/>
          <w:rtl/>
        </w:rPr>
        <w:t>חדית׳ חלש, בשל פגם במסירה או בתוכן; מַוְדוּע (</w:t>
      </w:r>
      <w:r w:rsidRPr="000F4A1F">
        <w:rPr>
          <w:rFonts w:ascii="Arial" w:hAnsi="Arial" w:cs="Arial" w:hint="cs"/>
          <w:rtl/>
          <w:lang w:bidi="ar-SA"/>
        </w:rPr>
        <w:t>موضوع</w:t>
      </w:r>
      <w:r w:rsidRPr="000F4A1F">
        <w:rPr>
          <w:rFonts w:hint="cs"/>
          <w:rtl/>
          <w:lang w:bidi="ar-SA"/>
        </w:rPr>
        <w:t xml:space="preserve">) - </w:t>
      </w:r>
      <w:r w:rsidRPr="000F4A1F">
        <w:rPr>
          <w:rFonts w:hint="cs"/>
          <w:rtl/>
        </w:rPr>
        <w:t>חדית׳ מזויף. סיווג זה משקף מערכת ביקורת טקסטואלית והיסטורית מפותחת, שנועדה להבחין בין מסורת נבואית מחייבת לבין מסורות מאוחרות או מפוקפקות</w:t>
      </w:r>
      <w:r w:rsidRPr="000F4A1F">
        <w:rPr>
          <w:lang w:val="en-IL"/>
        </w:rPr>
        <w:t>.</w:t>
      </w:r>
    </w:p>
  </w:footnote>
  <w:footnote w:id="35">
    <w:p w14:paraId="399BC940" w14:textId="3442C4D4" w:rsidR="00A53DAF" w:rsidRDefault="00A53DAF" w:rsidP="00A53DAF">
      <w:pPr>
        <w:pStyle w:val="FootnoteText"/>
        <w:rPr>
          <w:rtl/>
        </w:rPr>
      </w:pPr>
      <w:r>
        <w:rPr>
          <w:rStyle w:val="FootnoteReference"/>
        </w:rPr>
        <w:footnoteRef/>
      </w:r>
      <w:r w:rsidR="0072176C">
        <w:t xml:space="preserve"> </w:t>
      </w:r>
      <w:r w:rsidR="007D452A">
        <w:tab/>
      </w:r>
      <w:r w:rsidRPr="00A53DAF">
        <w:rPr>
          <w:rFonts w:hint="cs"/>
          <w:rtl/>
        </w:rPr>
        <w:t xml:space="preserve">ראה עמוס חכם </w:t>
      </w:r>
      <w:r w:rsidRPr="00A53DAF">
        <w:rPr>
          <w:rFonts w:hint="cs"/>
        </w:rPr>
        <w:t>"</w:t>
      </w:r>
      <w:r w:rsidRPr="00A53DAF">
        <w:rPr>
          <w:rFonts w:hint="cs"/>
          <w:rtl/>
        </w:rPr>
        <w:t>הצום במקרא</w:t>
      </w:r>
      <w:r w:rsidRPr="00A53DAF">
        <w:rPr>
          <w:rFonts w:hint="cs"/>
        </w:rPr>
        <w:t xml:space="preserve">"' </w:t>
      </w:r>
      <w:r w:rsidRPr="00A53DAF">
        <w:rPr>
          <w:rFonts w:hint="cs"/>
          <w:rtl/>
        </w:rPr>
        <w:t>מחניים פ</w:t>
      </w:r>
      <w:r w:rsidRPr="00A53DAF">
        <w:rPr>
          <w:rFonts w:hint="cs"/>
        </w:rPr>
        <w:t>"</w:t>
      </w:r>
      <w:r w:rsidRPr="00A53DAF">
        <w:rPr>
          <w:rFonts w:hint="cs"/>
          <w:rtl/>
        </w:rPr>
        <w:t>ב, תשכ</w:t>
      </w:r>
      <w:r w:rsidRPr="00A53DAF">
        <w:rPr>
          <w:rFonts w:hint="cs"/>
        </w:rPr>
        <w:t>"</w:t>
      </w:r>
      <w:r w:rsidRPr="00A53DAF">
        <w:rPr>
          <w:rFonts w:hint="cs"/>
          <w:rtl/>
        </w:rPr>
        <w:t>ג</w:t>
      </w:r>
    </w:p>
  </w:footnote>
  <w:footnote w:id="36">
    <w:p w14:paraId="0C886954" w14:textId="26A3E801" w:rsidR="00E958B9" w:rsidRDefault="00E958B9" w:rsidP="00E958B9">
      <w:pPr>
        <w:pStyle w:val="FootnoteText"/>
        <w:rPr>
          <w:rtl/>
        </w:rPr>
      </w:pPr>
      <w:r>
        <w:rPr>
          <w:rStyle w:val="FootnoteReference"/>
        </w:rPr>
        <w:footnoteRef/>
      </w:r>
      <w:r w:rsidR="0072176C">
        <w:rPr>
          <w:rtl/>
        </w:rPr>
        <w:t xml:space="preserve"> </w:t>
      </w:r>
      <w:r w:rsidR="007D452A">
        <w:rPr>
          <w:rtl/>
        </w:rPr>
        <w:tab/>
      </w:r>
      <w:r w:rsidRPr="00E958B9">
        <w:rPr>
          <w:rFonts w:hint="cs"/>
          <w:rtl/>
        </w:rPr>
        <w:t>דברים, כ״ח, מ״ו</w:t>
      </w:r>
    </w:p>
  </w:footnote>
  <w:footnote w:id="37">
    <w:p w14:paraId="52910B9F" w14:textId="4951A368" w:rsidR="00DF0019" w:rsidRDefault="00DF0019" w:rsidP="00DF0019">
      <w:pPr>
        <w:pStyle w:val="FootnoteText"/>
        <w:rPr>
          <w:rtl/>
        </w:rPr>
      </w:pPr>
      <w:r>
        <w:rPr>
          <w:rStyle w:val="FootnoteReference"/>
        </w:rPr>
        <w:footnoteRef/>
      </w:r>
      <w:r w:rsidR="0072176C">
        <w:rPr>
          <w:rtl/>
        </w:rPr>
        <w:t xml:space="preserve"> </w:t>
      </w:r>
      <w:r w:rsidR="007D452A">
        <w:rPr>
          <w:rtl/>
        </w:rPr>
        <w:tab/>
      </w:r>
      <w:r w:rsidRPr="00DF0019">
        <w:rPr>
          <w:rFonts w:hint="cs"/>
          <w:rtl/>
        </w:rPr>
        <w:t>זכריה, ז׳</w:t>
      </w:r>
    </w:p>
  </w:footnote>
  <w:footnote w:id="38">
    <w:p w14:paraId="2B088FE5" w14:textId="207FB224" w:rsidR="00DF0019" w:rsidRDefault="00DF0019" w:rsidP="00DF0019">
      <w:pPr>
        <w:pStyle w:val="FootnoteText"/>
        <w:rPr>
          <w:rtl/>
        </w:rPr>
      </w:pPr>
      <w:r>
        <w:rPr>
          <w:rStyle w:val="FootnoteReference"/>
        </w:rPr>
        <w:footnoteRef/>
      </w:r>
      <w:r w:rsidR="0072176C">
        <w:rPr>
          <w:rtl/>
        </w:rPr>
        <w:t xml:space="preserve"> </w:t>
      </w:r>
      <w:r w:rsidR="007D452A">
        <w:rPr>
          <w:rtl/>
        </w:rPr>
        <w:tab/>
      </w:r>
      <w:r w:rsidRPr="00DF0019">
        <w:rPr>
          <w:rFonts w:hint="cs"/>
          <w:rtl/>
        </w:rPr>
        <w:t>שם</w:t>
      </w:r>
    </w:p>
  </w:footnote>
  <w:footnote w:id="39">
    <w:p w14:paraId="177AF27B" w14:textId="3E32D6BC" w:rsidR="00DF0019" w:rsidRDefault="00DF0019" w:rsidP="00DF0019">
      <w:pPr>
        <w:pStyle w:val="FootnoteText"/>
        <w:rPr>
          <w:rtl/>
        </w:rPr>
      </w:pPr>
      <w:r>
        <w:rPr>
          <w:rStyle w:val="FootnoteReference"/>
        </w:rPr>
        <w:footnoteRef/>
      </w:r>
      <w:r w:rsidR="0072176C">
        <w:rPr>
          <w:rtl/>
        </w:rPr>
        <w:t xml:space="preserve"> </w:t>
      </w:r>
      <w:r w:rsidR="007D452A">
        <w:rPr>
          <w:rtl/>
        </w:rPr>
        <w:tab/>
      </w:r>
      <w:r w:rsidRPr="00DF0019">
        <w:rPr>
          <w:rFonts w:hint="cs"/>
          <w:rtl/>
        </w:rPr>
        <w:t>זכריה, ח׳</w:t>
      </w:r>
    </w:p>
  </w:footnote>
  <w:footnote w:id="40">
    <w:p w14:paraId="4C49D369" w14:textId="4B47B15F" w:rsidR="00222E5F" w:rsidRDefault="00222E5F" w:rsidP="00222E5F">
      <w:pPr>
        <w:pStyle w:val="FootnoteText"/>
      </w:pPr>
      <w:r>
        <w:rPr>
          <w:rStyle w:val="FootnoteReference"/>
        </w:rPr>
        <w:footnoteRef/>
      </w:r>
      <w:r>
        <w:rPr>
          <w:rtl/>
        </w:rPr>
        <w:t xml:space="preserve"> </w:t>
      </w:r>
      <w:r w:rsidR="007D452A">
        <w:rPr>
          <w:rtl/>
        </w:rPr>
        <w:tab/>
      </w:r>
      <w:r w:rsidRPr="00222E5F">
        <w:rPr>
          <w:rFonts w:hint="cs"/>
          <w:rtl/>
        </w:rPr>
        <w:t>ישעיה, נ״ח</w:t>
      </w:r>
    </w:p>
  </w:footnote>
  <w:footnote w:id="41">
    <w:p w14:paraId="29F8F5D3" w14:textId="16219745" w:rsidR="00A72BFB" w:rsidRDefault="00A72BFB" w:rsidP="00A72BFB">
      <w:pPr>
        <w:pStyle w:val="FootnoteText"/>
        <w:rPr>
          <w:rtl/>
        </w:rPr>
      </w:pPr>
      <w:r>
        <w:rPr>
          <w:rStyle w:val="FootnoteReference"/>
        </w:rPr>
        <w:footnoteRef/>
      </w:r>
      <w:r w:rsidR="0072176C">
        <w:t xml:space="preserve"> </w:t>
      </w:r>
      <w:r w:rsidR="007D452A">
        <w:tab/>
      </w:r>
      <w:r w:rsidRPr="00A72BFB">
        <w:rPr>
          <w:rFonts w:hint="cs"/>
          <w:rtl/>
        </w:rPr>
        <w:t>הרמן הסה, ״סידהרתא״: סיפור נוסח הודו (שוקן, 1976)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B6EBE" w14:textId="4D42E306" w:rsidR="00612B20" w:rsidRPr="00187793"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187793">
      <w:rPr>
        <w:rFonts w:ascii="Heebo Light" w:hAnsi="Heebo Light" w:cs="Heebo Light" w:hint="cs"/>
        <w:noProof/>
        <w:sz w:val="18"/>
        <w:szCs w:val="18"/>
        <w:rtl/>
      </w:rPr>
      <w:fldChar w:fldCharType="begin"/>
    </w:r>
    <w:r w:rsidRPr="00187793">
      <w:rPr>
        <w:rFonts w:ascii="Heebo Light" w:hAnsi="Heebo Light" w:cs="Heebo Light" w:hint="cs"/>
        <w:noProof/>
        <w:sz w:val="18"/>
        <w:szCs w:val="18"/>
        <w:rtl/>
      </w:rPr>
      <w:instrText xml:space="preserve"> </w:instrText>
    </w:r>
    <w:r w:rsidRPr="00187793">
      <w:rPr>
        <w:rFonts w:ascii="Heebo Light" w:hAnsi="Heebo Light" w:cs="Heebo Light" w:hint="cs"/>
        <w:noProof/>
        <w:sz w:val="18"/>
        <w:szCs w:val="18"/>
      </w:rPr>
      <w:instrText xml:space="preserve">PAGE   \* MERGEFORMAT </w:instrText>
    </w:r>
    <w:r w:rsidRPr="00187793">
      <w:rPr>
        <w:rFonts w:ascii="Heebo Light" w:hAnsi="Heebo Light" w:cs="Heebo Light" w:hint="cs"/>
        <w:noProof/>
        <w:sz w:val="18"/>
        <w:szCs w:val="18"/>
        <w:rtl/>
      </w:rPr>
      <w:fldChar w:fldCharType="separate"/>
    </w:r>
    <w:r w:rsidR="00987353" w:rsidRPr="00187793">
      <w:rPr>
        <w:rFonts w:ascii="Heebo Light" w:hAnsi="Heebo Light" w:cs="Heebo Light" w:hint="cs"/>
        <w:noProof/>
        <w:sz w:val="18"/>
        <w:szCs w:val="18"/>
        <w:rtl/>
      </w:rPr>
      <w:t>2</w:t>
    </w:r>
    <w:r w:rsidRPr="00187793">
      <w:rPr>
        <w:rFonts w:ascii="Heebo Light" w:hAnsi="Heebo Light" w:cs="Heebo Light" w:hint="cs"/>
        <w:noProof/>
        <w:sz w:val="18"/>
        <w:szCs w:val="18"/>
        <w:rtl/>
      </w:rPr>
      <w:fldChar w:fldCharType="end"/>
    </w:r>
    <w:r w:rsidRPr="00187793">
      <w:rPr>
        <w:rFonts w:ascii="Heebo Light" w:hAnsi="Heebo Light" w:cs="Heebo Light" w:hint="cs"/>
        <w:noProof/>
        <w:sz w:val="18"/>
        <w:szCs w:val="18"/>
        <w:rtl/>
      </w:rPr>
      <w:tab/>
    </w:r>
    <w:r w:rsidR="007A671B" w:rsidRPr="00187793">
      <w:rPr>
        <w:rFonts w:ascii="Heebo Light" w:hAnsi="Heebo Light" w:cs="Heebo Light" w:hint="cs"/>
        <w:noProof/>
        <w:sz w:val="18"/>
        <w:szCs w:val="18"/>
      </w:rPr>
      <w:fldChar w:fldCharType="begin"/>
    </w:r>
    <w:r w:rsidR="007A671B" w:rsidRPr="00187793">
      <w:rPr>
        <w:rFonts w:ascii="Heebo Light" w:hAnsi="Heebo Light" w:cs="Heebo Light" w:hint="cs"/>
        <w:noProof/>
        <w:sz w:val="18"/>
        <w:szCs w:val="18"/>
      </w:rPr>
      <w:instrText xml:space="preserve"> STYLEREF  </w:instrText>
    </w:r>
    <w:r w:rsidR="007A671B" w:rsidRPr="00187793">
      <w:rPr>
        <w:rFonts w:ascii="Heebo Light" w:hAnsi="Heebo Light" w:cs="Heebo Light" w:hint="cs"/>
        <w:noProof/>
        <w:sz w:val="18"/>
        <w:szCs w:val="18"/>
        <w:rtl/>
      </w:rPr>
      <w:instrText>מחבר</w:instrText>
    </w:r>
    <w:r w:rsidR="007A671B" w:rsidRPr="00187793">
      <w:rPr>
        <w:rFonts w:ascii="Heebo Light" w:hAnsi="Heebo Light" w:cs="Heebo Light" w:hint="cs"/>
        <w:noProof/>
        <w:sz w:val="18"/>
        <w:szCs w:val="18"/>
      </w:rPr>
      <w:instrText xml:space="preserve">  \* MERGEFORMAT </w:instrText>
    </w:r>
    <w:r w:rsidR="007A671B" w:rsidRPr="00187793">
      <w:rPr>
        <w:rFonts w:ascii="Heebo Light" w:hAnsi="Heebo Light" w:cs="Heebo Light" w:hint="cs"/>
        <w:noProof/>
        <w:sz w:val="18"/>
        <w:szCs w:val="18"/>
      </w:rPr>
      <w:fldChar w:fldCharType="separate"/>
    </w:r>
    <w:r w:rsidR="00240AB7">
      <w:rPr>
        <w:rFonts w:ascii="Heebo Light" w:hAnsi="Heebo Light" w:cs="Heebo Light" w:hint="eastAsia"/>
        <w:noProof/>
        <w:sz w:val="18"/>
        <w:szCs w:val="18"/>
        <w:rtl/>
      </w:rPr>
      <w:t>עמנואל</w:t>
    </w:r>
    <w:r w:rsidR="00240AB7">
      <w:rPr>
        <w:rFonts w:ascii="Heebo Light" w:hAnsi="Heebo Light" w:cs="Heebo Light"/>
        <w:noProof/>
        <w:sz w:val="18"/>
        <w:szCs w:val="18"/>
        <w:rtl/>
      </w:rPr>
      <w:t xml:space="preserve"> אברהמי</w:t>
    </w:r>
    <w:r w:rsidR="007A671B" w:rsidRPr="00187793">
      <w:rPr>
        <w:rFonts w:ascii="Heebo Light" w:hAnsi="Heebo Light" w:cs="Heebo Light" w:hint="cs"/>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CEFAE" w14:textId="0F4C9FB3"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187793">
      <w:rPr>
        <w:rFonts w:ascii="Heebo Light" w:hAnsi="Heebo Light" w:cs="Heebo Light"/>
        <w:noProof/>
        <w:sz w:val="18"/>
        <w:szCs w:val="18"/>
        <w:rtl/>
      </w:rPr>
      <w:fldChar w:fldCharType="begin"/>
    </w:r>
    <w:r w:rsidR="00187793">
      <w:rPr>
        <w:rFonts w:ascii="Heebo Light" w:hAnsi="Heebo Light" w:cs="Heebo Light"/>
        <w:noProof/>
        <w:sz w:val="18"/>
        <w:szCs w:val="18"/>
        <w:rtl/>
      </w:rPr>
      <w:instrText xml:space="preserve"> </w:instrText>
    </w:r>
    <w:r w:rsidR="00187793">
      <w:rPr>
        <w:rFonts w:ascii="Heebo Light" w:hAnsi="Heebo Light" w:cs="Heebo Light"/>
        <w:noProof/>
        <w:sz w:val="18"/>
        <w:szCs w:val="18"/>
      </w:rPr>
      <w:instrText>STYLEREF  Title  \* MERGEFORMAT</w:instrText>
    </w:r>
    <w:r w:rsidR="00187793">
      <w:rPr>
        <w:rFonts w:ascii="Heebo Light" w:hAnsi="Heebo Light" w:cs="Heebo Light"/>
        <w:noProof/>
        <w:sz w:val="18"/>
        <w:szCs w:val="18"/>
        <w:rtl/>
      </w:rPr>
      <w:instrText xml:space="preserve"> </w:instrText>
    </w:r>
    <w:r w:rsidR="00187793">
      <w:rPr>
        <w:rFonts w:ascii="Heebo Light" w:hAnsi="Heebo Light" w:cs="Heebo Light"/>
        <w:noProof/>
        <w:sz w:val="18"/>
        <w:szCs w:val="18"/>
        <w:rtl/>
      </w:rPr>
      <w:fldChar w:fldCharType="separate"/>
    </w:r>
    <w:r w:rsidR="00240AB7">
      <w:rPr>
        <w:rFonts w:ascii="Heebo Light" w:hAnsi="Heebo Light" w:cs="Heebo Light"/>
        <w:noProof/>
        <w:sz w:val="18"/>
        <w:szCs w:val="18"/>
        <w:rtl/>
      </w:rPr>
      <w:t>״הלא זה צום אבחרהו״</w:t>
    </w:r>
    <w:r w:rsidR="00187793">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E7911"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F5069A4E"/>
    <w:lvl w:ilvl="0" w:tplc="C5609F9E">
      <w:start w:val="1"/>
      <w:numFmt w:val="hebrew1"/>
      <w:pStyle w:val="ListParagraph"/>
      <w:lvlText w:val="%1."/>
      <w:lvlJc w:val="left"/>
      <w:pPr>
        <w:ind w:left="720" w:hanging="360"/>
      </w:pPr>
      <w:rPr>
        <w:rFonts w:ascii="Gentium" w:hAnsi="Gentium" w:cs="Narkisim" w:hint="default"/>
        <w:b w:val="0"/>
        <w:bCs w:val="0"/>
        <w:i w:val="0"/>
        <w:iCs w:val="0"/>
        <w:color w:val="auto"/>
        <w:sz w:val="22"/>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71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79C"/>
    <w:rsid w:val="000409AA"/>
    <w:rsid w:val="00047E3F"/>
    <w:rsid w:val="000A2278"/>
    <w:rsid w:val="000C7944"/>
    <w:rsid w:val="000F4A1F"/>
    <w:rsid w:val="000F5EB5"/>
    <w:rsid w:val="00117507"/>
    <w:rsid w:val="00187664"/>
    <w:rsid w:val="00187793"/>
    <w:rsid w:val="001A5481"/>
    <w:rsid w:val="001B0A43"/>
    <w:rsid w:val="001C3CFB"/>
    <w:rsid w:val="001C67F9"/>
    <w:rsid w:val="001E29D1"/>
    <w:rsid w:val="00222903"/>
    <w:rsid w:val="00222E5F"/>
    <w:rsid w:val="00240AB7"/>
    <w:rsid w:val="0024292D"/>
    <w:rsid w:val="00261D25"/>
    <w:rsid w:val="0027276C"/>
    <w:rsid w:val="002A7C4E"/>
    <w:rsid w:val="002D60F4"/>
    <w:rsid w:val="002F4E37"/>
    <w:rsid w:val="003711E9"/>
    <w:rsid w:val="003D5576"/>
    <w:rsid w:val="00424810"/>
    <w:rsid w:val="004545B2"/>
    <w:rsid w:val="0045726C"/>
    <w:rsid w:val="00464CD4"/>
    <w:rsid w:val="00466C8B"/>
    <w:rsid w:val="004A1195"/>
    <w:rsid w:val="004D4620"/>
    <w:rsid w:val="004F3731"/>
    <w:rsid w:val="005208F8"/>
    <w:rsid w:val="00522619"/>
    <w:rsid w:val="0054296C"/>
    <w:rsid w:val="00552034"/>
    <w:rsid w:val="0057133C"/>
    <w:rsid w:val="005805DA"/>
    <w:rsid w:val="005A0532"/>
    <w:rsid w:val="005A05AF"/>
    <w:rsid w:val="005E167B"/>
    <w:rsid w:val="005F33A2"/>
    <w:rsid w:val="005F7592"/>
    <w:rsid w:val="0060100C"/>
    <w:rsid w:val="00601AD4"/>
    <w:rsid w:val="00612B20"/>
    <w:rsid w:val="00654F62"/>
    <w:rsid w:val="00662B22"/>
    <w:rsid w:val="006D3429"/>
    <w:rsid w:val="006E6632"/>
    <w:rsid w:val="00703411"/>
    <w:rsid w:val="00713B2D"/>
    <w:rsid w:val="00714A8B"/>
    <w:rsid w:val="0071562F"/>
    <w:rsid w:val="00716123"/>
    <w:rsid w:val="0072176C"/>
    <w:rsid w:val="00727A09"/>
    <w:rsid w:val="00737F13"/>
    <w:rsid w:val="00755E25"/>
    <w:rsid w:val="007A671B"/>
    <w:rsid w:val="007B73B1"/>
    <w:rsid w:val="007D452A"/>
    <w:rsid w:val="007D6473"/>
    <w:rsid w:val="007E53F6"/>
    <w:rsid w:val="00803749"/>
    <w:rsid w:val="0087403A"/>
    <w:rsid w:val="008D1F83"/>
    <w:rsid w:val="008D6718"/>
    <w:rsid w:val="009166CA"/>
    <w:rsid w:val="009209C1"/>
    <w:rsid w:val="00987353"/>
    <w:rsid w:val="00991A43"/>
    <w:rsid w:val="009A40BA"/>
    <w:rsid w:val="009E7FBB"/>
    <w:rsid w:val="009F3C44"/>
    <w:rsid w:val="00A31408"/>
    <w:rsid w:val="00A53DAF"/>
    <w:rsid w:val="00A60D0A"/>
    <w:rsid w:val="00A72BFB"/>
    <w:rsid w:val="00AA5A85"/>
    <w:rsid w:val="00AB2BC4"/>
    <w:rsid w:val="00AB3979"/>
    <w:rsid w:val="00AB71B2"/>
    <w:rsid w:val="00AF542D"/>
    <w:rsid w:val="00B1141A"/>
    <w:rsid w:val="00B32378"/>
    <w:rsid w:val="00B35978"/>
    <w:rsid w:val="00B41A38"/>
    <w:rsid w:val="00BB325B"/>
    <w:rsid w:val="00BD651D"/>
    <w:rsid w:val="00C02286"/>
    <w:rsid w:val="00C10D32"/>
    <w:rsid w:val="00C32744"/>
    <w:rsid w:val="00C56CAF"/>
    <w:rsid w:val="00C84396"/>
    <w:rsid w:val="00C87786"/>
    <w:rsid w:val="00CA58B2"/>
    <w:rsid w:val="00D63095"/>
    <w:rsid w:val="00D676EA"/>
    <w:rsid w:val="00D83C0F"/>
    <w:rsid w:val="00DB175E"/>
    <w:rsid w:val="00DD25DD"/>
    <w:rsid w:val="00DE02A3"/>
    <w:rsid w:val="00DF0019"/>
    <w:rsid w:val="00E029D5"/>
    <w:rsid w:val="00E05934"/>
    <w:rsid w:val="00E07AB3"/>
    <w:rsid w:val="00E34842"/>
    <w:rsid w:val="00E35115"/>
    <w:rsid w:val="00E836F4"/>
    <w:rsid w:val="00E921C8"/>
    <w:rsid w:val="00E93AB1"/>
    <w:rsid w:val="00E958B9"/>
    <w:rsid w:val="00E95F62"/>
    <w:rsid w:val="00EB1C7F"/>
    <w:rsid w:val="00ED479A"/>
    <w:rsid w:val="00EE361A"/>
    <w:rsid w:val="00EF59B1"/>
    <w:rsid w:val="00F15862"/>
    <w:rsid w:val="00F27EBB"/>
    <w:rsid w:val="00F4073D"/>
    <w:rsid w:val="00F448F2"/>
    <w:rsid w:val="00F47BEB"/>
    <w:rsid w:val="00F85FCD"/>
    <w:rsid w:val="00F938E7"/>
    <w:rsid w:val="00F951BE"/>
    <w:rsid w:val="00FB28D6"/>
    <w:rsid w:val="00FC379C"/>
    <w:rsid w:val="00FC3803"/>
    <w:rsid w:val="00FD4F7B"/>
    <w:rsid w:val="00FE648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63AB6"/>
  <w15:docId w15:val="{9A070A09-4844-4D4F-B639-D43FBFBA8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ind w:left="425" w:hanging="425"/>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 w:type="paragraph" w:styleId="NormalWeb">
    <w:name w:val="Normal (Web)"/>
    <w:basedOn w:val="Normal"/>
    <w:uiPriority w:val="99"/>
    <w:semiHidden/>
    <w:unhideWhenUsed/>
    <w:rsid w:val="00727A09"/>
    <w:rPr>
      <w:rFonts w:ascii="Times New Roman" w:hAnsi="Times New Roman" w:cs="Times New Roman"/>
      <w:sz w:val="24"/>
    </w:rPr>
  </w:style>
  <w:style w:type="character" w:styleId="Hyperlink">
    <w:name w:val="Hyperlink"/>
    <w:basedOn w:val="DefaultParagraphFont"/>
    <w:uiPriority w:val="99"/>
    <w:unhideWhenUsed/>
    <w:rsid w:val="00727A09"/>
    <w:rPr>
      <w:color w:val="0000FF" w:themeColor="hyperlink"/>
      <w:u w:val="single"/>
    </w:rPr>
  </w:style>
  <w:style w:type="character" w:styleId="UnresolvedMention">
    <w:name w:val="Unresolved Mention"/>
    <w:basedOn w:val="DefaultParagraphFont"/>
    <w:uiPriority w:val="99"/>
    <w:semiHidden/>
    <w:unhideWhenUsed/>
    <w:rsid w:val="00727A09"/>
    <w:rPr>
      <w:color w:val="605E5C"/>
      <w:shd w:val="clear" w:color="auto" w:fill="E1DFDD"/>
    </w:rPr>
  </w:style>
  <w:style w:type="character" w:styleId="CommentReference">
    <w:name w:val="annotation reference"/>
    <w:basedOn w:val="DefaultParagraphFont"/>
    <w:uiPriority w:val="99"/>
    <w:semiHidden/>
    <w:unhideWhenUsed/>
    <w:rsid w:val="00EB1C7F"/>
    <w:rPr>
      <w:sz w:val="16"/>
      <w:szCs w:val="16"/>
    </w:rPr>
  </w:style>
  <w:style w:type="paragraph" w:styleId="CommentText">
    <w:name w:val="annotation text"/>
    <w:basedOn w:val="Normal"/>
    <w:link w:val="CommentTextChar"/>
    <w:uiPriority w:val="99"/>
    <w:unhideWhenUsed/>
    <w:rsid w:val="00EB1C7F"/>
    <w:pPr>
      <w:spacing w:line="240" w:lineRule="auto"/>
    </w:pPr>
    <w:rPr>
      <w:sz w:val="20"/>
      <w:szCs w:val="20"/>
    </w:rPr>
  </w:style>
  <w:style w:type="character" w:customStyle="1" w:styleId="CommentTextChar">
    <w:name w:val="Comment Text Char"/>
    <w:basedOn w:val="DefaultParagraphFont"/>
    <w:link w:val="CommentText"/>
    <w:uiPriority w:val="99"/>
    <w:rsid w:val="00EB1C7F"/>
    <w:rPr>
      <w:rFonts w:ascii="Gentium" w:hAnsi="Gentium" w:cs="Narkisim"/>
      <w:sz w:val="20"/>
      <w:szCs w:val="20"/>
    </w:rPr>
  </w:style>
  <w:style w:type="paragraph" w:styleId="CommentSubject">
    <w:name w:val="annotation subject"/>
    <w:basedOn w:val="CommentText"/>
    <w:next w:val="CommentText"/>
    <w:link w:val="CommentSubjectChar"/>
    <w:uiPriority w:val="99"/>
    <w:semiHidden/>
    <w:unhideWhenUsed/>
    <w:rsid w:val="00EB1C7F"/>
    <w:rPr>
      <w:b/>
      <w:bCs/>
    </w:rPr>
  </w:style>
  <w:style w:type="character" w:customStyle="1" w:styleId="CommentSubjectChar">
    <w:name w:val="Comment Subject Char"/>
    <w:basedOn w:val="CommentTextChar"/>
    <w:link w:val="CommentSubject"/>
    <w:uiPriority w:val="99"/>
    <w:semiHidden/>
    <w:rsid w:val="00EB1C7F"/>
    <w:rPr>
      <w:rFonts w:ascii="Gentium" w:hAnsi="Gentium" w:cs="Narkisim"/>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OneDrive\Desktop\&#1495;&#1493;&#1489;&#1512;&#1514;%20&#1502;&#1488;&#1502;&#1512;&#1497;&#150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122</TotalTime>
  <Pages>15</Pages>
  <Words>3168</Words>
  <Characters>18059</Characters>
  <Application>Microsoft Office Word</Application>
  <DocSecurity>0</DocSecurity>
  <Lines>150</Lines>
  <Paragraphs>42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Glass</dc:creator>
  <cp:lastModifiedBy>Gabriel Glass</cp:lastModifiedBy>
  <cp:revision>37</cp:revision>
  <dcterms:created xsi:type="dcterms:W3CDTF">2026-03-11T16:03:00Z</dcterms:created>
  <dcterms:modified xsi:type="dcterms:W3CDTF">2026-03-17T16:16:00Z</dcterms:modified>
</cp:coreProperties>
</file>