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A020" w14:textId="0BB623D8" w:rsidR="00612B20" w:rsidRDefault="002A5420" w:rsidP="00424810">
      <w:pPr>
        <w:pStyle w:val="a"/>
        <w:rPr>
          <w:rtl/>
        </w:rPr>
      </w:pPr>
      <w:r>
        <w:rPr>
          <w:rFonts w:hint="cs"/>
          <w:rtl/>
        </w:rPr>
        <w:t>אבישי דולב</w:t>
      </w:r>
    </w:p>
    <w:p w14:paraId="73366ED7" w14:textId="058BC58F" w:rsidR="002A5420" w:rsidRDefault="002A5420" w:rsidP="002A5420">
      <w:pPr>
        <w:pStyle w:val="Title"/>
        <w:rPr>
          <w:rtl/>
        </w:rPr>
      </w:pPr>
      <w:r>
        <w:rPr>
          <w:rFonts w:hint="cs"/>
          <w:rtl/>
        </w:rPr>
        <w:t>מהות דין מורדת</w:t>
      </w:r>
    </w:p>
    <w:p w14:paraId="70D02B65" w14:textId="0020F307" w:rsidR="00C87786" w:rsidRDefault="002A5420" w:rsidP="00562BA1">
      <w:pPr>
        <w:pStyle w:val="Subtitle"/>
        <w:rPr>
          <w:rtl/>
        </w:rPr>
      </w:pPr>
      <w:r>
        <w:rPr>
          <w:rFonts w:hint="cs"/>
          <w:rtl/>
        </w:rPr>
        <w:t>סקירה ועיונים</w:t>
      </w:r>
    </w:p>
    <w:p w14:paraId="1A551C94" w14:textId="77777777" w:rsidR="00102E0D" w:rsidRPr="00102E0D" w:rsidRDefault="00102E0D" w:rsidP="00102E0D">
      <w:pPr>
        <w:spacing w:before="240"/>
        <w:ind w:firstLine="0"/>
        <w:rPr>
          <w:lang w:val="en-IL"/>
        </w:rPr>
      </w:pPr>
      <w:r w:rsidRPr="00102E0D">
        <w:rPr>
          <w:rFonts w:hint="cs"/>
          <w:rtl/>
        </w:rPr>
        <w:t>המשנה במסכת כתובות, בפרק חמישי “אף על פי” שונה כך: </w:t>
      </w:r>
    </w:p>
    <w:p w14:paraId="4E36201F" w14:textId="7ADBE713" w:rsidR="00102E0D" w:rsidRPr="00102E0D" w:rsidRDefault="00102E0D" w:rsidP="00102E0D">
      <w:pPr>
        <w:pStyle w:val="Quote"/>
        <w:rPr>
          <w:rtl/>
        </w:rPr>
      </w:pPr>
      <w:r w:rsidRPr="00102E0D">
        <w:rPr>
          <w:rFonts w:hint="cs"/>
          <w:rtl/>
        </w:rPr>
        <w:t xml:space="preserve">הַמּוֹרֶדֶת עַל בַּעְלָהּ- </w:t>
      </w:r>
      <w:proofErr w:type="spellStart"/>
      <w:r w:rsidRPr="00102E0D">
        <w:rPr>
          <w:rFonts w:hint="cs"/>
          <w:rtl/>
        </w:rPr>
        <w:t>פּוֹחֲתִין</w:t>
      </w:r>
      <w:proofErr w:type="spellEnd"/>
      <w:r w:rsidRPr="00102E0D">
        <w:rPr>
          <w:rFonts w:hint="cs"/>
          <w:rtl/>
        </w:rPr>
        <w:t xml:space="preserve"> לָהּ מִכְּתוּבָּתָהּ שִׁבְעָה </w:t>
      </w:r>
      <w:proofErr w:type="spellStart"/>
      <w:r w:rsidRPr="00102E0D">
        <w:rPr>
          <w:rFonts w:hint="cs"/>
          <w:rtl/>
        </w:rPr>
        <w:t>דִּינָרִין</w:t>
      </w:r>
      <w:proofErr w:type="spellEnd"/>
      <w:r w:rsidRPr="00102E0D">
        <w:rPr>
          <w:rFonts w:hint="cs"/>
          <w:rtl/>
        </w:rPr>
        <w:t xml:space="preserve"> בַּשַּׁבָּת.  רַבִּי יְהוּדָה אוֹמֵר: שִׁבְעָה </w:t>
      </w:r>
      <w:proofErr w:type="spellStart"/>
      <w:r w:rsidRPr="00102E0D">
        <w:rPr>
          <w:rFonts w:hint="cs"/>
          <w:rtl/>
        </w:rPr>
        <w:t>טַרְפְּעִיקִין</w:t>
      </w:r>
      <w:proofErr w:type="spellEnd"/>
      <w:r w:rsidRPr="00102E0D">
        <w:rPr>
          <w:rFonts w:hint="cs"/>
          <w:rtl/>
        </w:rPr>
        <w:t xml:space="preserve">. עַד מָתַי הוּא פּוֹחֵת- עַד כְּנֶגֶד כְּתוּבָּתָהּ. רַבִּי יוֹסֵי אוֹמֵר: לְעוֹלָם הוּא פּוֹחֵת וְהוֹלֵךְ, עַד שֶׁאִם </w:t>
      </w:r>
      <w:proofErr w:type="spellStart"/>
      <w:r w:rsidRPr="00102E0D">
        <w:rPr>
          <w:rFonts w:hint="cs"/>
          <w:rtl/>
        </w:rPr>
        <w:t>תִּפּוֹל</w:t>
      </w:r>
      <w:proofErr w:type="spellEnd"/>
      <w:r w:rsidRPr="00102E0D">
        <w:rPr>
          <w:rFonts w:hint="cs"/>
          <w:rtl/>
        </w:rPr>
        <w:t xml:space="preserve"> לָהּ יְרוּשָּׁה מִמָּקוֹם אַחֵר, גּוֹבָה הֵימֶנָּה. וְכֵן, הַמּוֹרֵד עַל אִשְׁתּוֹ-  </w:t>
      </w:r>
      <w:proofErr w:type="spellStart"/>
      <w:r w:rsidRPr="00102E0D">
        <w:rPr>
          <w:rFonts w:hint="cs"/>
          <w:rtl/>
        </w:rPr>
        <w:t>מוֹסִיפִין</w:t>
      </w:r>
      <w:proofErr w:type="spellEnd"/>
      <w:r w:rsidRPr="00102E0D">
        <w:rPr>
          <w:rFonts w:hint="cs"/>
          <w:rtl/>
        </w:rPr>
        <w:t xml:space="preserve"> עַל כְּתוּבָּתָהּ שְׁלֹשָׁה </w:t>
      </w:r>
      <w:proofErr w:type="spellStart"/>
      <w:r w:rsidRPr="00102E0D">
        <w:rPr>
          <w:rFonts w:hint="cs"/>
          <w:rtl/>
        </w:rPr>
        <w:t>דִּינָרִין</w:t>
      </w:r>
      <w:proofErr w:type="spellEnd"/>
      <w:r w:rsidRPr="00102E0D">
        <w:rPr>
          <w:rFonts w:hint="cs"/>
          <w:rtl/>
        </w:rPr>
        <w:t xml:space="preserve"> בְּשַׁבָּת. רַבִּי יְהוּדָה אוֹמֵר: שְׁלֹשָׁה </w:t>
      </w:r>
      <w:proofErr w:type="spellStart"/>
      <w:r w:rsidRPr="00102E0D">
        <w:rPr>
          <w:rFonts w:hint="cs"/>
          <w:rtl/>
        </w:rPr>
        <w:t>טַרְפְּעִיקִין</w:t>
      </w:r>
      <w:proofErr w:type="spellEnd"/>
      <w:r w:rsidRPr="00102E0D">
        <w:rPr>
          <w:rFonts w:hint="cs"/>
          <w:rtl/>
        </w:rPr>
        <w:t>.</w:t>
      </w:r>
      <w:r w:rsidR="00067BA6">
        <w:rPr>
          <w:rStyle w:val="FootnoteReference"/>
          <w:rtl/>
        </w:rPr>
        <w:footnoteReference w:id="1"/>
      </w:r>
    </w:p>
    <w:p w14:paraId="0D7B349C" w14:textId="77777777" w:rsidR="00102E0D" w:rsidRPr="00102E0D" w:rsidRDefault="00102E0D" w:rsidP="00102E0D">
      <w:pPr>
        <w:ind w:firstLine="0"/>
        <w:rPr>
          <w:b/>
          <w:bCs/>
          <w:rtl/>
        </w:rPr>
      </w:pPr>
      <w:r w:rsidRPr="00102E0D">
        <w:rPr>
          <w:rFonts w:hint="cs"/>
          <w:rtl/>
        </w:rPr>
        <w:t xml:space="preserve">כפי שניתן לראות, המשנה עוסקת בדין ״מורדת״ - אישה המסרבת לקיים את חובותיה האישות כלפי בעלה, וקובעת מנגנון של סנקציה ממונית הדרגתית: הפחתה שבועית מסכום הכתובה. בנוסף, מזכירה המשנה גם את דין “מורד” - בעל המסרב לחובותיו כלפי אשתו, אשר לגביו נקבע מנגנון הפוך של תוספת לכתובה. כבר מן המשנה עולה מערכת דינים שאינה מובנת מאליה: מהי הגדרת המרידה, על איזה תחום </w:t>
      </w:r>
      <w:proofErr w:type="spellStart"/>
      <w:r w:rsidRPr="00102E0D">
        <w:rPr>
          <w:rFonts w:hint="cs"/>
          <w:rtl/>
        </w:rPr>
        <w:t>מחיי</w:t>
      </w:r>
      <w:proofErr w:type="spellEnd"/>
      <w:r w:rsidRPr="00102E0D">
        <w:rPr>
          <w:rFonts w:hint="cs"/>
          <w:rtl/>
        </w:rPr>
        <w:t xml:space="preserve"> הנישואין היא חלה, ומה טיבה של הסנקציה הכספית- האם היא קנס עונש ממוני עקב אי קיום החובות או שמא ישנה משמעות נוספת.</w:t>
      </w:r>
    </w:p>
    <w:p w14:paraId="4A9DF500" w14:textId="1040944F" w:rsidR="00102E0D" w:rsidRPr="00102E0D" w:rsidRDefault="00102E0D" w:rsidP="00102E0D">
      <w:pPr>
        <w:rPr>
          <w:b/>
          <w:bCs/>
          <w:rtl/>
        </w:rPr>
      </w:pPr>
      <w:r w:rsidRPr="00102E0D">
        <w:rPr>
          <w:rFonts w:hint="cs"/>
          <w:rtl/>
        </w:rPr>
        <w:t>סוגיית הבבלי</w:t>
      </w:r>
      <w:r w:rsidR="00BD0A43">
        <w:rPr>
          <w:rStyle w:val="FootnoteReference"/>
          <w:rtl/>
        </w:rPr>
        <w:footnoteReference w:id="2"/>
      </w:r>
      <w:r w:rsidRPr="00102E0D">
        <w:rPr>
          <w:rFonts w:hint="cs"/>
          <w:rtl/>
        </w:rPr>
        <w:t>, מרחיבה וחוקרת לעומק את דיני המשנה: היא דנה בהגדרת המרידה - תשמיש או מלאכה</w:t>
      </w:r>
      <w:r w:rsidR="003A2676">
        <w:rPr>
          <w:rStyle w:val="FootnoteReference"/>
          <w:rtl/>
        </w:rPr>
        <w:footnoteReference w:id="3"/>
      </w:r>
      <w:r w:rsidRPr="00102E0D">
        <w:rPr>
          <w:rFonts w:hint="cs"/>
          <w:rtl/>
        </w:rPr>
        <w:t>, מתארת מעבר מתקנת הפחתה שבועית להליך של הכרזה והתראה, מבחינה בין סוגי טענות של האישה (“</w:t>
      </w:r>
      <w:proofErr w:type="spellStart"/>
      <w:r w:rsidRPr="00102E0D">
        <w:rPr>
          <w:rFonts w:hint="cs"/>
          <w:rtl/>
        </w:rPr>
        <w:t>בעינא</w:t>
      </w:r>
      <w:proofErr w:type="spellEnd"/>
      <w:r w:rsidRPr="00102E0D">
        <w:rPr>
          <w:rFonts w:hint="cs"/>
          <w:rtl/>
        </w:rPr>
        <w:t xml:space="preserve"> ליה” לעומת “</w:t>
      </w:r>
      <w:proofErr w:type="spellStart"/>
      <w:r w:rsidRPr="00102E0D">
        <w:rPr>
          <w:rFonts w:hint="cs"/>
          <w:rtl/>
        </w:rPr>
        <w:t>מאיס</w:t>
      </w:r>
      <w:proofErr w:type="spellEnd"/>
      <w:r w:rsidRPr="00102E0D">
        <w:rPr>
          <w:rFonts w:hint="cs"/>
          <w:rtl/>
        </w:rPr>
        <w:t xml:space="preserve"> </w:t>
      </w:r>
      <w:r w:rsidRPr="00102E0D">
        <w:rPr>
          <w:rFonts w:hint="cs"/>
          <w:rtl/>
        </w:rPr>
        <w:lastRenderedPageBreak/>
        <w:t>עלי”)</w:t>
      </w:r>
      <w:r w:rsidR="0028519C">
        <w:rPr>
          <w:rStyle w:val="FootnoteReference"/>
          <w:rtl/>
        </w:rPr>
        <w:footnoteReference w:id="4"/>
      </w:r>
      <w:r w:rsidRPr="00102E0D">
        <w:rPr>
          <w:rFonts w:hint="cs"/>
          <w:rtl/>
        </w:rPr>
        <w:t>, ומבררת את פרטי ההליך המשפטי של הכרזת מורדת. מתוך עיון במהלך הסוגייה נוכל להבחין האם מדובר רק בדין ממוני נקודתי או שמא במנגנון הלכתי שמטרתו להסדיר משבר במערכת האישות.</w:t>
      </w:r>
    </w:p>
    <w:p w14:paraId="28CCE0E9" w14:textId="77777777" w:rsidR="00102E0D" w:rsidRPr="00102E0D" w:rsidRDefault="00102E0D" w:rsidP="00102E0D">
      <w:pPr>
        <w:rPr>
          <w:b/>
          <w:bCs/>
          <w:rtl/>
        </w:rPr>
      </w:pPr>
      <w:r w:rsidRPr="00102E0D">
        <w:rPr>
          <w:rFonts w:hint="cs"/>
          <w:rtl/>
        </w:rPr>
        <w:t>במאמר זה אבקש לעיין במהלך הסוגייה מראשיתה ועד סופה: תחילה בהצגת פשט מהלך הסוגייה ודיניה, לאחר מכן בהצגת מוקדי הקושי העולים ממנה, ומתוכם בבירור יסוד דין ״מורדת״- האם עניינו מנגנון להשבת חיי האישות, או שמא השלכות ממוניות עקב פגיעה בקשר הזוגי.</w:t>
      </w:r>
    </w:p>
    <w:p w14:paraId="56DD114D" w14:textId="77777777" w:rsidR="00102E0D" w:rsidRPr="00102E0D" w:rsidRDefault="00102E0D" w:rsidP="00E27E6E">
      <w:pPr>
        <w:pStyle w:val="Heading2"/>
        <w:rPr>
          <w:rtl/>
        </w:rPr>
      </w:pPr>
      <w:r w:rsidRPr="00102E0D">
        <w:rPr>
          <w:rFonts w:hint="cs"/>
          <w:rtl/>
        </w:rPr>
        <w:t> פשט מהלך הסוגייה</w:t>
      </w:r>
    </w:p>
    <w:p w14:paraId="79ED9BD3" w14:textId="77777777" w:rsidR="00102E0D" w:rsidRPr="00102E0D" w:rsidRDefault="00102E0D" w:rsidP="001F3A80">
      <w:pPr>
        <w:ind w:firstLine="0"/>
        <w:rPr>
          <w:b/>
          <w:bCs/>
          <w:rtl/>
        </w:rPr>
      </w:pPr>
      <w:r w:rsidRPr="00102E0D">
        <w:rPr>
          <w:rFonts w:hint="cs"/>
          <w:rtl/>
        </w:rPr>
        <w:t xml:space="preserve">הגמרא פותחת בבירור יסודי של לשון המשנה ושואלת: מהי אותה “מרידה” שעליה מדובר. בזה נחלקו האמוראים: לדעת רב </w:t>
      </w:r>
      <w:proofErr w:type="spellStart"/>
      <w:r w:rsidRPr="00102E0D">
        <w:rPr>
          <w:rFonts w:hint="cs"/>
          <w:rtl/>
        </w:rPr>
        <w:t>הונא</w:t>
      </w:r>
      <w:proofErr w:type="spellEnd"/>
      <w:r w:rsidRPr="00102E0D">
        <w:rPr>
          <w:rFonts w:hint="cs"/>
          <w:rtl/>
        </w:rPr>
        <w:t xml:space="preserve">- מורדת מתשמיש, ולדעת רבי יוסי בר </w:t>
      </w:r>
      <w:proofErr w:type="spellStart"/>
      <w:r w:rsidRPr="00102E0D">
        <w:rPr>
          <w:rFonts w:hint="cs"/>
          <w:rtl/>
        </w:rPr>
        <w:t>חנינא</w:t>
      </w:r>
      <w:proofErr w:type="spellEnd"/>
      <w:r w:rsidRPr="00102E0D">
        <w:rPr>
          <w:rFonts w:hint="cs"/>
          <w:rtl/>
        </w:rPr>
        <w:t>- מורדת ממלאכה. </w:t>
      </w:r>
    </w:p>
    <w:p w14:paraId="2B7FDA3A" w14:textId="64949113" w:rsidR="00102E0D" w:rsidRPr="00102E0D" w:rsidRDefault="00102E0D" w:rsidP="00102E0D">
      <w:pPr>
        <w:rPr>
          <w:b/>
          <w:bCs/>
          <w:rtl/>
        </w:rPr>
      </w:pPr>
      <w:r w:rsidRPr="00102E0D">
        <w:rPr>
          <w:rFonts w:hint="cs"/>
          <w:rtl/>
        </w:rPr>
        <w:t>מלאכות בהקשר זה הן החובות שאינם "בינו לבינה" המוטלות על האישה בזוגיות, העיקריות שבהן הן תחזוקת הבית ועשייה בצמר</w:t>
      </w:r>
      <w:r w:rsidR="00805565">
        <w:rPr>
          <w:rStyle w:val="FootnoteReference"/>
          <w:rtl/>
        </w:rPr>
        <w:footnoteReference w:id="5"/>
      </w:r>
      <w:r w:rsidRPr="00102E0D">
        <w:rPr>
          <w:rFonts w:hint="cs"/>
          <w:rtl/>
        </w:rPr>
        <w:t>. במהלך הדיון מצמצמת הגמרא את תחום המחלוקת ומבארת שמרידה מתשמיש נחשבת בוודאי מרידה, והשאלה היא האם גם הימנעות ממלאכות אשר חייבת בהן האישה לבעלה נכללת בדין זה.</w:t>
      </w:r>
    </w:p>
    <w:p w14:paraId="62E39E30" w14:textId="77777777" w:rsidR="00102E0D" w:rsidRPr="00102E0D" w:rsidRDefault="00102E0D" w:rsidP="00102E0D">
      <w:pPr>
        <w:rPr>
          <w:b/>
          <w:bCs/>
          <w:rtl/>
        </w:rPr>
      </w:pPr>
      <w:r w:rsidRPr="00102E0D">
        <w:rPr>
          <w:rFonts w:hint="cs"/>
          <w:rtl/>
        </w:rPr>
        <w:t>לאחר בירור ההגדרה עוברת הסוגייה לשלב התקנות, ומביאה ברייתא שלפיה חכמים שינו את מנגנון הדין המופיע במשנה. במקום הפחתה שבועית קבועה מן הכתובה, תיקנו הליך של הכרזה פומבית על האישה כמורדת במשך ארבע שבתות רצופות, תוך שליחת התראה מבית דין. אם לאחר שלבים אלו אינה חוזרת בה- מפסידה את כתובתה. הגמרא דנה בפרטי יישום תקנה זו ובסדר פעולות בית הדין.</w:t>
      </w:r>
    </w:p>
    <w:p w14:paraId="51387D57" w14:textId="77777777" w:rsidR="00102E0D" w:rsidRPr="00102E0D" w:rsidRDefault="00102E0D" w:rsidP="00102E0D">
      <w:pPr>
        <w:rPr>
          <w:b/>
          <w:bCs/>
          <w:rtl/>
        </w:rPr>
      </w:pPr>
      <w:r w:rsidRPr="00102E0D">
        <w:rPr>
          <w:rFonts w:hint="cs"/>
          <w:rtl/>
        </w:rPr>
        <w:t>בהמשך מבחינה הסוגייה בין נוסחי טענה שונים של האישה: כאשר היא אומרת “</w:t>
      </w:r>
      <w:proofErr w:type="spellStart"/>
      <w:r w:rsidRPr="00102E0D">
        <w:rPr>
          <w:rFonts w:hint="cs"/>
          <w:rtl/>
        </w:rPr>
        <w:t>בעינא</w:t>
      </w:r>
      <w:proofErr w:type="spellEnd"/>
      <w:r w:rsidRPr="00102E0D">
        <w:rPr>
          <w:rFonts w:hint="cs"/>
          <w:rtl/>
        </w:rPr>
        <w:t xml:space="preserve"> ליה </w:t>
      </w:r>
      <w:proofErr w:type="spellStart"/>
      <w:r w:rsidRPr="00102E0D">
        <w:rPr>
          <w:rFonts w:hint="cs"/>
          <w:rtl/>
        </w:rPr>
        <w:t>ומצערנא</w:t>
      </w:r>
      <w:proofErr w:type="spellEnd"/>
      <w:r w:rsidRPr="00102E0D">
        <w:rPr>
          <w:rFonts w:hint="cs"/>
          <w:rtl/>
        </w:rPr>
        <w:t xml:space="preserve"> ליה”, כלומר- ״רצוני בו אלא שאני מבקשת לצערו״- דינה כמורדת גמורה. אולם כאשר היא אומרת “</w:t>
      </w:r>
      <w:proofErr w:type="spellStart"/>
      <w:r w:rsidRPr="00102E0D">
        <w:rPr>
          <w:rFonts w:hint="cs"/>
          <w:rtl/>
        </w:rPr>
        <w:t>מאיס</w:t>
      </w:r>
      <w:proofErr w:type="spellEnd"/>
      <w:r w:rsidRPr="00102E0D">
        <w:rPr>
          <w:rFonts w:hint="cs"/>
          <w:rtl/>
        </w:rPr>
        <w:t xml:space="preserve"> עלי”, לדעת </w:t>
      </w:r>
      <w:proofErr w:type="spellStart"/>
      <w:r w:rsidRPr="00102E0D">
        <w:rPr>
          <w:rFonts w:hint="cs"/>
          <w:rtl/>
        </w:rPr>
        <w:t>אמימר</w:t>
      </w:r>
      <w:proofErr w:type="spellEnd"/>
      <w:r w:rsidRPr="00102E0D">
        <w:rPr>
          <w:rFonts w:hint="cs"/>
          <w:rtl/>
        </w:rPr>
        <w:t xml:space="preserve"> אין דנים אותה בדיני מורדת הרגילים אלא יוצאת בלא כתובה, ואילו לדעת מר </w:t>
      </w:r>
      <w:proofErr w:type="spellStart"/>
      <w:r w:rsidRPr="00102E0D">
        <w:rPr>
          <w:rFonts w:hint="cs"/>
          <w:rtl/>
        </w:rPr>
        <w:t>זוטרא</w:t>
      </w:r>
      <w:proofErr w:type="spellEnd"/>
      <w:r w:rsidRPr="00102E0D">
        <w:rPr>
          <w:rFonts w:hint="cs"/>
          <w:rtl/>
        </w:rPr>
        <w:t xml:space="preserve"> גם במקרה זה נידונה כמורדת וחלים עליה דיני ההכרזה וההפסד.</w:t>
      </w:r>
    </w:p>
    <w:p w14:paraId="7F2D4DA4" w14:textId="77777777" w:rsidR="00102E0D" w:rsidRPr="00102E0D" w:rsidRDefault="00102E0D" w:rsidP="00102E0D">
      <w:pPr>
        <w:rPr>
          <w:b/>
          <w:bCs/>
          <w:rtl/>
        </w:rPr>
      </w:pPr>
      <w:r w:rsidRPr="00102E0D">
        <w:rPr>
          <w:rFonts w:hint="cs"/>
          <w:rtl/>
        </w:rPr>
        <w:t xml:space="preserve">הסוגייה מוסיפה לברר פרטים מעשיים בהליך- כתיבת איגרת מרד, זמני </w:t>
      </w:r>
      <w:r w:rsidRPr="00102E0D">
        <w:rPr>
          <w:rFonts w:hint="cs"/>
          <w:rtl/>
        </w:rPr>
        <w:lastRenderedPageBreak/>
        <w:t>הכתיבה, והחילוק בין אישה נשואה לבין ארוסה ושומרת יבם לעניין תחולת הדינים.</w:t>
      </w:r>
    </w:p>
    <w:p w14:paraId="08088105" w14:textId="77777777" w:rsidR="00102E0D" w:rsidRPr="00102E0D" w:rsidRDefault="00102E0D" w:rsidP="00102E0D">
      <w:pPr>
        <w:rPr>
          <w:b/>
          <w:bCs/>
          <w:rtl/>
        </w:rPr>
      </w:pPr>
      <w:r w:rsidRPr="00102E0D">
        <w:rPr>
          <w:rFonts w:hint="cs"/>
          <w:rtl/>
        </w:rPr>
        <w:t>לבסוף חוזרת הגמרא לדין “מורד”- בעל המורד באשתו, ודנה בפרטי התוספת לכתובה המוזכרת במשנה: שיעורה המדויק, סוג המטבע והבדלים עקרוניים בין מנגנון התוספת, למנגנון ההפחתה שבמורדת.</w:t>
      </w:r>
    </w:p>
    <w:p w14:paraId="494A5AC8" w14:textId="77777777" w:rsidR="00102E0D" w:rsidRPr="00102E0D" w:rsidRDefault="00102E0D" w:rsidP="000A141E">
      <w:pPr>
        <w:pStyle w:val="Heading2"/>
        <w:rPr>
          <w:rtl/>
        </w:rPr>
      </w:pPr>
      <w:r w:rsidRPr="00102E0D">
        <w:rPr>
          <w:rFonts w:hint="cs"/>
          <w:rtl/>
        </w:rPr>
        <w:t>נקודות קושי </w:t>
      </w:r>
    </w:p>
    <w:p w14:paraId="44898CD0" w14:textId="77777777" w:rsidR="00102E0D" w:rsidRPr="00102E0D" w:rsidRDefault="00102E0D" w:rsidP="000A141E">
      <w:pPr>
        <w:ind w:firstLine="0"/>
        <w:rPr>
          <w:rtl/>
        </w:rPr>
      </w:pPr>
      <w:r w:rsidRPr="00102E0D">
        <w:rPr>
          <w:rFonts w:hint="cs"/>
          <w:rtl/>
        </w:rPr>
        <w:t>מתוך עיון במהלך הסוגייה עולות מספר נקודות שאינן מבוארות בפשטות ודורשות בירור עיוני. ראשית, יש לעיין בהגדרת עצם המרידה. הגמרא מעלה אפשרות שמרידה ממלאכה תיחשב גם היא או רק היא כמרידה. יש לברר מהי מרידה ומהן סברותיהם של כל אחד מן הצדדים במחלוקת. שנית, מנגנון הדין עצמו מעורר שאלה: במשנה נקבעה הפחתה הדרגתית מן הכתובה, ואילו בתקנת חכמים הוחלף הדבר בהליך של הכרזות והתראות. יש לברר מה טיבו של שינוי זה- האם מדובר בהחמרה, בהקלה, או בשינוי מהותי באופי הדין ומדוע נצרכה מערכת שלמה של הכרזה ציבורית.</w:t>
      </w:r>
    </w:p>
    <w:p w14:paraId="6BEBDF73" w14:textId="77777777" w:rsidR="00102E0D" w:rsidRPr="00102E0D" w:rsidRDefault="00102E0D" w:rsidP="00102E0D">
      <w:pPr>
        <w:rPr>
          <w:rtl/>
        </w:rPr>
      </w:pPr>
      <w:r w:rsidRPr="00102E0D">
        <w:rPr>
          <w:rFonts w:hint="cs"/>
          <w:rtl/>
        </w:rPr>
        <w:t>עוד יש לעיין בהבחנת הגמרא בין טענת “</w:t>
      </w:r>
      <w:proofErr w:type="spellStart"/>
      <w:r w:rsidRPr="00102E0D">
        <w:rPr>
          <w:rFonts w:hint="cs"/>
          <w:rtl/>
        </w:rPr>
        <w:t>בעינא</w:t>
      </w:r>
      <w:proofErr w:type="spellEnd"/>
      <w:r w:rsidRPr="00102E0D">
        <w:rPr>
          <w:rFonts w:hint="cs"/>
          <w:rtl/>
        </w:rPr>
        <w:t xml:space="preserve"> ליה </w:t>
      </w:r>
      <w:proofErr w:type="spellStart"/>
      <w:r w:rsidRPr="00102E0D">
        <w:rPr>
          <w:rFonts w:hint="cs"/>
          <w:rtl/>
        </w:rPr>
        <w:t>ומצערנא</w:t>
      </w:r>
      <w:proofErr w:type="spellEnd"/>
      <w:r w:rsidRPr="00102E0D">
        <w:rPr>
          <w:rFonts w:hint="cs"/>
          <w:rtl/>
        </w:rPr>
        <w:t xml:space="preserve"> ליה” לבין “</w:t>
      </w:r>
      <w:proofErr w:type="spellStart"/>
      <w:r w:rsidRPr="00102E0D">
        <w:rPr>
          <w:rFonts w:hint="cs"/>
          <w:rtl/>
        </w:rPr>
        <w:t>מאיס</w:t>
      </w:r>
      <w:proofErr w:type="spellEnd"/>
      <w:r w:rsidRPr="00102E0D">
        <w:rPr>
          <w:rFonts w:hint="cs"/>
          <w:rtl/>
        </w:rPr>
        <w:t xml:space="preserve"> עלי”. החילוק ביניהן גורר תוצאות שונות בדין, ויש לברר האם ההבדל נוגע לכוונת האישה, לאפשרות תיקון הקשר, או להגדרת עצם המרידה. בנוסף, הסוגייה מבחינה בין מורדת לבין מורד- הן בשיעור החיוב והן במנגנון ההפעלה. הבדל זה טעון בירור: אם מדובר בהפרת חיובי אישות הדדיים, מדוע אין מבנה הדין סימטרי. </w:t>
      </w:r>
    </w:p>
    <w:p w14:paraId="52E84174" w14:textId="77777777" w:rsidR="00102E0D" w:rsidRPr="00102E0D" w:rsidRDefault="00102E0D" w:rsidP="00102E0D">
      <w:pPr>
        <w:rPr>
          <w:rtl/>
        </w:rPr>
      </w:pPr>
      <w:r w:rsidRPr="00102E0D">
        <w:rPr>
          <w:rFonts w:hint="cs"/>
          <w:rtl/>
        </w:rPr>
        <w:t>נקודות אלו יכולות להצביע לנו שאין דין מורדת רק קנס ממוני פשוט, אלא מנגנון מורכב שיש לברר את יסודו. </w:t>
      </w:r>
    </w:p>
    <w:p w14:paraId="3323D097" w14:textId="77777777" w:rsidR="00102E0D" w:rsidRPr="00102E0D" w:rsidRDefault="00102E0D" w:rsidP="0094148D">
      <w:pPr>
        <w:pStyle w:val="Heading2"/>
        <w:rPr>
          <w:rtl/>
        </w:rPr>
      </w:pPr>
      <w:r w:rsidRPr="00102E0D">
        <w:rPr>
          <w:rFonts w:hint="cs"/>
          <w:rtl/>
        </w:rPr>
        <w:t>מחלוקת בהגדרת המרידה </w:t>
      </w:r>
    </w:p>
    <w:p w14:paraId="0005F558" w14:textId="0AF7971E" w:rsidR="00102E0D" w:rsidRPr="00102E0D" w:rsidRDefault="00102E0D" w:rsidP="0094148D">
      <w:pPr>
        <w:pStyle w:val="Quote"/>
        <w:rPr>
          <w:rtl/>
        </w:rPr>
      </w:pPr>
      <w:r w:rsidRPr="00102E0D">
        <w:rPr>
          <w:rFonts w:hint="cs"/>
          <w:rtl/>
        </w:rPr>
        <w:t xml:space="preserve">מוֹרֶדֶת מִמַּאי? רַב </w:t>
      </w:r>
      <w:proofErr w:type="spellStart"/>
      <w:r w:rsidRPr="00102E0D">
        <w:rPr>
          <w:rFonts w:hint="cs"/>
          <w:rtl/>
        </w:rPr>
        <w:t>הוּנָא</w:t>
      </w:r>
      <w:proofErr w:type="spellEnd"/>
      <w:r w:rsidRPr="00102E0D">
        <w:rPr>
          <w:rFonts w:hint="cs"/>
          <w:rtl/>
        </w:rPr>
        <w:t xml:space="preserve"> אָמַר: מִתַּשְׁמִישׁ הַמִּטָּה. רַבִּי יוֹסֵי בְּרַבִּי </w:t>
      </w:r>
      <w:proofErr w:type="spellStart"/>
      <w:r w:rsidRPr="00102E0D">
        <w:rPr>
          <w:rFonts w:hint="cs"/>
          <w:rtl/>
        </w:rPr>
        <w:t>חֲנִינָא</w:t>
      </w:r>
      <w:proofErr w:type="spellEnd"/>
      <w:r w:rsidRPr="00102E0D">
        <w:rPr>
          <w:rFonts w:hint="cs"/>
          <w:rtl/>
        </w:rPr>
        <w:t xml:space="preserve"> אָמַר: מִמְּלָאכָה…</w:t>
      </w:r>
      <w:r w:rsidR="00297452">
        <w:rPr>
          <w:rStyle w:val="FootnoteReference"/>
          <w:rtl/>
        </w:rPr>
        <w:footnoteReference w:id="6"/>
      </w:r>
    </w:p>
    <w:p w14:paraId="7FA1E531" w14:textId="77777777" w:rsidR="00102E0D" w:rsidRPr="00102E0D" w:rsidRDefault="00102E0D" w:rsidP="0094148D">
      <w:pPr>
        <w:ind w:firstLine="0"/>
        <w:rPr>
          <w:rtl/>
        </w:rPr>
      </w:pPr>
      <w:r w:rsidRPr="00102E0D">
        <w:rPr>
          <w:rFonts w:hint="cs"/>
          <w:rtl/>
        </w:rPr>
        <w:t xml:space="preserve">הגמרא פותחת את הדיון בדין מורדת בבירור עצם הגדרת המרידה. בזה נחלקו </w:t>
      </w:r>
      <w:r w:rsidRPr="00102E0D">
        <w:rPr>
          <w:rFonts w:hint="cs"/>
          <w:rtl/>
        </w:rPr>
        <w:lastRenderedPageBreak/>
        <w:t xml:space="preserve">האמוראים: לדעת רב </w:t>
      </w:r>
      <w:proofErr w:type="spellStart"/>
      <w:r w:rsidRPr="00102E0D">
        <w:rPr>
          <w:rFonts w:hint="cs"/>
          <w:rtl/>
        </w:rPr>
        <w:t>הונא</w:t>
      </w:r>
      <w:proofErr w:type="spellEnd"/>
      <w:r w:rsidRPr="00102E0D">
        <w:rPr>
          <w:rFonts w:hint="cs"/>
          <w:rtl/>
        </w:rPr>
        <w:t xml:space="preserve"> מרידה היא הימנעות מתשמיש, ואילו לדעת רבי יוסי בר </w:t>
      </w:r>
      <w:proofErr w:type="spellStart"/>
      <w:r w:rsidRPr="00102E0D">
        <w:rPr>
          <w:rFonts w:hint="cs"/>
          <w:rtl/>
        </w:rPr>
        <w:t>חנינא</w:t>
      </w:r>
      <w:proofErr w:type="spellEnd"/>
      <w:r w:rsidRPr="00102E0D">
        <w:rPr>
          <w:rFonts w:hint="cs"/>
          <w:rtl/>
        </w:rPr>
        <w:t xml:space="preserve"> מרידה כוללת גם הימנעות ממלאכה. בהמשך הסוגייה מתברר שאין חולק שמניעת תשמיש נחשבת מרידה גמורה, ועיקר המחלוקת היא האם גם הפרת חיובי המלאכה של האישה כלפי בעלה נכנסת לגדר זה.</w:t>
      </w:r>
    </w:p>
    <w:p w14:paraId="00E279CC" w14:textId="6C1AA8ED" w:rsidR="00102E0D" w:rsidRPr="00102E0D" w:rsidRDefault="00102E0D" w:rsidP="00102E0D">
      <w:pPr>
        <w:rPr>
          <w:rtl/>
        </w:rPr>
      </w:pPr>
      <w:r w:rsidRPr="00102E0D">
        <w:rPr>
          <w:rFonts w:hint="cs"/>
          <w:rtl/>
        </w:rPr>
        <w:t>לשם בירור שיטה זו יש לעמוד תחילה על היקף מלאכות האישה. המשנה בפרק חמישי</w:t>
      </w:r>
      <w:r w:rsidR="004F56D4">
        <w:rPr>
          <w:rStyle w:val="FootnoteReference"/>
          <w:rtl/>
        </w:rPr>
        <w:footnoteReference w:id="7"/>
      </w:r>
      <w:r w:rsidRPr="00102E0D">
        <w:rPr>
          <w:rFonts w:hint="cs"/>
          <w:rtl/>
        </w:rPr>
        <w:t xml:space="preserve"> מונה את המלאכות שהאישה עושה לבעלה:</w:t>
      </w:r>
    </w:p>
    <w:p w14:paraId="0B67453A" w14:textId="74A695F3" w:rsidR="00102E0D" w:rsidRPr="00102E0D" w:rsidRDefault="00102E0D" w:rsidP="00202AEB">
      <w:pPr>
        <w:pStyle w:val="Quote"/>
        <w:rPr>
          <w:rtl/>
        </w:rPr>
      </w:pPr>
      <w:r w:rsidRPr="00102E0D">
        <w:rPr>
          <w:rFonts w:hint="cs"/>
          <w:rtl/>
        </w:rPr>
        <w:t xml:space="preserve"> וְאֵלּוּ מְלָאכוֹת </w:t>
      </w:r>
      <w:proofErr w:type="spellStart"/>
      <w:r w:rsidRPr="00102E0D">
        <w:rPr>
          <w:rFonts w:hint="cs"/>
          <w:rtl/>
        </w:rPr>
        <w:t>שֶׁהָאִשָּׁה</w:t>
      </w:r>
      <w:proofErr w:type="spellEnd"/>
      <w:r w:rsidRPr="00102E0D">
        <w:rPr>
          <w:rFonts w:hint="cs"/>
          <w:rtl/>
        </w:rPr>
        <w:t xml:space="preserve"> עוֹשָׂה לְבַעְלָהּ: טוֹחֶנֶת, וְאוֹפָה, וּמְכַבֶּסֶת, מְבַשֶּׁלֶת, וּמְנִיקָה אֶת בְּנָהּ, </w:t>
      </w:r>
      <w:proofErr w:type="spellStart"/>
      <w:r w:rsidRPr="00102E0D">
        <w:rPr>
          <w:rFonts w:hint="cs"/>
          <w:rtl/>
        </w:rPr>
        <w:t>מַצַּעַת</w:t>
      </w:r>
      <w:proofErr w:type="spellEnd"/>
      <w:r w:rsidRPr="00102E0D">
        <w:rPr>
          <w:rFonts w:hint="cs"/>
          <w:rtl/>
        </w:rPr>
        <w:t xml:space="preserve"> לוֹ הַמִּטָּה, וְעוֹשָׂה בַּצֶּמֶר.</w:t>
      </w:r>
    </w:p>
    <w:p w14:paraId="13D78BCE" w14:textId="4642F4F8" w:rsidR="00102E0D" w:rsidRPr="00102E0D" w:rsidRDefault="00102E0D" w:rsidP="00CF6525">
      <w:pPr>
        <w:ind w:firstLine="0"/>
        <w:rPr>
          <w:rtl/>
        </w:rPr>
      </w:pPr>
      <w:r w:rsidRPr="00102E0D">
        <w:rPr>
          <w:rFonts w:hint="cs"/>
          <w:rtl/>
        </w:rPr>
        <w:t>מלאכות אלו כאמור, מהוות את מסגרת החיובים הביתיים המוטלים עליה במסגרת הנישואין.</w:t>
      </w:r>
    </w:p>
    <w:p w14:paraId="4F1B129F" w14:textId="2375AEE8" w:rsidR="00102E0D" w:rsidRPr="00102E0D" w:rsidRDefault="00102E0D" w:rsidP="00102E0D">
      <w:pPr>
        <w:rPr>
          <w:rtl/>
        </w:rPr>
      </w:pPr>
      <w:r w:rsidRPr="00102E0D">
        <w:rPr>
          <w:rFonts w:hint="cs"/>
          <w:rtl/>
        </w:rPr>
        <w:t>התוספות</w:t>
      </w:r>
      <w:r w:rsidR="00FF5749">
        <w:rPr>
          <w:rStyle w:val="FootnoteReference"/>
          <w:rtl/>
        </w:rPr>
        <w:footnoteReference w:id="8"/>
      </w:r>
      <w:r w:rsidRPr="00102E0D">
        <w:rPr>
          <w:rFonts w:hint="cs"/>
          <w:rtl/>
        </w:rPr>
        <w:t xml:space="preserve"> </w:t>
      </w:r>
      <w:proofErr w:type="spellStart"/>
      <w:r w:rsidRPr="00102E0D">
        <w:rPr>
          <w:rFonts w:hint="cs"/>
          <w:rtl/>
        </w:rPr>
        <w:t>והרא״ש</w:t>
      </w:r>
      <w:proofErr w:type="spellEnd"/>
      <w:r w:rsidRPr="00102E0D">
        <w:rPr>
          <w:rFonts w:hint="cs"/>
          <w:rtl/>
        </w:rPr>
        <w:t xml:space="preserve"> מבארים את שיטתו של רב </w:t>
      </w:r>
      <w:proofErr w:type="spellStart"/>
      <w:r w:rsidRPr="00102E0D">
        <w:rPr>
          <w:rFonts w:hint="cs"/>
          <w:rtl/>
        </w:rPr>
        <w:t>הונא</w:t>
      </w:r>
      <w:proofErr w:type="spellEnd"/>
      <w:r w:rsidRPr="00102E0D">
        <w:rPr>
          <w:rFonts w:hint="cs"/>
          <w:rtl/>
        </w:rPr>
        <w:t xml:space="preserve"> אשר הולכת באותו קו של שיטתו במקום אחר</w:t>
      </w:r>
      <w:r w:rsidR="00E4645D">
        <w:rPr>
          <w:rStyle w:val="FootnoteReference"/>
          <w:rtl/>
        </w:rPr>
        <w:footnoteReference w:id="9"/>
      </w:r>
      <w:r w:rsidRPr="00102E0D">
        <w:rPr>
          <w:rFonts w:hint="cs"/>
          <w:rtl/>
        </w:rPr>
        <w:t xml:space="preserve">, הסובר שאישה רשאית לומר “איני </w:t>
      </w:r>
      <w:proofErr w:type="spellStart"/>
      <w:r w:rsidRPr="00102E0D">
        <w:rPr>
          <w:rFonts w:hint="cs"/>
          <w:rtl/>
        </w:rPr>
        <w:t>ניזונת</w:t>
      </w:r>
      <w:proofErr w:type="spellEnd"/>
      <w:r w:rsidRPr="00102E0D">
        <w:rPr>
          <w:rFonts w:hint="cs"/>
          <w:rtl/>
        </w:rPr>
        <w:t xml:space="preserve"> ואיני עושה”, כלומר- לפטור עצמה ממלאכה על ידי ויתור על מזונותיה. לפי זה מובן מדוע אי-עשיית מלאכה אינה נחשבת מרידה, שהרי מדובר בזכות הנתונה לה. לפי הסבר זה, דעת רבי יוסי בר </w:t>
      </w:r>
      <w:proofErr w:type="spellStart"/>
      <w:r w:rsidRPr="00102E0D">
        <w:rPr>
          <w:rFonts w:hint="cs"/>
          <w:rtl/>
        </w:rPr>
        <w:t>חנינא</w:t>
      </w:r>
      <w:proofErr w:type="spellEnd"/>
      <w:r w:rsidRPr="00102E0D">
        <w:rPr>
          <w:rFonts w:hint="cs"/>
          <w:rtl/>
        </w:rPr>
        <w:t xml:space="preserve"> תתיישב עם השיטה החולקת הסוברת שאין האישה יכולה להיפטר מחיובי המלאכה.</w:t>
      </w:r>
    </w:p>
    <w:p w14:paraId="5CA64978" w14:textId="77777777" w:rsidR="00102E0D" w:rsidRPr="00102E0D" w:rsidRDefault="00102E0D" w:rsidP="00102E0D">
      <w:pPr>
        <w:rPr>
          <w:rtl/>
        </w:rPr>
      </w:pPr>
      <w:r w:rsidRPr="00102E0D">
        <w:rPr>
          <w:rFonts w:hint="cs"/>
          <w:rtl/>
        </w:rPr>
        <w:t xml:space="preserve">עם זאת, בראשונים מצויה גם דרך אחרת בהבנת שיטת רבי יוסי. יש מן המפרשים הסוברים שאין הכרח לקשור את מחלוקתו לשאלת “איני </w:t>
      </w:r>
      <w:proofErr w:type="spellStart"/>
      <w:r w:rsidRPr="00102E0D">
        <w:rPr>
          <w:rFonts w:hint="cs"/>
          <w:rtl/>
        </w:rPr>
        <w:t>ניזונת</w:t>
      </w:r>
      <w:proofErr w:type="spellEnd"/>
      <w:r w:rsidRPr="00102E0D">
        <w:rPr>
          <w:rFonts w:hint="cs"/>
          <w:rtl/>
        </w:rPr>
        <w:t xml:space="preserve"> ואיני עושה”, אלא שגם לשיטה זו עיקר כוונתו למלאכה מסוימת- ״עשייה בצמר״, הנחשבת מלאכה קצובה ועיקרית, שאינה תלויה בצרכי הבית המשתנים. לפי זה סובר רבי יוסי שבשאר מלאכות אין הימנעות מהן מגדירה מרידה גמורה.</w:t>
      </w:r>
    </w:p>
    <w:p w14:paraId="725D71BC" w14:textId="77777777" w:rsidR="00102E0D" w:rsidRPr="00102E0D" w:rsidRDefault="00102E0D" w:rsidP="00102E0D">
      <w:pPr>
        <w:rPr>
          <w:rtl/>
        </w:rPr>
      </w:pPr>
      <w:r w:rsidRPr="00102E0D">
        <w:rPr>
          <w:rFonts w:hint="cs"/>
          <w:rtl/>
        </w:rPr>
        <w:t>נמצא שמחלוקת האמוראים בהגדרת המרידה אינה רק טכנית, אלא תלויה בהבנת מעמד חיובי המלאכה במסגרת חיי הנישואין ובמידת זיקתם לעצם קשר האישות. </w:t>
      </w:r>
    </w:p>
    <w:p w14:paraId="05E11DC8" w14:textId="77777777" w:rsidR="00102E0D" w:rsidRPr="00102E0D" w:rsidRDefault="00102E0D" w:rsidP="001C59F2">
      <w:pPr>
        <w:pStyle w:val="Heading2"/>
        <w:rPr>
          <w:rtl/>
        </w:rPr>
      </w:pPr>
      <w:r w:rsidRPr="00102E0D">
        <w:rPr>
          <w:rFonts w:hint="cs"/>
          <w:rtl/>
        </w:rPr>
        <w:lastRenderedPageBreak/>
        <w:t>מהות תקנת ההכרזה במורדת </w:t>
      </w:r>
    </w:p>
    <w:p w14:paraId="28402519" w14:textId="4B6B1A00" w:rsidR="00102E0D" w:rsidRPr="00102E0D" w:rsidRDefault="00102E0D" w:rsidP="001C59F2">
      <w:pPr>
        <w:ind w:firstLine="0"/>
        <w:rPr>
          <w:rtl/>
        </w:rPr>
      </w:pPr>
      <w:r w:rsidRPr="00102E0D">
        <w:rPr>
          <w:rFonts w:hint="cs"/>
          <w:rtl/>
        </w:rPr>
        <w:t>אחד השלבים המרכזיים בסוגיית מורדת הוא תקנת חכמים המשנה את מנגנון הדין המופיע במשנה. בעוד שהמשנה קובעת הפחתה שבועית קבועה מן הכתובה, מביאה הגמרא ש"חזרו ונמנו"</w:t>
      </w:r>
      <w:r w:rsidR="008E29D5">
        <w:rPr>
          <w:rStyle w:val="FootnoteReference"/>
          <w:rtl/>
        </w:rPr>
        <w:footnoteReference w:id="10"/>
      </w:r>
      <w:r w:rsidRPr="00102E0D">
        <w:rPr>
          <w:rFonts w:hint="cs"/>
          <w:rtl/>
        </w:rPr>
        <w:t xml:space="preserve"> והתקינו הליך של הכרזה והתראה במשך ארבע שבתות</w:t>
      </w:r>
      <w:r w:rsidR="00524479">
        <w:rPr>
          <w:rStyle w:val="FootnoteReference"/>
          <w:rtl/>
        </w:rPr>
        <w:footnoteReference w:id="11"/>
      </w:r>
      <w:r w:rsidR="001C41E2">
        <w:rPr>
          <w:rFonts w:hint="cs"/>
          <w:rtl/>
        </w:rPr>
        <w:t>:</w:t>
      </w:r>
    </w:p>
    <w:p w14:paraId="3FDC06B3" w14:textId="6A3BFE11" w:rsidR="00102E0D" w:rsidRPr="00102E0D" w:rsidRDefault="00102E0D" w:rsidP="00987908">
      <w:pPr>
        <w:pStyle w:val="Quote"/>
        <w:rPr>
          <w:rtl/>
        </w:rPr>
      </w:pPr>
      <w:r w:rsidRPr="00102E0D">
        <w:rPr>
          <w:rFonts w:hint="cs"/>
          <w:rtl/>
        </w:rPr>
        <w:t xml:space="preserve">רַבּוֹתֵינוּ חָזְרוּ וְנִמְנוּ, </w:t>
      </w:r>
      <w:proofErr w:type="spellStart"/>
      <w:r w:rsidRPr="00102E0D">
        <w:rPr>
          <w:rFonts w:hint="cs"/>
          <w:rtl/>
        </w:rPr>
        <w:t>שֶׁיְּהו</w:t>
      </w:r>
      <w:proofErr w:type="spellEnd"/>
      <w:r w:rsidRPr="00102E0D">
        <w:rPr>
          <w:rFonts w:hint="cs"/>
          <w:rtl/>
        </w:rPr>
        <w:t xml:space="preserve">ּ </w:t>
      </w:r>
      <w:proofErr w:type="spellStart"/>
      <w:r w:rsidRPr="00102E0D">
        <w:rPr>
          <w:rFonts w:hint="cs"/>
          <w:rtl/>
        </w:rPr>
        <w:t>מַכְרִיזִין</w:t>
      </w:r>
      <w:proofErr w:type="spellEnd"/>
      <w:r w:rsidRPr="00102E0D">
        <w:rPr>
          <w:rFonts w:hint="cs"/>
          <w:rtl/>
        </w:rPr>
        <w:t xml:space="preserve"> עָלֶיהָ אַרְבַּע שַׁבָּתוֹת זוֹ אַחַר זוֹ, </w:t>
      </w:r>
      <w:proofErr w:type="spellStart"/>
      <w:r w:rsidRPr="00102E0D">
        <w:rPr>
          <w:rFonts w:hint="cs"/>
          <w:rtl/>
        </w:rPr>
        <w:t>וְשׁוֹלְחִין</w:t>
      </w:r>
      <w:proofErr w:type="spellEnd"/>
      <w:r w:rsidRPr="00102E0D">
        <w:rPr>
          <w:rFonts w:hint="cs"/>
          <w:rtl/>
        </w:rPr>
        <w:t xml:space="preserve"> לָהּ בֵּית דִּין: הֱוִי יוֹדַעַת שֶׁאֲפִילּוּ </w:t>
      </w:r>
      <w:proofErr w:type="spellStart"/>
      <w:r w:rsidRPr="00102E0D">
        <w:rPr>
          <w:rFonts w:hint="cs"/>
          <w:rtl/>
        </w:rPr>
        <w:t>כְּתוּבָּתִיך</w:t>
      </w:r>
      <w:proofErr w:type="spellEnd"/>
      <w:r w:rsidRPr="00102E0D">
        <w:rPr>
          <w:rFonts w:hint="cs"/>
          <w:rtl/>
        </w:rPr>
        <w:t>ְ מֵאָה מָנֶה הִפְסַדְתְּ.</w:t>
      </w:r>
      <w:r w:rsidR="003440CE">
        <w:rPr>
          <w:rStyle w:val="FootnoteReference"/>
          <w:rtl/>
        </w:rPr>
        <w:footnoteReference w:id="12"/>
      </w:r>
      <w:r w:rsidR="004740FA">
        <w:rPr>
          <w:rFonts w:hint="cs"/>
          <w:rtl/>
        </w:rPr>
        <w:t xml:space="preserve"> </w:t>
      </w:r>
      <w:r w:rsidR="004740FA">
        <w:rPr>
          <w:rStyle w:val="FootnoteReference"/>
          <w:rtl/>
        </w:rPr>
        <w:footnoteReference w:id="13"/>
      </w:r>
    </w:p>
    <w:p w14:paraId="76F9D9F7" w14:textId="77777777" w:rsidR="00102E0D" w:rsidRPr="00102E0D" w:rsidRDefault="00102E0D" w:rsidP="00C651DB">
      <w:pPr>
        <w:ind w:firstLine="0"/>
        <w:rPr>
          <w:rtl/>
        </w:rPr>
      </w:pPr>
      <w:r w:rsidRPr="00102E0D">
        <w:rPr>
          <w:rFonts w:hint="cs"/>
          <w:rtl/>
        </w:rPr>
        <w:t> שינוי זה אינו נראה כשינוי טכני בלבד, אלא כמהלך המגדיר מחדש את אופן ההתמודדות ההלכתי עם תופעת המרידה, ויש לעמוד על טעמו ואופיו. </w:t>
      </w:r>
    </w:p>
    <w:p w14:paraId="6A2BC9DF" w14:textId="5D30C5BD" w:rsidR="00102E0D" w:rsidRPr="00102E0D" w:rsidRDefault="00102E0D" w:rsidP="00102E0D">
      <w:pPr>
        <w:rPr>
          <w:rtl/>
        </w:rPr>
      </w:pPr>
      <w:r w:rsidRPr="00102E0D">
        <w:rPr>
          <w:rFonts w:hint="cs"/>
          <w:rtl/>
        </w:rPr>
        <w:t>מתוך לשון התקנה עולים כמה מאפיינים ייחודיים: ההליך נמשך על פני זמן, כולל הכרזה חוזרת ונשנית, ומשלב פנייה ישירה של בית הדין אל האישה (ההתראה</w:t>
      </w:r>
      <w:r w:rsidR="00B10777">
        <w:rPr>
          <w:rStyle w:val="FootnoteReference"/>
          <w:rtl/>
        </w:rPr>
        <w:footnoteReference w:id="14"/>
      </w:r>
      <w:r w:rsidRPr="00102E0D">
        <w:rPr>
          <w:rFonts w:hint="cs"/>
          <w:rtl/>
        </w:rPr>
        <w:t>). מרכיבים אלו מלמדים שאין מדובר בהטלת קנס מיידית, אלא בתהליך מדורג שמטרתו להביא לשינוי מצב- אם באמצעות לחץ ואם באמצעות בירור סופי של עמדתה.</w:t>
      </w:r>
    </w:p>
    <w:p w14:paraId="2CEC54A4" w14:textId="38846643" w:rsidR="00102E0D" w:rsidRPr="00102E0D" w:rsidRDefault="00102E0D" w:rsidP="00102E0D">
      <w:pPr>
        <w:rPr>
          <w:rtl/>
        </w:rPr>
      </w:pPr>
      <w:r w:rsidRPr="00102E0D">
        <w:rPr>
          <w:rFonts w:hint="cs"/>
          <w:rtl/>
        </w:rPr>
        <w:t>מטרה אפשרית אחת בגינה החליטו חכמים לשנות את תקנת המשנה היא כדי לחזק את הסיבות שבגללן תחליט האישה לחזור בעצמה. אצל הראשונים מופיעות שתי דרכים עיקריות להשגת מטרת זו -  הדרך הראשונה והמרכזית היא שההכרזה תיצור לחץ חברתי על האישה וכמו כן תחושת בושה אשר תגרום לה לחזור בעצמה. הדרך השנייה אותה מביא התוספות רי"ד</w:t>
      </w:r>
      <w:r w:rsidR="007F5EED">
        <w:rPr>
          <w:rStyle w:val="FootnoteReference"/>
          <w:rtl/>
        </w:rPr>
        <w:footnoteReference w:id="15"/>
      </w:r>
      <w:r w:rsidRPr="00102E0D">
        <w:rPr>
          <w:rFonts w:hint="cs"/>
          <w:rtl/>
        </w:rPr>
        <w:t xml:space="preserve"> היא שעל ידי ההכרזה ברבים השמועה תבוא לידי קרוביה ואולי הם ישכנעו אותה לחזור בה. מטרה זו </w:t>
      </w:r>
      <w:r w:rsidRPr="00102E0D">
        <w:rPr>
          <w:rFonts w:hint="cs"/>
          <w:rtl/>
        </w:rPr>
        <w:lastRenderedPageBreak/>
        <w:t xml:space="preserve">יכולה אולי להצביע לנו על יסוד מהותי: אין מטרת התקנה </w:t>
      </w:r>
      <w:proofErr w:type="spellStart"/>
      <w:r w:rsidRPr="00102E0D">
        <w:rPr>
          <w:rFonts w:hint="cs"/>
          <w:b/>
          <w:bCs/>
          <w:rtl/>
        </w:rPr>
        <w:t>ענישתית</w:t>
      </w:r>
      <w:proofErr w:type="spellEnd"/>
      <w:r w:rsidRPr="00102E0D">
        <w:rPr>
          <w:rFonts w:hint="cs"/>
          <w:rtl/>
        </w:rPr>
        <w:t xml:space="preserve"> על העבר, אלא </w:t>
      </w:r>
      <w:r w:rsidRPr="00102E0D">
        <w:rPr>
          <w:rFonts w:hint="cs"/>
          <w:b/>
          <w:bCs/>
          <w:rtl/>
        </w:rPr>
        <w:t>שיקומית</w:t>
      </w:r>
      <w:r w:rsidRPr="00102E0D">
        <w:rPr>
          <w:rFonts w:hint="cs"/>
          <w:rtl/>
        </w:rPr>
        <w:t xml:space="preserve"> כלפי העתיד- חכמים העדיפו את שימור הבית על פני הקנס הממוני. את מטרה זו ניתן לראות גם בהחלטה של חכמים לשנות את הדין מלהיות טכני אוטומטי (ואולי אף שולי יחסית) לדין אשר בית הדין עצמו לוקחים בו חלק נכבד.</w:t>
      </w:r>
    </w:p>
    <w:p w14:paraId="0177EF40" w14:textId="77777777" w:rsidR="00102E0D" w:rsidRPr="00102E0D" w:rsidRDefault="00102E0D" w:rsidP="00102E0D">
      <w:pPr>
        <w:rPr>
          <w:rtl/>
        </w:rPr>
      </w:pPr>
      <w:r w:rsidRPr="00102E0D">
        <w:rPr>
          <w:rFonts w:hint="cs"/>
          <w:rtl/>
        </w:rPr>
        <w:t xml:space="preserve">עם זאת ישנה </w:t>
      </w:r>
      <w:proofErr w:type="spellStart"/>
      <w:r w:rsidRPr="00102E0D">
        <w:rPr>
          <w:rFonts w:hint="cs"/>
          <w:rtl/>
        </w:rPr>
        <w:t>סברא</w:t>
      </w:r>
      <w:proofErr w:type="spellEnd"/>
      <w:r w:rsidRPr="00102E0D">
        <w:rPr>
          <w:rFonts w:hint="cs"/>
          <w:rtl/>
        </w:rPr>
        <w:t xml:space="preserve"> נוספת העולה בהתבוננות על מהות ההכרזה אשר שונה באופן מהותי מהמטרה הקודמת. לפי </w:t>
      </w:r>
      <w:proofErr w:type="spellStart"/>
      <w:r w:rsidRPr="00102E0D">
        <w:rPr>
          <w:rFonts w:hint="cs"/>
          <w:rtl/>
        </w:rPr>
        <w:t>סברא</w:t>
      </w:r>
      <w:proofErr w:type="spellEnd"/>
      <w:r w:rsidRPr="00102E0D">
        <w:rPr>
          <w:rFonts w:hint="cs"/>
          <w:rtl/>
        </w:rPr>
        <w:t xml:space="preserve"> זו מטרת ההכרזה היא בירור משפטי- הכרזה נועדה לקבוע את המעמד המשפטי שלה כ"מורדת". ללא פרסום המרידה, הבעל אינו יכול להתחיל להפחית מכתובתה, שכן עליו לוודא שהמרידה היא עקבית ומוחלטת ולא כעס רגעי. </w:t>
      </w:r>
      <w:proofErr w:type="spellStart"/>
      <w:r w:rsidRPr="00102E0D">
        <w:rPr>
          <w:rFonts w:hint="cs"/>
          <w:rtl/>
        </w:rPr>
        <w:t>סברא</w:t>
      </w:r>
      <w:proofErr w:type="spellEnd"/>
      <w:r w:rsidRPr="00102E0D">
        <w:rPr>
          <w:rFonts w:hint="cs"/>
          <w:rtl/>
        </w:rPr>
        <w:t xml:space="preserve"> זו אפשר להניח מן המבנה הפורמלי של תקנה הכולל שלבים ברורים ומן ההקשר להמשך </w:t>
      </w:r>
      <w:proofErr w:type="spellStart"/>
      <w:r w:rsidRPr="00102E0D">
        <w:rPr>
          <w:rFonts w:hint="cs"/>
          <w:rtl/>
        </w:rPr>
        <w:t>הסוגיה</w:t>
      </w:r>
      <w:proofErr w:type="spellEnd"/>
      <w:r w:rsidRPr="00102E0D">
        <w:rPr>
          <w:rFonts w:hint="cs"/>
          <w:rtl/>
        </w:rPr>
        <w:t xml:space="preserve"> בין טענת "</w:t>
      </w:r>
      <w:proofErr w:type="spellStart"/>
      <w:r w:rsidRPr="00102E0D">
        <w:rPr>
          <w:rFonts w:hint="cs"/>
          <w:rtl/>
        </w:rPr>
        <w:t>מאיס</w:t>
      </w:r>
      <w:proofErr w:type="spellEnd"/>
      <w:r w:rsidRPr="00102E0D">
        <w:rPr>
          <w:rFonts w:hint="cs"/>
          <w:rtl/>
        </w:rPr>
        <w:t xml:space="preserve"> עליי" לבין טענת “</w:t>
      </w:r>
      <w:proofErr w:type="spellStart"/>
      <w:r w:rsidRPr="00102E0D">
        <w:rPr>
          <w:rFonts w:hint="cs"/>
          <w:rtl/>
        </w:rPr>
        <w:t>בעינא</w:t>
      </w:r>
      <w:proofErr w:type="spellEnd"/>
      <w:r w:rsidRPr="00102E0D">
        <w:rPr>
          <w:rFonts w:hint="cs"/>
          <w:rtl/>
        </w:rPr>
        <w:t xml:space="preserve"> ליה </w:t>
      </w:r>
      <w:proofErr w:type="spellStart"/>
      <w:r w:rsidRPr="00102E0D">
        <w:rPr>
          <w:rFonts w:hint="cs"/>
          <w:rtl/>
        </w:rPr>
        <w:t>ומצערנא</w:t>
      </w:r>
      <w:proofErr w:type="spellEnd"/>
      <w:r w:rsidRPr="00102E0D">
        <w:rPr>
          <w:rFonts w:hint="cs"/>
          <w:rtl/>
        </w:rPr>
        <w:t xml:space="preserve"> ליה”. כמו כן עצם ההתראות והמחלוקת על האם אנו נזקקים להתראה גם לפני ההכרזה או רק אחרי יכולה לתרום </w:t>
      </w:r>
      <w:proofErr w:type="spellStart"/>
      <w:r w:rsidRPr="00102E0D">
        <w:rPr>
          <w:rFonts w:hint="cs"/>
          <w:rtl/>
        </w:rPr>
        <w:t>לסברא</w:t>
      </w:r>
      <w:proofErr w:type="spellEnd"/>
      <w:r w:rsidRPr="00102E0D">
        <w:rPr>
          <w:rFonts w:hint="cs"/>
          <w:rtl/>
        </w:rPr>
        <w:t xml:space="preserve"> זו. </w:t>
      </w:r>
    </w:p>
    <w:p w14:paraId="71220B4A" w14:textId="77777777" w:rsidR="00102E0D" w:rsidRPr="00102E0D" w:rsidRDefault="00102E0D" w:rsidP="00102E0D">
      <w:pPr>
        <w:rPr>
          <w:rtl/>
        </w:rPr>
      </w:pPr>
      <w:r w:rsidRPr="00102E0D">
        <w:rPr>
          <w:rFonts w:hint="cs"/>
          <w:rtl/>
        </w:rPr>
        <w:t>מן האמור עולה שתקנת חכמים בדין מורדת אינה מסתכמת בהוספת שלב טכני לדין המשנה, אלא יוצרת מנגנון חדש הכולל הכרזה, התראה והליך מדורג של בית דין. ניתן להבין מנגנון זה בשתי דרכים: אפשר לראות בו אמצעי לחץ ותיקון שנועד להביא לחידוש הקשר בין בני הזוג, ואפשר לראות בו הליך קובע המגדיר באופן פורמלי את מעמד האישה כמורדת ואת השלכותיו הממוניות.</w:t>
      </w:r>
    </w:p>
    <w:p w14:paraId="42181A0F" w14:textId="77777777" w:rsidR="00102E0D" w:rsidRPr="00102E0D" w:rsidRDefault="00102E0D" w:rsidP="00420145">
      <w:pPr>
        <w:pStyle w:val="Heading2"/>
        <w:rPr>
          <w:rtl/>
        </w:rPr>
      </w:pPr>
      <w:r w:rsidRPr="00102E0D">
        <w:rPr>
          <w:rFonts w:hint="cs"/>
          <w:rtl/>
        </w:rPr>
        <w:t>טענת "</w:t>
      </w:r>
      <w:proofErr w:type="spellStart"/>
      <w:r w:rsidRPr="00102E0D">
        <w:rPr>
          <w:rFonts w:hint="cs"/>
          <w:rtl/>
        </w:rPr>
        <w:t>מאיס</w:t>
      </w:r>
      <w:proofErr w:type="spellEnd"/>
      <w:r w:rsidRPr="00102E0D">
        <w:rPr>
          <w:rFonts w:hint="cs"/>
          <w:rtl/>
        </w:rPr>
        <w:t xml:space="preserve"> עלי"  </w:t>
      </w:r>
    </w:p>
    <w:p w14:paraId="31AC805A" w14:textId="4B773C96" w:rsidR="00102E0D" w:rsidRPr="00102E0D" w:rsidRDefault="00102E0D" w:rsidP="00420145">
      <w:pPr>
        <w:pStyle w:val="Quote"/>
        <w:rPr>
          <w:rtl/>
        </w:rPr>
      </w:pPr>
      <w:r w:rsidRPr="00102E0D">
        <w:rPr>
          <w:rFonts w:hint="cs"/>
          <w:rtl/>
        </w:rPr>
        <w:t xml:space="preserve">הֵיכִי דָּמְיָא מוֹרֶדֶת? אָמַר </w:t>
      </w:r>
      <w:proofErr w:type="spellStart"/>
      <w:r w:rsidRPr="00102E0D">
        <w:rPr>
          <w:rFonts w:hint="cs"/>
          <w:rtl/>
        </w:rPr>
        <w:t>אַמֵּימָר</w:t>
      </w:r>
      <w:proofErr w:type="spellEnd"/>
      <w:r w:rsidRPr="00102E0D">
        <w:rPr>
          <w:rFonts w:hint="cs"/>
          <w:rtl/>
        </w:rPr>
        <w:t xml:space="preserve">: </w:t>
      </w:r>
      <w:proofErr w:type="spellStart"/>
      <w:r w:rsidRPr="00102E0D">
        <w:rPr>
          <w:rFonts w:hint="cs"/>
          <w:rtl/>
        </w:rPr>
        <w:t>דְּאָמְרָה</w:t>
      </w:r>
      <w:proofErr w:type="spellEnd"/>
      <w:r w:rsidRPr="00102E0D">
        <w:rPr>
          <w:rFonts w:hint="cs"/>
          <w:rtl/>
        </w:rPr>
        <w:t xml:space="preserve"> ״</w:t>
      </w:r>
      <w:proofErr w:type="spellStart"/>
      <w:r w:rsidRPr="00102E0D">
        <w:rPr>
          <w:rFonts w:hint="cs"/>
          <w:rtl/>
        </w:rPr>
        <w:t>בָּעֵינָא</w:t>
      </w:r>
      <w:proofErr w:type="spellEnd"/>
      <w:r w:rsidRPr="00102E0D">
        <w:rPr>
          <w:rFonts w:hint="cs"/>
          <w:rtl/>
        </w:rPr>
        <w:t xml:space="preserve"> לֵיהּ </w:t>
      </w:r>
      <w:proofErr w:type="spellStart"/>
      <w:r w:rsidRPr="00102E0D">
        <w:rPr>
          <w:rFonts w:hint="cs"/>
          <w:rtl/>
        </w:rPr>
        <w:t>וּמְצַעַרְנָא</w:t>
      </w:r>
      <w:proofErr w:type="spellEnd"/>
      <w:r w:rsidRPr="00102E0D">
        <w:rPr>
          <w:rFonts w:hint="cs"/>
          <w:rtl/>
        </w:rPr>
        <w:t xml:space="preserve"> לֵיהּ״. אֲבָל אָמְרָה ״</w:t>
      </w:r>
      <w:proofErr w:type="spellStart"/>
      <w:r w:rsidRPr="00102E0D">
        <w:rPr>
          <w:rFonts w:hint="cs"/>
          <w:rtl/>
        </w:rPr>
        <w:t>מְאִיס</w:t>
      </w:r>
      <w:proofErr w:type="spellEnd"/>
      <w:r w:rsidRPr="00102E0D">
        <w:rPr>
          <w:rFonts w:hint="cs"/>
          <w:rtl/>
        </w:rPr>
        <w:t xml:space="preserve"> עֲלַי״ — לָא </w:t>
      </w:r>
      <w:proofErr w:type="spellStart"/>
      <w:r w:rsidRPr="00102E0D">
        <w:rPr>
          <w:rFonts w:hint="cs"/>
          <w:rtl/>
        </w:rPr>
        <w:t>כָּיְיפִינַן</w:t>
      </w:r>
      <w:proofErr w:type="spellEnd"/>
      <w:r w:rsidRPr="00102E0D">
        <w:rPr>
          <w:rFonts w:hint="cs"/>
          <w:rtl/>
        </w:rPr>
        <w:t xml:space="preserve"> לַהּ. מָר </w:t>
      </w:r>
      <w:proofErr w:type="spellStart"/>
      <w:r w:rsidRPr="00102E0D">
        <w:rPr>
          <w:rFonts w:hint="cs"/>
          <w:rtl/>
        </w:rPr>
        <w:t>זוּטְרָא</w:t>
      </w:r>
      <w:proofErr w:type="spellEnd"/>
      <w:r w:rsidRPr="00102E0D">
        <w:rPr>
          <w:rFonts w:hint="cs"/>
          <w:rtl/>
        </w:rPr>
        <w:t xml:space="preserve"> אָמַר: </w:t>
      </w:r>
      <w:proofErr w:type="spellStart"/>
      <w:r w:rsidRPr="00102E0D">
        <w:rPr>
          <w:rFonts w:hint="cs"/>
          <w:rtl/>
        </w:rPr>
        <w:t>כָּיְיפִינַן</w:t>
      </w:r>
      <w:proofErr w:type="spellEnd"/>
      <w:r w:rsidRPr="00102E0D">
        <w:rPr>
          <w:rFonts w:hint="cs"/>
          <w:rtl/>
        </w:rPr>
        <w:t xml:space="preserve"> לָהּ.</w:t>
      </w:r>
      <w:r w:rsidR="007C74C1">
        <w:rPr>
          <w:rStyle w:val="FootnoteReference"/>
          <w:rtl/>
        </w:rPr>
        <w:footnoteReference w:id="16"/>
      </w:r>
    </w:p>
    <w:p w14:paraId="41C4BA70" w14:textId="161D1AA5" w:rsidR="00102E0D" w:rsidRPr="00102E0D" w:rsidRDefault="00102E0D" w:rsidP="00984BB9">
      <w:pPr>
        <w:ind w:firstLine="0"/>
        <w:rPr>
          <w:rtl/>
        </w:rPr>
      </w:pPr>
      <w:r w:rsidRPr="00102E0D">
        <w:rPr>
          <w:rFonts w:hint="cs"/>
          <w:rtl/>
        </w:rPr>
        <w:t>לב הסוגייה הוא בירור הגדרת מעמד ה"מורדת"- מתי אישה אכן נחשבת כמורדת שעליה חלים דיני המשנה והתקנות שלאחריה. הגמרא מבחינה בין שני סוגי טענות של אישה המסרבת לחיי אישות</w:t>
      </w:r>
      <w:r w:rsidR="00ED6A64">
        <w:rPr>
          <w:rStyle w:val="FootnoteReference"/>
          <w:rtl/>
        </w:rPr>
        <w:footnoteReference w:id="17"/>
      </w:r>
      <w:r w:rsidRPr="00102E0D">
        <w:rPr>
          <w:rFonts w:hint="cs"/>
          <w:rtl/>
        </w:rPr>
        <w:t xml:space="preserve">, ותולה בהן מחלוקת אמוראים בין </w:t>
      </w:r>
      <w:proofErr w:type="spellStart"/>
      <w:r w:rsidRPr="00102E0D">
        <w:rPr>
          <w:rFonts w:hint="cs"/>
          <w:rtl/>
        </w:rPr>
        <w:t>אמימר</w:t>
      </w:r>
      <w:proofErr w:type="spellEnd"/>
      <w:r w:rsidRPr="00102E0D">
        <w:rPr>
          <w:rFonts w:hint="cs"/>
          <w:rtl/>
        </w:rPr>
        <w:t xml:space="preserve"> לבין מר </w:t>
      </w:r>
      <w:proofErr w:type="spellStart"/>
      <w:r w:rsidRPr="00102E0D">
        <w:rPr>
          <w:rFonts w:hint="cs"/>
          <w:rtl/>
        </w:rPr>
        <w:t>זוטרא</w:t>
      </w:r>
      <w:proofErr w:type="spellEnd"/>
      <w:r w:rsidRPr="00102E0D">
        <w:rPr>
          <w:rFonts w:hint="cs"/>
          <w:rtl/>
        </w:rPr>
        <w:t xml:space="preserve">. לדעת </w:t>
      </w:r>
      <w:proofErr w:type="spellStart"/>
      <w:r w:rsidRPr="00102E0D">
        <w:rPr>
          <w:rFonts w:hint="cs"/>
          <w:rtl/>
        </w:rPr>
        <w:t>אמימר</w:t>
      </w:r>
      <w:proofErr w:type="spellEnd"/>
      <w:r w:rsidRPr="00102E0D">
        <w:rPr>
          <w:rFonts w:hint="cs"/>
          <w:rtl/>
        </w:rPr>
        <w:t>, רק אישה האומרת “</w:t>
      </w:r>
      <w:proofErr w:type="spellStart"/>
      <w:r w:rsidRPr="00102E0D">
        <w:rPr>
          <w:rFonts w:hint="cs"/>
          <w:rtl/>
        </w:rPr>
        <w:t>בעינא</w:t>
      </w:r>
      <w:proofErr w:type="spellEnd"/>
      <w:r w:rsidRPr="00102E0D">
        <w:rPr>
          <w:rFonts w:hint="cs"/>
          <w:rtl/>
        </w:rPr>
        <w:t xml:space="preserve"> ליה </w:t>
      </w:r>
      <w:proofErr w:type="spellStart"/>
      <w:r w:rsidRPr="00102E0D">
        <w:rPr>
          <w:rFonts w:hint="cs"/>
          <w:rtl/>
        </w:rPr>
        <w:t>ומצערנא</w:t>
      </w:r>
      <w:proofErr w:type="spellEnd"/>
      <w:r w:rsidRPr="00102E0D">
        <w:rPr>
          <w:rFonts w:hint="cs"/>
          <w:rtl/>
        </w:rPr>
        <w:t xml:space="preserve"> ליה”, כלומר ״רצוני בו אך אני מבקשת לצערו״- נחשבת מורדת. לעומת זאת, </w:t>
      </w:r>
      <w:r w:rsidRPr="00102E0D">
        <w:rPr>
          <w:rFonts w:hint="cs"/>
          <w:rtl/>
        </w:rPr>
        <w:lastRenderedPageBreak/>
        <w:t>כאשר היא טוענת “</w:t>
      </w:r>
      <w:proofErr w:type="spellStart"/>
      <w:r w:rsidRPr="00102E0D">
        <w:rPr>
          <w:rFonts w:hint="cs"/>
          <w:rtl/>
        </w:rPr>
        <w:t>מאיס</w:t>
      </w:r>
      <w:proofErr w:type="spellEnd"/>
      <w:r w:rsidRPr="00102E0D">
        <w:rPr>
          <w:rFonts w:hint="cs"/>
          <w:rtl/>
        </w:rPr>
        <w:t xml:space="preserve"> עלי”, אין מחילים עליה את דיני המורדת. ואילו מר </w:t>
      </w:r>
      <w:proofErr w:type="spellStart"/>
      <w:r w:rsidRPr="00102E0D">
        <w:rPr>
          <w:rFonts w:hint="cs"/>
          <w:rtl/>
        </w:rPr>
        <w:t>זוטרא</w:t>
      </w:r>
      <w:proofErr w:type="spellEnd"/>
      <w:r w:rsidRPr="00102E0D">
        <w:rPr>
          <w:rFonts w:hint="cs"/>
          <w:rtl/>
        </w:rPr>
        <w:t xml:space="preserve"> סובר שגם הטוענת “</w:t>
      </w:r>
      <w:proofErr w:type="spellStart"/>
      <w:r w:rsidRPr="00102E0D">
        <w:rPr>
          <w:rFonts w:hint="cs"/>
          <w:rtl/>
        </w:rPr>
        <w:t>מאיס</w:t>
      </w:r>
      <w:proofErr w:type="spellEnd"/>
      <w:r w:rsidRPr="00102E0D">
        <w:rPr>
          <w:rFonts w:hint="cs"/>
          <w:rtl/>
        </w:rPr>
        <w:t xml:space="preserve"> עלי” בכלל דין מורדת. </w:t>
      </w:r>
    </w:p>
    <w:p w14:paraId="333127F1" w14:textId="1C8C11DB" w:rsidR="00102E0D" w:rsidRPr="00102E0D" w:rsidRDefault="00102E0D" w:rsidP="00102E0D">
      <w:pPr>
        <w:rPr>
          <w:rtl/>
        </w:rPr>
      </w:pPr>
      <w:r w:rsidRPr="00102E0D">
        <w:rPr>
          <w:rFonts w:hint="cs"/>
          <w:rtl/>
        </w:rPr>
        <w:t>טרם נעמוד על עומק המחלוקת, יש לברר את משמעותן של שתי הטענות. טענת “</w:t>
      </w:r>
      <w:proofErr w:type="spellStart"/>
      <w:r w:rsidRPr="00102E0D">
        <w:rPr>
          <w:rFonts w:hint="cs"/>
          <w:rtl/>
        </w:rPr>
        <w:t>בעינא</w:t>
      </w:r>
      <w:proofErr w:type="spellEnd"/>
      <w:r w:rsidRPr="00102E0D">
        <w:rPr>
          <w:rFonts w:hint="cs"/>
          <w:rtl/>
        </w:rPr>
        <w:t xml:space="preserve"> ליה </w:t>
      </w:r>
      <w:proofErr w:type="spellStart"/>
      <w:r w:rsidRPr="00102E0D">
        <w:rPr>
          <w:rFonts w:hint="cs"/>
          <w:rtl/>
        </w:rPr>
        <w:t>ומצערנא</w:t>
      </w:r>
      <w:proofErr w:type="spellEnd"/>
      <w:r w:rsidRPr="00102E0D">
        <w:rPr>
          <w:rFonts w:hint="cs"/>
          <w:rtl/>
        </w:rPr>
        <w:t xml:space="preserve"> ליה”, מתארת מצב שבו האישה אינה מבקשת לפרק את הנישואין, אלא מבטאת התנגדות התנהגותית כלפי בעלה- סירוב לחיי אישות כאמצעי תגובה או מחאה. כך מבואר בדברי הרמב"ם, המתאר מצב שבו האישה נמנעת מתשמיש “מפני שעשה לי כך וכך או מפני שקללני ועשה עמי מריבה”</w:t>
      </w:r>
      <w:r w:rsidR="00434AEC">
        <w:rPr>
          <w:rStyle w:val="FootnoteReference"/>
          <w:rtl/>
        </w:rPr>
        <w:footnoteReference w:id="18"/>
      </w:r>
      <w:r w:rsidRPr="00102E0D">
        <w:rPr>
          <w:rFonts w:hint="cs"/>
          <w:rtl/>
        </w:rPr>
        <w:t>. לעומת זאת, טענת “</w:t>
      </w:r>
      <w:proofErr w:type="spellStart"/>
      <w:r w:rsidRPr="00102E0D">
        <w:rPr>
          <w:rFonts w:hint="cs"/>
          <w:rtl/>
        </w:rPr>
        <w:t>מאיס</w:t>
      </w:r>
      <w:proofErr w:type="spellEnd"/>
      <w:r w:rsidRPr="00102E0D">
        <w:rPr>
          <w:rFonts w:hint="cs"/>
          <w:rtl/>
        </w:rPr>
        <w:t xml:space="preserve"> עלי” מבטאת דחייה מהותית של עצם הקשר - האישה טוענת שאין היא מסוגלת עוד לחיות עם בעלה ומבקשת לסיים את הנישואין, אף במחיר הפסד הכתובה.</w:t>
      </w:r>
      <w:r w:rsidR="00D22FBA">
        <w:rPr>
          <w:rStyle w:val="FootnoteReference"/>
          <w:rtl/>
        </w:rPr>
        <w:footnoteReference w:id="19"/>
      </w:r>
    </w:p>
    <w:p w14:paraId="7FD60670" w14:textId="77777777" w:rsidR="00102E0D" w:rsidRPr="00102E0D" w:rsidRDefault="00102E0D" w:rsidP="00102E0D">
      <w:pPr>
        <w:rPr>
          <w:rtl/>
        </w:rPr>
      </w:pPr>
      <w:r w:rsidRPr="00102E0D">
        <w:rPr>
          <w:rFonts w:hint="cs"/>
          <w:rtl/>
        </w:rPr>
        <w:t>במקרה של “</w:t>
      </w:r>
      <w:proofErr w:type="spellStart"/>
      <w:r w:rsidRPr="00102E0D">
        <w:rPr>
          <w:rFonts w:hint="cs"/>
          <w:rtl/>
        </w:rPr>
        <w:t>בעינא</w:t>
      </w:r>
      <w:proofErr w:type="spellEnd"/>
      <w:r w:rsidRPr="00102E0D">
        <w:rPr>
          <w:rFonts w:hint="cs"/>
          <w:rtl/>
        </w:rPr>
        <w:t xml:space="preserve"> ליה </w:t>
      </w:r>
      <w:proofErr w:type="spellStart"/>
      <w:r w:rsidRPr="00102E0D">
        <w:rPr>
          <w:rFonts w:hint="cs"/>
          <w:rtl/>
        </w:rPr>
        <w:t>ומצערנא</w:t>
      </w:r>
      <w:proofErr w:type="spellEnd"/>
      <w:r w:rsidRPr="00102E0D">
        <w:rPr>
          <w:rFonts w:hint="cs"/>
          <w:rtl/>
        </w:rPr>
        <w:t xml:space="preserve"> ליה” מובן מדוע מופעל מנגנון דיני מורדת, שכן הקשר הזוגי עדיין רצוי מצד האישה, והפעלת סנקציות נועדה להביא להשבת שלום הבית. אולם הכללת טענת “</w:t>
      </w:r>
      <w:proofErr w:type="spellStart"/>
      <w:r w:rsidRPr="00102E0D">
        <w:rPr>
          <w:rFonts w:hint="cs"/>
          <w:rtl/>
        </w:rPr>
        <w:t>מאיס</w:t>
      </w:r>
      <w:proofErr w:type="spellEnd"/>
      <w:r w:rsidRPr="00102E0D">
        <w:rPr>
          <w:rFonts w:hint="cs"/>
          <w:rtl/>
        </w:rPr>
        <w:t xml:space="preserve"> עלי” במסגרת דין מורדת מעוררת קושי עקרוני: אם מדובר בדחייה מוחלטת של הקשר, האם יש טעם בהפעלת מנגנון כפייה והשבה, או שמא יש לראות בכך מצב אחר במהותו. </w:t>
      </w:r>
    </w:p>
    <w:p w14:paraId="50C1F83D" w14:textId="152D521F" w:rsidR="00102E0D" w:rsidRPr="00102E0D" w:rsidRDefault="00102E0D" w:rsidP="00102E0D">
      <w:pPr>
        <w:rPr>
          <w:rtl/>
        </w:rPr>
      </w:pPr>
      <w:r w:rsidRPr="00102E0D">
        <w:rPr>
          <w:rFonts w:hint="cs"/>
          <w:rtl/>
        </w:rPr>
        <w:t xml:space="preserve">סברת </w:t>
      </w:r>
      <w:proofErr w:type="spellStart"/>
      <w:r w:rsidRPr="00102E0D">
        <w:rPr>
          <w:rFonts w:hint="cs"/>
          <w:rtl/>
        </w:rPr>
        <w:t>אמימר</w:t>
      </w:r>
      <w:proofErr w:type="spellEnd"/>
      <w:r w:rsidRPr="00102E0D">
        <w:rPr>
          <w:rFonts w:hint="cs"/>
          <w:rtl/>
        </w:rPr>
        <w:t xml:space="preserve"> נראית פשוטה יותר מבחינה </w:t>
      </w:r>
      <w:proofErr w:type="spellStart"/>
      <w:r w:rsidRPr="00102E0D">
        <w:rPr>
          <w:rFonts w:hint="cs"/>
          <w:rtl/>
        </w:rPr>
        <w:t>סוגייתית</w:t>
      </w:r>
      <w:proofErr w:type="spellEnd"/>
      <w:r w:rsidRPr="00102E0D">
        <w:rPr>
          <w:rFonts w:hint="cs"/>
          <w:rtl/>
        </w:rPr>
        <w:t>, שכן בטענת “</w:t>
      </w:r>
      <w:proofErr w:type="spellStart"/>
      <w:r w:rsidRPr="00102E0D">
        <w:rPr>
          <w:rFonts w:hint="cs"/>
          <w:rtl/>
        </w:rPr>
        <w:t>מאיס</w:t>
      </w:r>
      <w:proofErr w:type="spellEnd"/>
      <w:r w:rsidRPr="00102E0D">
        <w:rPr>
          <w:rFonts w:hint="cs"/>
          <w:rtl/>
        </w:rPr>
        <w:t xml:space="preserve"> עלי” מדובר בדחייה מהותית של הקשר הזוגי, ולכן סביר להניח שמנגנון </w:t>
      </w:r>
      <w:proofErr w:type="spellStart"/>
      <w:r w:rsidRPr="00102E0D">
        <w:rPr>
          <w:rFonts w:hint="cs"/>
          <w:rtl/>
        </w:rPr>
        <w:t>סנקציוני</w:t>
      </w:r>
      <w:proofErr w:type="spellEnd"/>
      <w:r w:rsidRPr="00102E0D">
        <w:rPr>
          <w:rFonts w:hint="cs"/>
          <w:rtl/>
        </w:rPr>
        <w:t xml:space="preserve"> לא יצליח להשיב את חיי אישות במקום שבו עצם הקשר נדחה.</w:t>
      </w:r>
      <w:r w:rsidR="00DD2317">
        <w:rPr>
          <w:rStyle w:val="FootnoteReference"/>
          <w:rtl/>
        </w:rPr>
        <w:footnoteReference w:id="20"/>
      </w:r>
      <w:r w:rsidRPr="00102E0D">
        <w:rPr>
          <w:rFonts w:hint="cs"/>
          <w:rtl/>
        </w:rPr>
        <w:t xml:space="preserve"> לעומת זאת, את סברת מר </w:t>
      </w:r>
      <w:proofErr w:type="spellStart"/>
      <w:r w:rsidRPr="00102E0D">
        <w:rPr>
          <w:rFonts w:hint="cs"/>
          <w:rtl/>
        </w:rPr>
        <w:t>זוטרא</w:t>
      </w:r>
      <w:proofErr w:type="spellEnd"/>
      <w:r w:rsidRPr="00102E0D">
        <w:rPr>
          <w:rFonts w:hint="cs"/>
          <w:rtl/>
        </w:rPr>
        <w:t xml:space="preserve"> מסביר </w:t>
      </w:r>
      <w:proofErr w:type="spellStart"/>
      <w:r w:rsidRPr="00102E0D">
        <w:rPr>
          <w:rFonts w:hint="cs"/>
          <w:rtl/>
        </w:rPr>
        <w:t>הריטב"א</w:t>
      </w:r>
      <w:proofErr w:type="spellEnd"/>
      <w:r w:rsidRPr="00102E0D">
        <w:rPr>
          <w:rFonts w:hint="cs"/>
          <w:rtl/>
        </w:rPr>
        <w:t xml:space="preserve"> בכך שיש לחשוש שטענת המיאוס אינה תמיד מוחלטת, ולעיתים נאמרת מתוך כעס או שיקול צדדי וישנו סיכוי לאיחוי הקשר, ולכן יש להחיל גם כאן את דיני מורדת והליך ההכרזה. </w:t>
      </w:r>
    </w:p>
    <w:p w14:paraId="3C5D183F" w14:textId="48D48E6A" w:rsidR="00102E0D" w:rsidRPr="00102E0D" w:rsidRDefault="00102E0D" w:rsidP="00102E0D">
      <w:pPr>
        <w:rPr>
          <w:rtl/>
        </w:rPr>
      </w:pPr>
      <w:r w:rsidRPr="00102E0D">
        <w:rPr>
          <w:rFonts w:hint="cs"/>
          <w:rtl/>
        </w:rPr>
        <w:t>השלכה עקרונית של שאלה זו מופיעה במחלוקת הראשונים האם בטענת “</w:t>
      </w:r>
      <w:proofErr w:type="spellStart"/>
      <w:r w:rsidRPr="00102E0D">
        <w:rPr>
          <w:rFonts w:hint="cs"/>
          <w:rtl/>
        </w:rPr>
        <w:t>מאיס</w:t>
      </w:r>
      <w:proofErr w:type="spellEnd"/>
      <w:r w:rsidRPr="00102E0D">
        <w:rPr>
          <w:rFonts w:hint="cs"/>
          <w:rtl/>
        </w:rPr>
        <w:t xml:space="preserve"> עלי” </w:t>
      </w:r>
      <w:proofErr w:type="spellStart"/>
      <w:r w:rsidRPr="00102E0D">
        <w:rPr>
          <w:rFonts w:hint="cs"/>
          <w:rtl/>
        </w:rPr>
        <w:t>כופין</w:t>
      </w:r>
      <w:proofErr w:type="spellEnd"/>
      <w:r w:rsidRPr="00102E0D">
        <w:rPr>
          <w:rFonts w:hint="cs"/>
          <w:rtl/>
        </w:rPr>
        <w:t xml:space="preserve"> את הבעל לגרש. לדעת הרמב"ם</w:t>
      </w:r>
      <w:r w:rsidR="00F07F87">
        <w:rPr>
          <w:rStyle w:val="FootnoteReference"/>
          <w:rtl/>
        </w:rPr>
        <w:footnoteReference w:id="21"/>
      </w:r>
      <w:r w:rsidRPr="00102E0D">
        <w:rPr>
          <w:rFonts w:hint="cs"/>
          <w:rtl/>
        </w:rPr>
        <w:t xml:space="preserve"> </w:t>
      </w:r>
      <w:proofErr w:type="spellStart"/>
      <w:r w:rsidRPr="00102E0D">
        <w:rPr>
          <w:rFonts w:hint="cs"/>
          <w:rtl/>
        </w:rPr>
        <w:t>כופין</w:t>
      </w:r>
      <w:proofErr w:type="spellEnd"/>
      <w:r w:rsidRPr="00102E0D">
        <w:rPr>
          <w:rFonts w:hint="cs"/>
          <w:rtl/>
        </w:rPr>
        <w:t xml:space="preserve"> אותו להוציא מיד- “לפי שאינה כשבויה שתיבעל לשנוא לה”. לשיטתו, מצב של מיאוס מבטא מציאות אובייקטיבית של קרע בקשר, ולא מעשה מרידה הראוי לקנס. אם כן, אין לראותה כמורדת אלא כאנוסה במצבה, וממילא אין מקום לסנקציה ממונית.</w:t>
      </w:r>
    </w:p>
    <w:p w14:paraId="5A780BCA" w14:textId="0BE15E68" w:rsidR="00102E0D" w:rsidRPr="00102E0D" w:rsidRDefault="00102E0D" w:rsidP="00102E0D">
      <w:pPr>
        <w:rPr>
          <w:rtl/>
        </w:rPr>
      </w:pPr>
      <w:r w:rsidRPr="00102E0D">
        <w:rPr>
          <w:rFonts w:hint="cs"/>
          <w:rtl/>
        </w:rPr>
        <w:lastRenderedPageBreak/>
        <w:t>לעומת זאת, רבנו תם</w:t>
      </w:r>
      <w:r w:rsidR="00BC099A">
        <w:rPr>
          <w:rStyle w:val="FootnoteReference"/>
          <w:rtl/>
        </w:rPr>
        <w:footnoteReference w:id="22"/>
      </w:r>
      <w:r w:rsidRPr="00102E0D">
        <w:rPr>
          <w:rFonts w:hint="cs"/>
          <w:rtl/>
        </w:rPr>
        <w:t xml:space="preserve"> חולק וסובר שאין </w:t>
      </w:r>
      <w:proofErr w:type="spellStart"/>
      <w:r w:rsidRPr="00102E0D">
        <w:rPr>
          <w:rFonts w:hint="cs"/>
          <w:rtl/>
        </w:rPr>
        <w:t>כופין</w:t>
      </w:r>
      <w:proofErr w:type="spellEnd"/>
      <w:r w:rsidRPr="00102E0D">
        <w:rPr>
          <w:rFonts w:hint="cs"/>
          <w:rtl/>
        </w:rPr>
        <w:t xml:space="preserve"> גט. לדעתו יש לחשוש שמא האישה מבקשת להיפטר מן הנישואין מטעמים אחרים, כגון שנתנה עיניה באחר, ומשתמשת בטענת "</w:t>
      </w:r>
      <w:proofErr w:type="spellStart"/>
      <w:r w:rsidRPr="00102E0D">
        <w:rPr>
          <w:rFonts w:hint="cs"/>
          <w:rtl/>
        </w:rPr>
        <w:t>מאיס</w:t>
      </w:r>
      <w:proofErr w:type="spellEnd"/>
      <w:r w:rsidRPr="00102E0D">
        <w:rPr>
          <w:rFonts w:hint="cs"/>
          <w:rtl/>
        </w:rPr>
        <w:t xml:space="preserve"> עליי" כמכשיר הלכתי. לכן יש לשמר את המנגנון ההרתעתי ולא למהר לפרק את הקשר.</w:t>
      </w:r>
    </w:p>
    <w:p w14:paraId="4A693B98" w14:textId="77777777" w:rsidR="00102E0D" w:rsidRPr="00102E0D" w:rsidRDefault="00102E0D" w:rsidP="00102E0D">
      <w:pPr>
        <w:rPr>
          <w:rtl/>
        </w:rPr>
      </w:pPr>
      <w:r w:rsidRPr="00102E0D">
        <w:rPr>
          <w:rFonts w:hint="cs"/>
          <w:rtl/>
        </w:rPr>
        <w:t>המחלוקת על "</w:t>
      </w:r>
      <w:proofErr w:type="spellStart"/>
      <w:r w:rsidRPr="00102E0D">
        <w:rPr>
          <w:rFonts w:hint="cs"/>
          <w:rtl/>
        </w:rPr>
        <w:t>מאיס</w:t>
      </w:r>
      <w:proofErr w:type="spellEnd"/>
      <w:r w:rsidRPr="00102E0D">
        <w:rPr>
          <w:rFonts w:hint="cs"/>
          <w:rtl/>
        </w:rPr>
        <w:t xml:space="preserve"> עלי" מאירה באור חדש את שאלתנו האם דין מורדת הוא עונש או איחוי:</w:t>
      </w:r>
    </w:p>
    <w:p w14:paraId="42200FAF" w14:textId="77777777" w:rsidR="00102E0D" w:rsidRPr="00102E0D" w:rsidRDefault="00102E0D" w:rsidP="00102E0D">
      <w:pPr>
        <w:rPr>
          <w:rtl/>
        </w:rPr>
      </w:pPr>
      <w:r w:rsidRPr="00102E0D">
        <w:rPr>
          <w:rFonts w:hint="cs"/>
          <w:rtl/>
        </w:rPr>
        <w:t>אם נבין שדין מורדת הוא עונש ממוני (קנס), דעת רבינו תם אולי תתבאר יותר- עלינו להשתמש בקנס ככלי הרתעתי כדי למנוע מנשים לטעון טענות שווא. הקנס נועד להגן על מוסד הנישואין כחוזה מחייב.</w:t>
      </w:r>
    </w:p>
    <w:p w14:paraId="0BAD2A34" w14:textId="7D7CD7D5" w:rsidR="00102E0D" w:rsidRPr="00102E0D" w:rsidRDefault="00102E0D" w:rsidP="00984BB9">
      <w:pPr>
        <w:rPr>
          <w:rtl/>
        </w:rPr>
      </w:pPr>
      <w:r w:rsidRPr="00102E0D">
        <w:rPr>
          <w:rFonts w:hint="cs"/>
          <w:rtl/>
        </w:rPr>
        <w:t>אולם, אם נבין שדין מורדת הוא דין הנועד לאחד ולחדש את הקשר, הרי ששיטת הרמב"ם תהיה מובנת יותר- במקום שבו הקשר הפך לבלתי אפשרי מבחינה נפשית ("</w:t>
      </w:r>
      <w:proofErr w:type="spellStart"/>
      <w:r w:rsidRPr="00102E0D">
        <w:rPr>
          <w:rFonts w:hint="cs"/>
          <w:rtl/>
        </w:rPr>
        <w:t>מאיס</w:t>
      </w:r>
      <w:proofErr w:type="spellEnd"/>
      <w:r w:rsidRPr="00102E0D">
        <w:rPr>
          <w:rFonts w:hint="cs"/>
          <w:rtl/>
        </w:rPr>
        <w:t xml:space="preserve"> עלי"), אין שום טעם ב"איחוי" כפוי. ניסיון לאחות קשר דרך קנסות ממוניים במצב של מיאוס אינו "חידוש קשר" אלא יצירת כלא לאישה. ולכן הרמב"ם פוטר אותה מהליך המורדת, ומאפשר את הפירוק.</w:t>
      </w:r>
    </w:p>
    <w:p w14:paraId="0D38B2E2" w14:textId="77777777" w:rsidR="00102E0D" w:rsidRPr="00102E0D" w:rsidRDefault="00102E0D" w:rsidP="00984BB9">
      <w:pPr>
        <w:pStyle w:val="Heading2"/>
        <w:rPr>
          <w:lang w:val="en-IL"/>
        </w:rPr>
      </w:pPr>
      <w:r w:rsidRPr="00102E0D">
        <w:rPr>
          <w:rFonts w:hint="cs"/>
          <w:rtl/>
        </w:rPr>
        <w:t>המורדת והמורד  </w:t>
      </w:r>
    </w:p>
    <w:p w14:paraId="53333F19" w14:textId="251B956F" w:rsidR="00102E0D" w:rsidRPr="00102E0D" w:rsidRDefault="00102E0D" w:rsidP="00984BB9">
      <w:pPr>
        <w:pStyle w:val="Quote"/>
        <w:rPr>
          <w:rtl/>
        </w:rPr>
      </w:pPr>
      <w:r w:rsidRPr="00102E0D">
        <w:rPr>
          <w:rFonts w:hint="cs"/>
          <w:rtl/>
        </w:rPr>
        <w:t xml:space="preserve">אֲמַר לֵיהּ רַבִּי </w:t>
      </w:r>
      <w:proofErr w:type="spellStart"/>
      <w:r w:rsidRPr="00102E0D">
        <w:rPr>
          <w:rFonts w:hint="cs"/>
          <w:rtl/>
        </w:rPr>
        <w:t>חִיָּיא</w:t>
      </w:r>
      <w:proofErr w:type="spellEnd"/>
      <w:r w:rsidRPr="00102E0D">
        <w:rPr>
          <w:rFonts w:hint="cs"/>
          <w:rtl/>
        </w:rPr>
        <w:t xml:space="preserve"> בַּר יוֹסֵף לִשְׁמוּאֵל: מָה בֵּין מוֹרֵד לְמוֹרֶדֶת? אֲמַר לֵיהּ: צֵא וּלְמַד מִשּׁוּק שֶׁל זוֹנוֹת, מִי שׂוֹכֵר אֶת מִי? דָּבָר אַחֵר: זֶה יִצְרוֹ מִבַּחוּץ, וְזוֹ יִצְרָהּ מִבִּפְנִים.</w:t>
      </w:r>
      <w:r w:rsidR="00AE5B9B">
        <w:rPr>
          <w:rStyle w:val="FootnoteReference"/>
          <w:rtl/>
        </w:rPr>
        <w:footnoteReference w:id="23"/>
      </w:r>
    </w:p>
    <w:p w14:paraId="7008885B" w14:textId="77777777" w:rsidR="00102E0D" w:rsidRPr="00102E0D" w:rsidRDefault="00102E0D" w:rsidP="003236D7">
      <w:pPr>
        <w:ind w:firstLine="0"/>
        <w:rPr>
          <w:rtl/>
        </w:rPr>
      </w:pPr>
      <w:r w:rsidRPr="00102E0D">
        <w:rPr>
          <w:rFonts w:hint="cs"/>
          <w:rtl/>
        </w:rPr>
        <w:t xml:space="preserve">בסופה של הסוגייה שואל רבי </w:t>
      </w:r>
      <w:proofErr w:type="spellStart"/>
      <w:r w:rsidRPr="00102E0D">
        <w:rPr>
          <w:rFonts w:hint="cs"/>
          <w:rtl/>
        </w:rPr>
        <w:t>חייא</w:t>
      </w:r>
      <w:proofErr w:type="spellEnd"/>
      <w:r w:rsidRPr="00102E0D">
        <w:rPr>
          <w:rFonts w:hint="cs"/>
          <w:rtl/>
        </w:rPr>
        <w:t xml:space="preserve"> בר יוסף את שמואל: מה בין מורד למורדת- מדוע שיעור הקנס המוטל על האישה גדול משיעור הקנס המוטל על האיש. שאלה זו מניחה שהמשנה אמנם הצמידה את שני הדינים, אך אין ביניהם סימטריה בשיעור הסנקציה, ויש לברר את טעמה של הבחנה זו.</w:t>
      </w:r>
    </w:p>
    <w:p w14:paraId="126408F1" w14:textId="77777777" w:rsidR="00102E0D" w:rsidRPr="00102E0D" w:rsidRDefault="00102E0D" w:rsidP="00102E0D">
      <w:pPr>
        <w:rPr>
          <w:rtl/>
        </w:rPr>
      </w:pPr>
      <w:r w:rsidRPr="00102E0D">
        <w:rPr>
          <w:rFonts w:hint="cs"/>
          <w:rtl/>
        </w:rPr>
        <w:t xml:space="preserve">הגמרא מביאה שני הסברים. הראשון: “צא ולמד משוק של זונות- מי שוכר את מי?!” כלומר, האיש הוא הנדרש לשלם כדי להשיג קיום יחסי אישות, ומכאן שצערו בהימנעות גדול יותר, ולכן מרידת האישה גוררת קנס גבוה יותר. ההסבר השני: “זה יצרו מבפנים וזו יצרה מבחוץ”, דהיינו מניעת תשמיש מן האיש גוררת גם ביטוי גופני חיצוני, שיש בו משום גנאי נוסף, מה שאין כן באישה. לפי שני </w:t>
      </w:r>
      <w:r w:rsidRPr="00102E0D">
        <w:rPr>
          <w:rFonts w:hint="cs"/>
          <w:rtl/>
        </w:rPr>
        <w:lastRenderedPageBreak/>
        <w:t>טעמים אלו, יסוד ההבחנה בין מורד למורדת נעוץ בהבדלי הצער והבושה הנגרמים לכל אחד מהם במניעת חיי אישות.</w:t>
      </w:r>
    </w:p>
    <w:p w14:paraId="22B7BF06" w14:textId="47EDC588" w:rsidR="00102E0D" w:rsidRPr="00102E0D" w:rsidRDefault="00102E0D" w:rsidP="00102E0D">
      <w:pPr>
        <w:rPr>
          <w:rtl/>
        </w:rPr>
      </w:pPr>
      <w:r w:rsidRPr="00102E0D">
        <w:rPr>
          <w:rFonts w:hint="cs"/>
          <w:rtl/>
        </w:rPr>
        <w:t>יש לשים לב ששני ההסברים מתאימים דווקא להבנת מרידה כתופעה הקשורה לתשמיש.</w:t>
      </w:r>
      <w:r w:rsidR="008214E4">
        <w:rPr>
          <w:rStyle w:val="FootnoteReference"/>
          <w:rtl/>
        </w:rPr>
        <w:footnoteReference w:id="24"/>
      </w:r>
      <w:r w:rsidRPr="00102E0D">
        <w:rPr>
          <w:rFonts w:hint="cs"/>
          <w:rtl/>
        </w:rPr>
        <w:t xml:space="preserve"> לעומת זאת, בירושלמי</w:t>
      </w:r>
      <w:r w:rsidR="00A2307B">
        <w:rPr>
          <w:rStyle w:val="FootnoteReference"/>
          <w:rtl/>
        </w:rPr>
        <w:footnoteReference w:id="25"/>
      </w:r>
      <w:r w:rsidRPr="00102E0D">
        <w:rPr>
          <w:rFonts w:hint="cs"/>
          <w:rtl/>
        </w:rPr>
        <w:t xml:space="preserve"> מובא טעם אחר לשיעורי הקנס, התולה אותם במבנה החיובים ההדדיים שבין בני הזוג: האישה מחויבת בשבע</w:t>
      </w:r>
      <w:r w:rsidR="00293BA4">
        <w:rPr>
          <w:rStyle w:val="FootnoteReference"/>
          <w:rtl/>
        </w:rPr>
        <w:footnoteReference w:id="26"/>
      </w:r>
      <w:r w:rsidRPr="00102E0D">
        <w:rPr>
          <w:rFonts w:hint="cs"/>
          <w:rtl/>
        </w:rPr>
        <w:t xml:space="preserve"> מלאכות לבעלה, ולכן פוחתים ממנה שבעה. ואילו האיש חייב בשלושה דברים: שאר, כסות ועונה, ולכן מוסיפים שלושה. לפי כיוון זה, הקנס אינו נמדד לפי עוצמת הצער אלא לפי היקף ההתחייבות המופרת.</w:t>
      </w:r>
    </w:p>
    <w:p w14:paraId="7E2808DE" w14:textId="77777777" w:rsidR="00102E0D" w:rsidRPr="00102E0D" w:rsidRDefault="00102E0D" w:rsidP="00102E0D">
      <w:pPr>
        <w:rPr>
          <w:rtl/>
        </w:rPr>
      </w:pPr>
      <w:r w:rsidRPr="00102E0D">
        <w:rPr>
          <w:rFonts w:hint="cs"/>
          <w:rtl/>
        </w:rPr>
        <w:t>נמצא אפוא ששני התלמודים מציעים שני יסודות שניתן לראותם כשונים זה מזה להבנת מנגנון הקנס: הבבלי תולה אותו במידת הצער והפגיעה הנגרמים לצד השני, ואילו הירושלמי תולה אותו במבנה החיובים ההדדיים. הבחנה זו משתלבת בחקירה הכללית בדין מורדת- האם עיקרו מנגנון תגובה לצער ופגיעה בקשר, או מנגנון משפטי הנובע מהפרת מערכת חיובים מוגדרת.</w:t>
      </w:r>
    </w:p>
    <w:p w14:paraId="60E9159F" w14:textId="77777777" w:rsidR="00102E0D" w:rsidRPr="00102E0D" w:rsidRDefault="00102E0D" w:rsidP="003236D7">
      <w:pPr>
        <w:pStyle w:val="Heading2"/>
        <w:rPr>
          <w:rtl/>
        </w:rPr>
      </w:pPr>
      <w:r w:rsidRPr="00102E0D">
        <w:rPr>
          <w:rFonts w:hint="cs"/>
          <w:rtl/>
        </w:rPr>
        <w:t>סיכום </w:t>
      </w:r>
    </w:p>
    <w:p w14:paraId="68EF6108" w14:textId="77777777" w:rsidR="00102E0D" w:rsidRPr="00102E0D" w:rsidRDefault="00102E0D" w:rsidP="003236D7">
      <w:pPr>
        <w:ind w:firstLine="0"/>
        <w:rPr>
          <w:rtl/>
        </w:rPr>
      </w:pPr>
      <w:r w:rsidRPr="00102E0D">
        <w:rPr>
          <w:rFonts w:hint="cs"/>
          <w:rtl/>
        </w:rPr>
        <w:t>דרך סוגיית המורדת המופיע בבלי כתובת דף כ"ג עמוד א' - כ"ד עמוד ב', ראינו את דעות האמוראים והראשונים שחולקים אלה על אלה מסיבות שונות ומתפיסות עולם שונות. </w:t>
      </w:r>
    </w:p>
    <w:p w14:paraId="426A5BCE" w14:textId="77777777" w:rsidR="00102E0D" w:rsidRPr="00102E0D" w:rsidRDefault="00102E0D" w:rsidP="00102E0D">
      <w:pPr>
        <w:rPr>
          <w:rtl/>
        </w:rPr>
      </w:pPr>
      <w:r w:rsidRPr="00102E0D">
        <w:rPr>
          <w:rFonts w:hint="cs"/>
          <w:rtl/>
        </w:rPr>
        <w:t xml:space="preserve">כמו כן, מן העיון בסוגיית המורדת עלה לפנינו שאין כאן דין טכני בלבד, אלא מנגנון הבנוי על שני יסודות אפשריים: מחד- מערכת סנקציות שנועדה להשיב את חיי האישות ולתקן את הקשר הזוגי, ומאידך- דין משפטי הנובע מהפרת מערכת החיובים ההדדית שבין בני הזוג. שני כיוונים אלו משתקפים לאורך </w:t>
      </w:r>
      <w:proofErr w:type="spellStart"/>
      <w:r w:rsidRPr="00102E0D">
        <w:rPr>
          <w:rFonts w:hint="cs"/>
          <w:rtl/>
        </w:rPr>
        <w:t>הסוגיה</w:t>
      </w:r>
      <w:proofErr w:type="spellEnd"/>
      <w:r w:rsidRPr="00102E0D">
        <w:rPr>
          <w:rFonts w:hint="cs"/>
          <w:rtl/>
        </w:rPr>
        <w:t xml:space="preserve"> כולה: הגדרת המרידה , תקנת ההכרזה וההתראה, במחלוקת </w:t>
      </w:r>
      <w:proofErr w:type="spellStart"/>
      <w:r w:rsidRPr="00102E0D">
        <w:rPr>
          <w:rFonts w:hint="cs"/>
          <w:rtl/>
        </w:rPr>
        <w:t>אמימר</w:t>
      </w:r>
      <w:proofErr w:type="spellEnd"/>
      <w:r w:rsidRPr="00102E0D">
        <w:rPr>
          <w:rFonts w:hint="cs"/>
          <w:rtl/>
        </w:rPr>
        <w:t xml:space="preserve"> ומר </w:t>
      </w:r>
      <w:proofErr w:type="spellStart"/>
      <w:r w:rsidRPr="00102E0D">
        <w:rPr>
          <w:rFonts w:hint="cs"/>
          <w:rtl/>
        </w:rPr>
        <w:t>זוטרא</w:t>
      </w:r>
      <w:proofErr w:type="spellEnd"/>
      <w:r w:rsidRPr="00102E0D">
        <w:rPr>
          <w:rFonts w:hint="cs"/>
          <w:rtl/>
        </w:rPr>
        <w:t xml:space="preserve"> בטענת “</w:t>
      </w:r>
      <w:proofErr w:type="spellStart"/>
      <w:r w:rsidRPr="00102E0D">
        <w:rPr>
          <w:rFonts w:hint="cs"/>
          <w:rtl/>
        </w:rPr>
        <w:t>מאיס</w:t>
      </w:r>
      <w:proofErr w:type="spellEnd"/>
      <w:r w:rsidRPr="00102E0D">
        <w:rPr>
          <w:rFonts w:hint="cs"/>
          <w:rtl/>
        </w:rPr>
        <w:t xml:space="preserve"> עלי”, וכן בהבדלי שיעור הקנס בין מורד למורדת בבבלי ובירושלמי.</w:t>
      </w:r>
    </w:p>
    <w:p w14:paraId="0550B6E5" w14:textId="77777777" w:rsidR="00102E0D" w:rsidRPr="00102E0D" w:rsidRDefault="00102E0D" w:rsidP="00102E0D">
      <w:pPr>
        <w:rPr>
          <w:rtl/>
        </w:rPr>
      </w:pPr>
      <w:r w:rsidRPr="00102E0D">
        <w:rPr>
          <w:rFonts w:hint="cs"/>
          <w:rtl/>
        </w:rPr>
        <w:t xml:space="preserve">נמצא שמחלוקות האמוראים והראשונים אינן נקודתיות בלבד, אלא מבטאות הבדלי הבנה עקרוניים במהות דין מורדת- האם עיקרו תיקון הקשר או </w:t>
      </w:r>
      <w:r w:rsidRPr="00102E0D">
        <w:rPr>
          <w:rFonts w:hint="cs"/>
          <w:rtl/>
        </w:rPr>
        <w:lastRenderedPageBreak/>
        <w:t>אכיפת החיוב. אין ספק ששני עקרונות אלה הולכים בד בבד, עם זאת ההשקפה שלנו על מהות הדין היא הנקודה המכרעת. </w:t>
      </w:r>
    </w:p>
    <w:p w14:paraId="3519CDBF" w14:textId="33CFF82B" w:rsidR="00562BA1" w:rsidRPr="00562BA1" w:rsidRDefault="00102E0D" w:rsidP="00DF5002">
      <w:pPr>
        <w:rPr>
          <w:rtl/>
        </w:rPr>
      </w:pPr>
      <w:r w:rsidRPr="00102E0D">
        <w:rPr>
          <w:rFonts w:hint="cs"/>
          <w:rtl/>
        </w:rPr>
        <w:t>ראוי לציין כי, בעת הזאת ובתרבות בה אנו חיים בה האישה אינה תלויה בהכרח בגבר מבחינה כלכלית וחיי הנישואים מטרתם העיקרית היא מימוש האהבה והקמת בית משותף, אין ספק שהדרך בה אנו מסתכלים על דין המורדת והמורד ללא תלות במהותו המקורית צריכה להיות כדין הנועד לחדש את הקשר בין בני הזוג על מנת לממש את אהבתם זה כלפי זו.</w:t>
      </w:r>
    </w:p>
    <w:sectPr w:rsidR="00562BA1" w:rsidRPr="00562BA1"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DCF9F" w14:textId="77777777" w:rsidR="00D446BF" w:rsidRDefault="00D446BF" w:rsidP="00612B20">
      <w:pPr>
        <w:spacing w:line="240" w:lineRule="auto"/>
      </w:pPr>
      <w:r>
        <w:separator/>
      </w:r>
    </w:p>
  </w:endnote>
  <w:endnote w:type="continuationSeparator" w:id="0">
    <w:p w14:paraId="69489DAB" w14:textId="77777777" w:rsidR="00D446BF" w:rsidRDefault="00D446BF"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5ECA"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FD783" w14:textId="77777777" w:rsidR="00D446BF" w:rsidRDefault="00D446BF" w:rsidP="008D6718">
      <w:pPr>
        <w:spacing w:line="240" w:lineRule="auto"/>
        <w:ind w:firstLine="0"/>
        <w:rPr>
          <w:rtl/>
        </w:rPr>
      </w:pPr>
    </w:p>
  </w:footnote>
  <w:footnote w:type="continuationSeparator" w:id="0">
    <w:p w14:paraId="4A807EF5" w14:textId="77777777" w:rsidR="00D446BF" w:rsidRPr="00187664" w:rsidRDefault="00D446BF" w:rsidP="00187664">
      <w:pPr>
        <w:pStyle w:val="Footer"/>
        <w:rPr>
          <w:szCs w:val="22"/>
          <w:rtl/>
        </w:rPr>
      </w:pPr>
    </w:p>
  </w:footnote>
  <w:footnote w:id="1">
    <w:p w14:paraId="613CBDCF" w14:textId="0602F172" w:rsidR="00067BA6" w:rsidRPr="00067BA6" w:rsidRDefault="00067BA6" w:rsidP="00067BA6">
      <w:pPr>
        <w:pStyle w:val="FootnoteText"/>
        <w:rPr>
          <w:rFonts w:hint="cs"/>
          <w:rtl/>
          <w:lang w:val="en-IL"/>
        </w:rPr>
      </w:pPr>
      <w:r>
        <w:rPr>
          <w:rStyle w:val="FootnoteReference"/>
        </w:rPr>
        <w:footnoteRef/>
      </w:r>
      <w:r w:rsidR="00FF34DE">
        <w:rPr>
          <w:rtl/>
        </w:rPr>
        <w:t xml:space="preserve"> </w:t>
      </w:r>
      <w:r w:rsidR="00FF34DE">
        <w:rPr>
          <w:rtl/>
        </w:rPr>
        <w:tab/>
      </w:r>
      <w:r w:rsidRPr="00067BA6">
        <w:rPr>
          <w:rtl/>
        </w:rPr>
        <w:t>בבלי, כתובות, ס״ג ע״א</w:t>
      </w:r>
    </w:p>
  </w:footnote>
  <w:footnote w:id="2">
    <w:p w14:paraId="1E9306F9" w14:textId="109AFC15" w:rsidR="00BD0A43" w:rsidRPr="00BD0A43" w:rsidRDefault="00BD0A43" w:rsidP="00BD0A43">
      <w:pPr>
        <w:pStyle w:val="FootnoteText"/>
        <w:rPr>
          <w:rFonts w:hint="cs"/>
          <w:rtl/>
          <w:lang w:val="en-IL"/>
        </w:rPr>
      </w:pPr>
      <w:r>
        <w:rPr>
          <w:rStyle w:val="FootnoteReference"/>
        </w:rPr>
        <w:footnoteRef/>
      </w:r>
      <w:r w:rsidR="00FF34DE">
        <w:rPr>
          <w:rtl/>
        </w:rPr>
        <w:t xml:space="preserve"> </w:t>
      </w:r>
      <w:r w:rsidR="00FF34DE">
        <w:rPr>
          <w:rtl/>
        </w:rPr>
        <w:tab/>
      </w:r>
      <w:r w:rsidRPr="00BD0A43">
        <w:rPr>
          <w:rtl/>
        </w:rPr>
        <w:t xml:space="preserve">בבלי, כתובות, </w:t>
      </w:r>
      <w:proofErr w:type="spellStart"/>
      <w:r w:rsidRPr="00BD0A43">
        <w:rPr>
          <w:rtl/>
        </w:rPr>
        <w:t>סג</w:t>
      </w:r>
      <w:proofErr w:type="spellEnd"/>
      <w:r w:rsidRPr="00BD0A43">
        <w:rPr>
          <w:rtl/>
        </w:rPr>
        <w:t xml:space="preserve"> ע״א–סד ע״ב</w:t>
      </w:r>
    </w:p>
  </w:footnote>
  <w:footnote w:id="3">
    <w:p w14:paraId="04267ACC" w14:textId="24C570CC" w:rsidR="003A2676" w:rsidRDefault="003A2676" w:rsidP="003A2676">
      <w:pPr>
        <w:pStyle w:val="FootnoteText"/>
        <w:rPr>
          <w:rFonts w:hint="cs"/>
          <w:rtl/>
        </w:rPr>
      </w:pPr>
      <w:r>
        <w:rPr>
          <w:rStyle w:val="FootnoteReference"/>
        </w:rPr>
        <w:footnoteRef/>
      </w:r>
      <w:r w:rsidR="00FF34DE">
        <w:rPr>
          <w:rtl/>
        </w:rPr>
        <w:t xml:space="preserve"> </w:t>
      </w:r>
      <w:r w:rsidR="00FF34DE">
        <w:rPr>
          <w:rtl/>
        </w:rPr>
        <w:tab/>
      </w:r>
      <w:r w:rsidRPr="003A2676">
        <w:rPr>
          <w:rtl/>
        </w:rPr>
        <w:t>יבואר בהמשך.</w:t>
      </w:r>
    </w:p>
  </w:footnote>
  <w:footnote w:id="4">
    <w:p w14:paraId="18866050" w14:textId="60C72CC2" w:rsidR="0028519C" w:rsidRPr="0028519C" w:rsidRDefault="0028519C" w:rsidP="0028519C">
      <w:pPr>
        <w:pStyle w:val="FootnoteText"/>
        <w:rPr>
          <w:rFonts w:hint="cs"/>
          <w:rtl/>
          <w:lang w:val="en-IL"/>
        </w:rPr>
      </w:pPr>
      <w:r>
        <w:rPr>
          <w:rStyle w:val="FootnoteReference"/>
        </w:rPr>
        <w:footnoteRef/>
      </w:r>
      <w:r w:rsidR="00FF34DE">
        <w:rPr>
          <w:rtl/>
        </w:rPr>
        <w:t xml:space="preserve"> </w:t>
      </w:r>
      <w:r w:rsidR="00FF34DE">
        <w:rPr>
          <w:rtl/>
        </w:rPr>
        <w:tab/>
      </w:r>
      <w:r w:rsidRPr="0028519C">
        <w:rPr>
          <w:rtl/>
        </w:rPr>
        <w:t>על מושגים אלו נדון בהמשך המאמר.</w:t>
      </w:r>
    </w:p>
  </w:footnote>
  <w:footnote w:id="5">
    <w:p w14:paraId="328E69C8" w14:textId="30EBEFFB" w:rsidR="00805565" w:rsidRPr="00805565" w:rsidRDefault="00805565" w:rsidP="00805565">
      <w:pPr>
        <w:pStyle w:val="FootnoteText"/>
        <w:rPr>
          <w:rFonts w:hint="cs"/>
          <w:lang w:val="en-IL"/>
        </w:rPr>
      </w:pPr>
      <w:r>
        <w:rPr>
          <w:rStyle w:val="FootnoteReference"/>
        </w:rPr>
        <w:footnoteRef/>
      </w:r>
      <w:r w:rsidR="00FF34DE">
        <w:rPr>
          <w:rtl/>
        </w:rPr>
        <w:t xml:space="preserve"> </w:t>
      </w:r>
      <w:r w:rsidR="00FF34DE">
        <w:rPr>
          <w:rtl/>
        </w:rPr>
        <w:tab/>
      </w:r>
      <w:r w:rsidRPr="00805565">
        <w:rPr>
          <w:rtl/>
        </w:rPr>
        <w:t>יורחב בהמשך, ראה פרק "מחלוקת בהגדרת מרידה".</w:t>
      </w:r>
    </w:p>
  </w:footnote>
  <w:footnote w:id="6">
    <w:p w14:paraId="576D03B5" w14:textId="24E3EC90" w:rsidR="00297452" w:rsidRPr="00297452" w:rsidRDefault="00297452" w:rsidP="00297452">
      <w:pPr>
        <w:pStyle w:val="FootnoteText"/>
        <w:rPr>
          <w:rFonts w:hint="cs"/>
          <w:rtl/>
          <w:lang w:val="en-IL"/>
        </w:rPr>
      </w:pPr>
      <w:r>
        <w:rPr>
          <w:rStyle w:val="FootnoteReference"/>
        </w:rPr>
        <w:footnoteRef/>
      </w:r>
      <w:r w:rsidR="00FF34DE">
        <w:rPr>
          <w:rtl/>
        </w:rPr>
        <w:t xml:space="preserve"> </w:t>
      </w:r>
      <w:r w:rsidR="00FF34DE">
        <w:rPr>
          <w:rtl/>
        </w:rPr>
        <w:tab/>
      </w:r>
      <w:r w:rsidRPr="00297452">
        <w:rPr>
          <w:rtl/>
        </w:rPr>
        <w:t>בבלי כתובות דף ס"ג עמוד א'.</w:t>
      </w:r>
    </w:p>
  </w:footnote>
  <w:footnote w:id="7">
    <w:p w14:paraId="55CF6F87" w14:textId="6A3D91EB" w:rsidR="004F56D4" w:rsidRDefault="004F56D4" w:rsidP="004F56D4">
      <w:pPr>
        <w:pStyle w:val="FootnoteText"/>
        <w:rPr>
          <w:rFonts w:hint="cs"/>
        </w:rPr>
      </w:pPr>
      <w:r>
        <w:rPr>
          <w:rStyle w:val="FootnoteReference"/>
        </w:rPr>
        <w:footnoteRef/>
      </w:r>
      <w:r w:rsidR="00FF34DE">
        <w:rPr>
          <w:rtl/>
        </w:rPr>
        <w:t xml:space="preserve"> </w:t>
      </w:r>
      <w:r w:rsidR="00FF34DE">
        <w:rPr>
          <w:rtl/>
        </w:rPr>
        <w:tab/>
      </w:r>
      <w:r w:rsidRPr="004F56D4">
        <w:rPr>
          <w:rtl/>
        </w:rPr>
        <w:t>משנה, כתובות ה, ה.</w:t>
      </w:r>
    </w:p>
  </w:footnote>
  <w:footnote w:id="8">
    <w:p w14:paraId="420D3D16" w14:textId="50CD7087" w:rsidR="00FF5749" w:rsidRPr="00FF5749" w:rsidRDefault="00FF5749" w:rsidP="00FF5749">
      <w:pPr>
        <w:pStyle w:val="FootnoteText"/>
        <w:rPr>
          <w:rFonts w:hint="cs"/>
          <w:lang w:val="en-IL"/>
        </w:rPr>
      </w:pPr>
      <w:r>
        <w:rPr>
          <w:rStyle w:val="FootnoteReference"/>
        </w:rPr>
        <w:footnoteRef/>
      </w:r>
      <w:r w:rsidR="00FF34DE">
        <w:rPr>
          <w:rtl/>
        </w:rPr>
        <w:t xml:space="preserve"> </w:t>
      </w:r>
      <w:r w:rsidR="00FF34DE">
        <w:rPr>
          <w:rtl/>
        </w:rPr>
        <w:tab/>
      </w:r>
      <w:r w:rsidRPr="00FF5749">
        <w:rPr>
          <w:rtl/>
        </w:rPr>
        <w:t>תוספות דף ס"ג א' ד"ה "מורדת ממאי".</w:t>
      </w:r>
    </w:p>
  </w:footnote>
  <w:footnote w:id="9">
    <w:p w14:paraId="74C3C129" w14:textId="40585997" w:rsidR="00E4645D" w:rsidRPr="00E478D0" w:rsidRDefault="00E4645D" w:rsidP="00E4645D">
      <w:pPr>
        <w:pStyle w:val="FootnoteText"/>
        <w:rPr>
          <w:rFonts w:hint="cs"/>
          <w:lang w:val="en-GB"/>
        </w:rPr>
      </w:pPr>
      <w:r>
        <w:rPr>
          <w:rStyle w:val="FootnoteReference"/>
        </w:rPr>
        <w:footnoteRef/>
      </w:r>
      <w:r w:rsidR="00FF34DE">
        <w:rPr>
          <w:rtl/>
        </w:rPr>
        <w:t xml:space="preserve"> </w:t>
      </w:r>
      <w:r w:rsidR="00FF34DE">
        <w:rPr>
          <w:rtl/>
        </w:rPr>
        <w:tab/>
      </w:r>
      <w:r w:rsidRPr="00E4645D">
        <w:rPr>
          <w:rtl/>
        </w:rPr>
        <w:t>בבלי, כתובות דף נ</w:t>
      </w:r>
      <w:r w:rsidRPr="00E4645D">
        <w:t>"</w:t>
      </w:r>
      <w:r w:rsidRPr="00E4645D">
        <w:rPr>
          <w:rtl/>
        </w:rPr>
        <w:t>ח עמוד ב</w:t>
      </w:r>
      <w:r w:rsidR="00E478D0">
        <w:rPr>
          <w:lang w:val="en-GB"/>
        </w:rPr>
        <w:t>.</w:t>
      </w:r>
      <w:r w:rsidRPr="00E4645D">
        <w:t>'</w:t>
      </w:r>
    </w:p>
  </w:footnote>
  <w:footnote w:id="10">
    <w:p w14:paraId="7DE52684" w14:textId="653F890F" w:rsidR="008E29D5" w:rsidRPr="008E29D5" w:rsidRDefault="008E29D5" w:rsidP="008E29D5">
      <w:pPr>
        <w:pStyle w:val="FootnoteText"/>
        <w:rPr>
          <w:rFonts w:hint="cs"/>
          <w:lang w:val="en-IL"/>
        </w:rPr>
      </w:pPr>
      <w:r>
        <w:rPr>
          <w:rStyle w:val="FootnoteReference"/>
        </w:rPr>
        <w:footnoteRef/>
      </w:r>
      <w:r w:rsidR="00FF34DE">
        <w:rPr>
          <w:rtl/>
        </w:rPr>
        <w:t xml:space="preserve"> </w:t>
      </w:r>
      <w:r w:rsidR="00FF34DE">
        <w:rPr>
          <w:rtl/>
        </w:rPr>
        <w:tab/>
      </w:r>
      <w:r w:rsidRPr="008E29D5">
        <w:rPr>
          <w:rtl/>
        </w:rPr>
        <w:t>בבלי, כתובות, דף ס"ג, ע"ב.</w:t>
      </w:r>
    </w:p>
  </w:footnote>
  <w:footnote w:id="11">
    <w:p w14:paraId="66D1611E" w14:textId="222CF498" w:rsidR="00524479" w:rsidRPr="00524479" w:rsidRDefault="00524479" w:rsidP="00524479">
      <w:pPr>
        <w:pStyle w:val="FootnoteText"/>
        <w:rPr>
          <w:rFonts w:hint="cs"/>
          <w:rtl/>
          <w:lang w:val="en-IL"/>
        </w:rPr>
      </w:pPr>
      <w:r>
        <w:rPr>
          <w:rStyle w:val="FootnoteReference"/>
        </w:rPr>
        <w:footnoteRef/>
      </w:r>
      <w:r w:rsidR="00FF34DE">
        <w:rPr>
          <w:rtl/>
        </w:rPr>
        <w:t xml:space="preserve"> </w:t>
      </w:r>
      <w:r w:rsidR="00FF34DE">
        <w:rPr>
          <w:rtl/>
        </w:rPr>
        <w:tab/>
      </w:r>
      <w:r w:rsidRPr="00524479">
        <w:rPr>
          <w:rtl/>
        </w:rPr>
        <w:t>בתוספתא ואצל מספר ראשונים "שבתות"</w:t>
      </w:r>
      <w:r w:rsidR="00FF34DE">
        <w:rPr>
          <w:rtl/>
        </w:rPr>
        <w:t xml:space="preserve"> </w:t>
      </w:r>
      <w:r w:rsidRPr="00524479">
        <w:rPr>
          <w:rtl/>
        </w:rPr>
        <w:t xml:space="preserve">היינו שבתות ממש וכוונת המחבר היא שכל שבת במשך ארבע שבועות </w:t>
      </w:r>
      <w:proofErr w:type="spellStart"/>
      <w:r w:rsidRPr="00524479">
        <w:rPr>
          <w:rtl/>
        </w:rPr>
        <w:t>מכריזין</w:t>
      </w:r>
      <w:proofErr w:type="spellEnd"/>
      <w:r w:rsidRPr="00524479">
        <w:rPr>
          <w:rtl/>
        </w:rPr>
        <w:t xml:space="preserve"> עליה, לעומת זאת הרמב"ם גורס ש"שבת" זה שבוע וכוונת המחבר היא שכל יום במשך ארבע שבועות </w:t>
      </w:r>
      <w:proofErr w:type="spellStart"/>
      <w:r w:rsidRPr="00524479">
        <w:rPr>
          <w:rtl/>
        </w:rPr>
        <w:t>מכריזין</w:t>
      </w:r>
      <w:proofErr w:type="spellEnd"/>
      <w:r w:rsidRPr="00524479">
        <w:rPr>
          <w:rtl/>
        </w:rPr>
        <w:t xml:space="preserve"> על המורדת. ראה רמב"ם, הלכות אישות, פרק י"ד, הלכה ט'.</w:t>
      </w:r>
    </w:p>
  </w:footnote>
  <w:footnote w:id="12">
    <w:p w14:paraId="13CFDA36" w14:textId="3BCD5FA6" w:rsidR="003440CE" w:rsidRPr="003440CE" w:rsidRDefault="003440CE" w:rsidP="003440CE">
      <w:pPr>
        <w:pStyle w:val="FootnoteText"/>
        <w:rPr>
          <w:rFonts w:hint="cs"/>
          <w:rtl/>
        </w:rPr>
      </w:pPr>
      <w:r>
        <w:rPr>
          <w:rStyle w:val="FootnoteReference"/>
        </w:rPr>
        <w:footnoteRef/>
      </w:r>
      <w:r w:rsidR="00FF34DE">
        <w:rPr>
          <w:rtl/>
        </w:rPr>
        <w:t xml:space="preserve"> </w:t>
      </w:r>
      <w:r w:rsidR="00FF34DE">
        <w:rPr>
          <w:rtl/>
        </w:rPr>
        <w:tab/>
      </w:r>
      <w:r w:rsidRPr="003440CE">
        <w:rPr>
          <w:rtl/>
        </w:rPr>
        <w:t>בבלי, כתובות, דף ס</w:t>
      </w:r>
      <w:r w:rsidRPr="003440CE">
        <w:t>"</w:t>
      </w:r>
      <w:r w:rsidRPr="003440CE">
        <w:rPr>
          <w:rtl/>
        </w:rPr>
        <w:t>ג, ע</w:t>
      </w:r>
      <w:r w:rsidRPr="003440CE">
        <w:t>"</w:t>
      </w:r>
      <w:r w:rsidRPr="003440CE">
        <w:rPr>
          <w:rtl/>
        </w:rPr>
        <w:t>ב</w:t>
      </w:r>
      <w:r w:rsidRPr="003440CE">
        <w:t>.</w:t>
      </w:r>
    </w:p>
  </w:footnote>
  <w:footnote w:id="13">
    <w:p w14:paraId="1A8ED501" w14:textId="75E42DE0" w:rsidR="004740FA" w:rsidRPr="004740FA" w:rsidRDefault="004740FA" w:rsidP="004740FA">
      <w:pPr>
        <w:pStyle w:val="FootnoteText"/>
        <w:rPr>
          <w:rFonts w:hint="cs"/>
          <w:lang w:val="en-IL"/>
        </w:rPr>
      </w:pPr>
      <w:r>
        <w:rPr>
          <w:rStyle w:val="FootnoteReference"/>
        </w:rPr>
        <w:footnoteRef/>
      </w:r>
      <w:r w:rsidR="00FF34DE">
        <w:rPr>
          <w:rtl/>
        </w:rPr>
        <w:t xml:space="preserve"> </w:t>
      </w:r>
      <w:r w:rsidR="00FF34DE">
        <w:rPr>
          <w:rtl/>
        </w:rPr>
        <w:tab/>
      </w:r>
      <w:r w:rsidRPr="004740FA">
        <w:rPr>
          <w:rtl/>
        </w:rPr>
        <w:t xml:space="preserve">יש לציין שנחלקו הראשונים האם במהלך ארבע שבועות אלה מורידים לה מכתובתה מדין </w:t>
      </w:r>
      <w:proofErr w:type="spellStart"/>
      <w:r w:rsidRPr="004740FA">
        <w:rPr>
          <w:rtl/>
        </w:rPr>
        <w:t>משתנתנו</w:t>
      </w:r>
      <w:proofErr w:type="spellEnd"/>
      <w:r w:rsidRPr="004740FA">
        <w:rPr>
          <w:rtl/>
        </w:rPr>
        <w:t xml:space="preserve"> או לא - ראה </w:t>
      </w:r>
      <w:proofErr w:type="spellStart"/>
      <w:r w:rsidRPr="004740FA">
        <w:rPr>
          <w:rtl/>
        </w:rPr>
        <w:t>ר"ן</w:t>
      </w:r>
      <w:proofErr w:type="spellEnd"/>
      <w:r w:rsidRPr="004740FA">
        <w:rPr>
          <w:rtl/>
        </w:rPr>
        <w:t xml:space="preserve"> </w:t>
      </w:r>
      <w:proofErr w:type="spellStart"/>
      <w:r w:rsidRPr="004740FA">
        <w:rPr>
          <w:rtl/>
        </w:rPr>
        <w:t>וריטב"א</w:t>
      </w:r>
      <w:proofErr w:type="spellEnd"/>
      <w:r w:rsidRPr="004740FA">
        <w:rPr>
          <w:rtl/>
        </w:rPr>
        <w:t>.</w:t>
      </w:r>
    </w:p>
  </w:footnote>
  <w:footnote w:id="14">
    <w:p w14:paraId="331EC2AC" w14:textId="242B47AB" w:rsidR="00B10777" w:rsidRPr="00B10777" w:rsidRDefault="00B10777" w:rsidP="00B10777">
      <w:pPr>
        <w:pStyle w:val="FootnoteText"/>
        <w:rPr>
          <w:rFonts w:hint="cs"/>
          <w:rtl/>
          <w:lang w:val="en-IL"/>
        </w:rPr>
      </w:pPr>
      <w:r>
        <w:rPr>
          <w:rStyle w:val="FootnoteReference"/>
        </w:rPr>
        <w:footnoteRef/>
      </w:r>
      <w:r w:rsidR="00FF34DE">
        <w:rPr>
          <w:rtl/>
        </w:rPr>
        <w:t xml:space="preserve"> </w:t>
      </w:r>
      <w:r w:rsidR="00FF34DE">
        <w:rPr>
          <w:rtl/>
        </w:rPr>
        <w:tab/>
      </w:r>
      <w:r w:rsidRPr="00B10777">
        <w:rPr>
          <w:rtl/>
        </w:rPr>
        <w:t>ישנה מחלוקת האם נזקקים להתראה גם לפני ההכרזה או רק אחרי - ראה בבלי.</w:t>
      </w:r>
    </w:p>
  </w:footnote>
  <w:footnote w:id="15">
    <w:p w14:paraId="4A53EAC3" w14:textId="0C6E7E96" w:rsidR="007F5EED" w:rsidRPr="007F5EED" w:rsidRDefault="007F5EED" w:rsidP="007F5EED">
      <w:pPr>
        <w:pStyle w:val="FootnoteText"/>
        <w:rPr>
          <w:rFonts w:hint="cs"/>
          <w:rtl/>
          <w:lang w:val="en-IL"/>
        </w:rPr>
      </w:pPr>
      <w:r>
        <w:rPr>
          <w:rStyle w:val="FootnoteReference"/>
        </w:rPr>
        <w:footnoteRef/>
      </w:r>
      <w:r w:rsidR="00FF34DE">
        <w:rPr>
          <w:rtl/>
        </w:rPr>
        <w:t xml:space="preserve"> </w:t>
      </w:r>
      <w:r w:rsidR="00FF34DE">
        <w:rPr>
          <w:rtl/>
        </w:rPr>
        <w:tab/>
      </w:r>
      <w:r w:rsidRPr="007F5EED">
        <w:rPr>
          <w:rtl/>
        </w:rPr>
        <w:t>תוספות רי"ד על כתובות, דף ס"ג עמוד ב'.</w:t>
      </w:r>
    </w:p>
  </w:footnote>
  <w:footnote w:id="16">
    <w:p w14:paraId="385C2C2C" w14:textId="35CF0F92" w:rsidR="007C74C1" w:rsidRPr="007C74C1" w:rsidRDefault="007C74C1" w:rsidP="007C74C1">
      <w:pPr>
        <w:pStyle w:val="FootnoteText"/>
        <w:rPr>
          <w:rFonts w:hint="cs"/>
          <w:rtl/>
          <w:lang w:val="en-IL"/>
        </w:rPr>
      </w:pPr>
      <w:r>
        <w:rPr>
          <w:rStyle w:val="FootnoteReference"/>
        </w:rPr>
        <w:footnoteRef/>
      </w:r>
      <w:r w:rsidR="00FF34DE">
        <w:rPr>
          <w:rtl/>
        </w:rPr>
        <w:t xml:space="preserve"> </w:t>
      </w:r>
      <w:r w:rsidR="00FF34DE">
        <w:rPr>
          <w:rtl/>
        </w:rPr>
        <w:tab/>
      </w:r>
      <w:r w:rsidRPr="007C74C1">
        <w:rPr>
          <w:rtl/>
        </w:rPr>
        <w:t>בבלי כתובות דף ס"ג עמוד ב'.</w:t>
      </w:r>
    </w:p>
  </w:footnote>
  <w:footnote w:id="17">
    <w:p w14:paraId="7593E1A9" w14:textId="6CA3502E" w:rsidR="00ED6A64" w:rsidRDefault="00ED6A64" w:rsidP="00ED6A64">
      <w:pPr>
        <w:pStyle w:val="FootnoteText"/>
        <w:rPr>
          <w:rFonts w:hint="cs"/>
          <w:rtl/>
        </w:rPr>
      </w:pPr>
      <w:r>
        <w:rPr>
          <w:rStyle w:val="FootnoteReference"/>
        </w:rPr>
        <w:footnoteRef/>
      </w:r>
      <w:r w:rsidR="00FF34DE">
        <w:rPr>
          <w:rtl/>
        </w:rPr>
        <w:t xml:space="preserve"> </w:t>
      </w:r>
      <w:r w:rsidR="00FF34DE">
        <w:rPr>
          <w:rtl/>
        </w:rPr>
        <w:tab/>
      </w:r>
      <w:r w:rsidRPr="00ED6A64">
        <w:rPr>
          <w:rtl/>
        </w:rPr>
        <w:t>או אף ממלאכה.</w:t>
      </w:r>
    </w:p>
  </w:footnote>
  <w:footnote w:id="18">
    <w:p w14:paraId="64268304" w14:textId="5373F08F" w:rsidR="00434AEC" w:rsidRPr="00434AEC" w:rsidRDefault="00434AEC" w:rsidP="00434AEC">
      <w:pPr>
        <w:pStyle w:val="FootnoteText"/>
        <w:rPr>
          <w:rFonts w:hint="cs"/>
          <w:rtl/>
          <w:lang w:val="en-IL"/>
        </w:rPr>
      </w:pPr>
      <w:r>
        <w:rPr>
          <w:rStyle w:val="FootnoteReference"/>
        </w:rPr>
        <w:footnoteRef/>
      </w:r>
      <w:r w:rsidR="00FF34DE">
        <w:rPr>
          <w:rtl/>
        </w:rPr>
        <w:t xml:space="preserve"> </w:t>
      </w:r>
      <w:r w:rsidR="00FF34DE">
        <w:rPr>
          <w:rtl/>
        </w:rPr>
        <w:tab/>
      </w:r>
      <w:r w:rsidRPr="00434AEC">
        <w:rPr>
          <w:rtl/>
        </w:rPr>
        <w:t>רמב"ם, הלכות אישות, פרק י"ד, הלכה ט'.</w:t>
      </w:r>
    </w:p>
  </w:footnote>
  <w:footnote w:id="19">
    <w:p w14:paraId="4495C477" w14:textId="1A86CA6B" w:rsidR="00D22FBA" w:rsidRPr="00D22FBA" w:rsidRDefault="00D22FBA" w:rsidP="00D22FBA">
      <w:pPr>
        <w:pStyle w:val="FootnoteText"/>
        <w:rPr>
          <w:rFonts w:hint="cs"/>
          <w:rtl/>
          <w:lang w:val="en-IL"/>
        </w:rPr>
      </w:pPr>
      <w:r>
        <w:rPr>
          <w:rStyle w:val="FootnoteReference"/>
        </w:rPr>
        <w:footnoteRef/>
      </w:r>
      <w:r w:rsidR="00FF34DE">
        <w:rPr>
          <w:rtl/>
        </w:rPr>
        <w:t xml:space="preserve"> </w:t>
      </w:r>
      <w:r w:rsidR="00FF34DE">
        <w:rPr>
          <w:rtl/>
        </w:rPr>
        <w:tab/>
      </w:r>
      <w:r w:rsidRPr="00D22FBA">
        <w:rPr>
          <w:rtl/>
        </w:rPr>
        <w:t xml:space="preserve">רש"י ד"ה- "אבל אמרה </w:t>
      </w:r>
      <w:proofErr w:type="spellStart"/>
      <w:r w:rsidRPr="00D22FBA">
        <w:rPr>
          <w:rtl/>
        </w:rPr>
        <w:t>מאיס</w:t>
      </w:r>
      <w:proofErr w:type="spellEnd"/>
      <w:r w:rsidRPr="00D22FBA">
        <w:rPr>
          <w:rtl/>
        </w:rPr>
        <w:t xml:space="preserve"> עליי".</w:t>
      </w:r>
    </w:p>
  </w:footnote>
  <w:footnote w:id="20">
    <w:p w14:paraId="06B42E35" w14:textId="5A043E0C" w:rsidR="00DD2317" w:rsidRPr="00DD2317" w:rsidRDefault="00DD2317" w:rsidP="00DD2317">
      <w:pPr>
        <w:pStyle w:val="FootnoteText"/>
        <w:rPr>
          <w:rFonts w:hint="cs"/>
          <w:lang w:val="en-IL"/>
        </w:rPr>
      </w:pPr>
      <w:r>
        <w:rPr>
          <w:rStyle w:val="FootnoteReference"/>
        </w:rPr>
        <w:footnoteRef/>
      </w:r>
      <w:r w:rsidR="00FF34DE">
        <w:rPr>
          <w:rtl/>
        </w:rPr>
        <w:t xml:space="preserve"> </w:t>
      </w:r>
      <w:r w:rsidR="00FF34DE">
        <w:rPr>
          <w:rtl/>
        </w:rPr>
        <w:tab/>
      </w:r>
      <w:r w:rsidRPr="00DD2317">
        <w:rPr>
          <w:rtl/>
        </w:rPr>
        <w:t xml:space="preserve">ראה </w:t>
      </w:r>
      <w:proofErr w:type="spellStart"/>
      <w:r w:rsidRPr="00DD2317">
        <w:rPr>
          <w:rtl/>
        </w:rPr>
        <w:t>רא"ש</w:t>
      </w:r>
      <w:proofErr w:type="spellEnd"/>
      <w:r w:rsidRPr="00DD2317">
        <w:rPr>
          <w:rtl/>
        </w:rPr>
        <w:t xml:space="preserve"> שם, סימן ל"ד.</w:t>
      </w:r>
    </w:p>
  </w:footnote>
  <w:footnote w:id="21">
    <w:p w14:paraId="1D6864EE" w14:textId="0FD4E5A7" w:rsidR="00F07F87" w:rsidRPr="00F07F87" w:rsidRDefault="00F07F87" w:rsidP="00F07F87">
      <w:pPr>
        <w:pStyle w:val="FootnoteText"/>
        <w:rPr>
          <w:rFonts w:hint="cs"/>
          <w:rtl/>
          <w:lang w:val="en-IL"/>
        </w:rPr>
      </w:pPr>
      <w:r>
        <w:rPr>
          <w:rStyle w:val="FootnoteReference"/>
        </w:rPr>
        <w:footnoteRef/>
      </w:r>
      <w:r w:rsidR="00FF34DE">
        <w:rPr>
          <w:rtl/>
        </w:rPr>
        <w:t xml:space="preserve"> </w:t>
      </w:r>
      <w:r w:rsidR="00FF34DE">
        <w:rPr>
          <w:rtl/>
        </w:rPr>
        <w:tab/>
      </w:r>
      <w:r w:rsidRPr="00F07F87">
        <w:rPr>
          <w:rtl/>
        </w:rPr>
        <w:t>רמב"ם, הלכות אישות, פרק י"ד, הלכה ח'.</w:t>
      </w:r>
    </w:p>
  </w:footnote>
  <w:footnote w:id="22">
    <w:p w14:paraId="5FEF78C5" w14:textId="1D3B5CB4" w:rsidR="00BC099A" w:rsidRPr="00BC099A" w:rsidRDefault="00BC099A" w:rsidP="00BC099A">
      <w:pPr>
        <w:pStyle w:val="FootnoteText"/>
        <w:rPr>
          <w:rFonts w:hint="cs"/>
          <w:lang w:val="en-IL"/>
        </w:rPr>
      </w:pPr>
      <w:r>
        <w:rPr>
          <w:rStyle w:val="FootnoteReference"/>
        </w:rPr>
        <w:footnoteRef/>
      </w:r>
      <w:r w:rsidR="00FF34DE">
        <w:rPr>
          <w:rtl/>
        </w:rPr>
        <w:t xml:space="preserve"> </w:t>
      </w:r>
      <w:r w:rsidR="00FF34DE">
        <w:rPr>
          <w:rtl/>
        </w:rPr>
        <w:tab/>
      </w:r>
      <w:r w:rsidRPr="00BC099A">
        <w:rPr>
          <w:rtl/>
        </w:rPr>
        <w:t>ראה את שיטת רבנו תם בתוספות שם, ד"ה-"היכי דמיא".</w:t>
      </w:r>
    </w:p>
  </w:footnote>
  <w:footnote w:id="23">
    <w:p w14:paraId="2E408CD5" w14:textId="38EA44BD" w:rsidR="00AE5B9B" w:rsidRPr="00AE5B9B" w:rsidRDefault="00AE5B9B" w:rsidP="00AE5B9B">
      <w:pPr>
        <w:pStyle w:val="FootnoteText"/>
        <w:rPr>
          <w:rFonts w:hint="cs"/>
          <w:rtl/>
          <w:lang w:val="en-IL"/>
        </w:rPr>
      </w:pPr>
      <w:r>
        <w:rPr>
          <w:rStyle w:val="FootnoteReference"/>
        </w:rPr>
        <w:footnoteRef/>
      </w:r>
      <w:r w:rsidR="00FF34DE">
        <w:rPr>
          <w:rtl/>
        </w:rPr>
        <w:t xml:space="preserve"> </w:t>
      </w:r>
      <w:r w:rsidR="00FF34DE">
        <w:rPr>
          <w:rtl/>
        </w:rPr>
        <w:tab/>
      </w:r>
      <w:r w:rsidRPr="00AE5B9B">
        <w:rPr>
          <w:rtl/>
        </w:rPr>
        <w:t>בבלי, כתובות דף ס"ד עמוד ב'.</w:t>
      </w:r>
    </w:p>
  </w:footnote>
  <w:footnote w:id="24">
    <w:p w14:paraId="5E992555" w14:textId="1FCB6058" w:rsidR="008214E4" w:rsidRPr="008214E4" w:rsidRDefault="008214E4" w:rsidP="008214E4">
      <w:pPr>
        <w:pStyle w:val="FootnoteText"/>
        <w:rPr>
          <w:rFonts w:hint="cs"/>
          <w:rtl/>
          <w:lang w:val="en-IL"/>
        </w:rPr>
      </w:pPr>
      <w:r>
        <w:rPr>
          <w:rStyle w:val="FootnoteReference"/>
        </w:rPr>
        <w:footnoteRef/>
      </w:r>
      <w:r w:rsidR="00FF34DE">
        <w:rPr>
          <w:rtl/>
        </w:rPr>
        <w:t xml:space="preserve"> </w:t>
      </w:r>
      <w:r w:rsidR="00FF34DE">
        <w:rPr>
          <w:rtl/>
        </w:rPr>
        <w:tab/>
      </w:r>
      <w:r w:rsidRPr="008214E4">
        <w:rPr>
          <w:rtl/>
        </w:rPr>
        <w:t>דבר המרמז על מגמת סוגיית הבבלי.</w:t>
      </w:r>
    </w:p>
  </w:footnote>
  <w:footnote w:id="25">
    <w:p w14:paraId="246A4166" w14:textId="16DA4E4B" w:rsidR="00A2307B" w:rsidRDefault="00A2307B" w:rsidP="00A2307B">
      <w:pPr>
        <w:pStyle w:val="FootnoteText"/>
        <w:rPr>
          <w:rFonts w:hint="cs"/>
        </w:rPr>
      </w:pPr>
      <w:r>
        <w:rPr>
          <w:rStyle w:val="FootnoteReference"/>
        </w:rPr>
        <w:footnoteRef/>
      </w:r>
      <w:r w:rsidR="00FF34DE">
        <w:rPr>
          <w:rtl/>
        </w:rPr>
        <w:t xml:space="preserve"> </w:t>
      </w:r>
      <w:r w:rsidR="00FF34DE">
        <w:rPr>
          <w:rtl/>
        </w:rPr>
        <w:tab/>
      </w:r>
      <w:r w:rsidRPr="00A2307B">
        <w:rPr>
          <w:rtl/>
        </w:rPr>
        <w:t>ירושלמי, כתובות , פרק ה', הלכה ח'.</w:t>
      </w:r>
    </w:p>
  </w:footnote>
  <w:footnote w:id="26">
    <w:p w14:paraId="07BFD83D" w14:textId="0DB23A9D" w:rsidR="00293BA4" w:rsidRDefault="00293BA4" w:rsidP="00293BA4">
      <w:pPr>
        <w:pStyle w:val="FootnoteText"/>
        <w:rPr>
          <w:rFonts w:hint="cs"/>
          <w:rtl/>
        </w:rPr>
      </w:pPr>
      <w:r>
        <w:rPr>
          <w:rStyle w:val="FootnoteReference"/>
        </w:rPr>
        <w:footnoteRef/>
      </w:r>
      <w:r w:rsidR="00FF34DE">
        <w:rPr>
          <w:rtl/>
        </w:rPr>
        <w:t xml:space="preserve"> </w:t>
      </w:r>
      <w:r w:rsidR="00FF34DE">
        <w:rPr>
          <w:rtl/>
        </w:rPr>
        <w:tab/>
      </w:r>
      <w:r w:rsidRPr="00293BA4">
        <w:rPr>
          <w:rtl/>
        </w:rPr>
        <w:t>ראה לעיל.</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9E15" w14:textId="539A7FE4"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0B52DA">
      <w:rPr>
        <w:rFonts w:ascii="Heebo Light" w:hAnsi="Heebo Light" w:cs="Heebo Light"/>
        <w:noProof/>
        <w:sz w:val="18"/>
        <w:szCs w:val="18"/>
      </w:rPr>
      <w:fldChar w:fldCharType="separate"/>
    </w:r>
    <w:r w:rsidR="00FF34DE">
      <w:rPr>
        <w:rFonts w:ascii="Heebo Light" w:hAnsi="Heebo Light" w:cs="Heebo Light"/>
        <w:noProof/>
        <w:sz w:val="18"/>
        <w:szCs w:val="18"/>
        <w:rtl/>
      </w:rPr>
      <w:t>אבישי דולב</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4657" w14:textId="71C424FC"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2834EB">
      <w:rPr>
        <w:rFonts w:ascii="Heebo Light" w:hAnsi="Heebo Light" w:cs="Heebo Light"/>
        <w:noProof/>
        <w:sz w:val="18"/>
        <w:szCs w:val="18"/>
        <w:rtl/>
      </w:rPr>
      <w:fldChar w:fldCharType="begin"/>
    </w:r>
    <w:r w:rsidR="002834EB">
      <w:rPr>
        <w:rFonts w:ascii="Heebo Light" w:hAnsi="Heebo Light" w:cs="Heebo Light"/>
        <w:noProof/>
        <w:sz w:val="18"/>
        <w:szCs w:val="18"/>
        <w:rtl/>
      </w:rPr>
      <w:instrText xml:space="preserve"> </w:instrText>
    </w:r>
    <w:r w:rsidR="002834EB">
      <w:rPr>
        <w:rFonts w:ascii="Heebo Light" w:hAnsi="Heebo Light" w:cs="Heebo Light"/>
        <w:noProof/>
        <w:sz w:val="18"/>
        <w:szCs w:val="18"/>
      </w:rPr>
      <w:instrText>STYLEREF  Title  \* MERGEFORMAT</w:instrText>
    </w:r>
    <w:r w:rsidR="002834EB">
      <w:rPr>
        <w:rFonts w:ascii="Heebo Light" w:hAnsi="Heebo Light" w:cs="Heebo Light"/>
        <w:noProof/>
        <w:sz w:val="18"/>
        <w:szCs w:val="18"/>
        <w:rtl/>
      </w:rPr>
      <w:instrText xml:space="preserve"> </w:instrText>
    </w:r>
    <w:r w:rsidR="002834EB">
      <w:rPr>
        <w:rFonts w:ascii="Heebo Light" w:hAnsi="Heebo Light" w:cs="Heebo Light"/>
        <w:noProof/>
        <w:sz w:val="18"/>
        <w:szCs w:val="18"/>
        <w:rtl/>
      </w:rPr>
      <w:fldChar w:fldCharType="separate"/>
    </w:r>
    <w:r w:rsidR="00FF34DE">
      <w:rPr>
        <w:rFonts w:ascii="Heebo Light" w:hAnsi="Heebo Light" w:cs="Heebo Light"/>
        <w:noProof/>
        <w:sz w:val="18"/>
        <w:szCs w:val="18"/>
        <w:rtl/>
      </w:rPr>
      <w:t>מהות דין מורדת</w:t>
    </w:r>
    <w:r w:rsidR="002834EB">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5EC74"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20"/>
    <w:rsid w:val="000409AA"/>
    <w:rsid w:val="00067BA6"/>
    <w:rsid w:val="000A141E"/>
    <w:rsid w:val="000A2278"/>
    <w:rsid w:val="000B52DA"/>
    <w:rsid w:val="000C7944"/>
    <w:rsid w:val="000F60C8"/>
    <w:rsid w:val="00102E0D"/>
    <w:rsid w:val="00117507"/>
    <w:rsid w:val="00117B51"/>
    <w:rsid w:val="001506FE"/>
    <w:rsid w:val="00187664"/>
    <w:rsid w:val="001C41E2"/>
    <w:rsid w:val="001C59F2"/>
    <w:rsid w:val="001C67F9"/>
    <w:rsid w:val="001F3A80"/>
    <w:rsid w:val="00202AEB"/>
    <w:rsid w:val="00214261"/>
    <w:rsid w:val="00273332"/>
    <w:rsid w:val="002834EB"/>
    <w:rsid w:val="0028519C"/>
    <w:rsid w:val="00293BA4"/>
    <w:rsid w:val="00297452"/>
    <w:rsid w:val="002A5420"/>
    <w:rsid w:val="002D60F4"/>
    <w:rsid w:val="002F4E37"/>
    <w:rsid w:val="003236D7"/>
    <w:rsid w:val="003440CE"/>
    <w:rsid w:val="003711E9"/>
    <w:rsid w:val="003A2676"/>
    <w:rsid w:val="003D5576"/>
    <w:rsid w:val="00420145"/>
    <w:rsid w:val="00424810"/>
    <w:rsid w:val="00434AEC"/>
    <w:rsid w:val="004545B2"/>
    <w:rsid w:val="00466C8B"/>
    <w:rsid w:val="004740FA"/>
    <w:rsid w:val="004C74F9"/>
    <w:rsid w:val="004D4620"/>
    <w:rsid w:val="004F3731"/>
    <w:rsid w:val="004F56D4"/>
    <w:rsid w:val="005208F8"/>
    <w:rsid w:val="00524479"/>
    <w:rsid w:val="005546E3"/>
    <w:rsid w:val="005557AE"/>
    <w:rsid w:val="00562BA1"/>
    <w:rsid w:val="005805DA"/>
    <w:rsid w:val="005D0E87"/>
    <w:rsid w:val="005F33A2"/>
    <w:rsid w:val="00606611"/>
    <w:rsid w:val="00612B20"/>
    <w:rsid w:val="00644AE7"/>
    <w:rsid w:val="00654F62"/>
    <w:rsid w:val="00662B22"/>
    <w:rsid w:val="006E6632"/>
    <w:rsid w:val="00703411"/>
    <w:rsid w:val="00737F13"/>
    <w:rsid w:val="00755E25"/>
    <w:rsid w:val="007A628E"/>
    <w:rsid w:val="007A671B"/>
    <w:rsid w:val="007C74C1"/>
    <w:rsid w:val="007D6473"/>
    <w:rsid w:val="007F5EED"/>
    <w:rsid w:val="00805565"/>
    <w:rsid w:val="008214E4"/>
    <w:rsid w:val="008D1F83"/>
    <w:rsid w:val="008D6718"/>
    <w:rsid w:val="008E29D5"/>
    <w:rsid w:val="0094148D"/>
    <w:rsid w:val="009442C7"/>
    <w:rsid w:val="00984BB9"/>
    <w:rsid w:val="00987353"/>
    <w:rsid w:val="00987908"/>
    <w:rsid w:val="00991A43"/>
    <w:rsid w:val="009E7FBB"/>
    <w:rsid w:val="00A2307B"/>
    <w:rsid w:val="00A31408"/>
    <w:rsid w:val="00AB2BC4"/>
    <w:rsid w:val="00AE5B9B"/>
    <w:rsid w:val="00B10777"/>
    <w:rsid w:val="00B1141A"/>
    <w:rsid w:val="00B32378"/>
    <w:rsid w:val="00B41A38"/>
    <w:rsid w:val="00B5122D"/>
    <w:rsid w:val="00BB325B"/>
    <w:rsid w:val="00BC099A"/>
    <w:rsid w:val="00BD0A43"/>
    <w:rsid w:val="00C02286"/>
    <w:rsid w:val="00C10D32"/>
    <w:rsid w:val="00C32744"/>
    <w:rsid w:val="00C56CAF"/>
    <w:rsid w:val="00C651DB"/>
    <w:rsid w:val="00C87786"/>
    <w:rsid w:val="00CF6525"/>
    <w:rsid w:val="00D22FBA"/>
    <w:rsid w:val="00D446BF"/>
    <w:rsid w:val="00D676EA"/>
    <w:rsid w:val="00DB175E"/>
    <w:rsid w:val="00DD2317"/>
    <w:rsid w:val="00DD25DD"/>
    <w:rsid w:val="00DE02A3"/>
    <w:rsid w:val="00DF5002"/>
    <w:rsid w:val="00E05934"/>
    <w:rsid w:val="00E07AB3"/>
    <w:rsid w:val="00E27E6E"/>
    <w:rsid w:val="00E34842"/>
    <w:rsid w:val="00E4645D"/>
    <w:rsid w:val="00E478D0"/>
    <w:rsid w:val="00ED6A64"/>
    <w:rsid w:val="00EE361A"/>
    <w:rsid w:val="00F07F87"/>
    <w:rsid w:val="00F15862"/>
    <w:rsid w:val="00F938E7"/>
    <w:rsid w:val="00FB28D6"/>
    <w:rsid w:val="00FD4F7B"/>
    <w:rsid w:val="00FF34DE"/>
    <w:rsid w:val="00FF574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8E439"/>
  <w15:docId w15:val="{7C61EFCF-63E9-4D74-9308-579AABB5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067BA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88;&#1497;&#1514;&#1502;&#1512;%20&#1492;&#1511;&#1497;&#1489;&#1493;&#1510;&#1504;&#1497;&#1511;%20&#1505;&#1493;&#1500;&#1496;&#1504;&#1497;&#151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17</TotalTime>
  <Pages>10</Pages>
  <Words>2051</Words>
  <Characters>11693</Characters>
  <Application>Microsoft Office Word</Application>
  <DocSecurity>0</DocSecurity>
  <Lines>97</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59</cp:revision>
  <dcterms:created xsi:type="dcterms:W3CDTF">2026-03-15T19:36:00Z</dcterms:created>
  <dcterms:modified xsi:type="dcterms:W3CDTF">2026-03-15T19:53:00Z</dcterms:modified>
</cp:coreProperties>
</file>