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1814F" w14:textId="4F521F30" w:rsidR="00612B20" w:rsidRDefault="00926B32" w:rsidP="00424810">
      <w:pPr>
        <w:pStyle w:val="a"/>
        <w:rPr>
          <w:rtl/>
        </w:rPr>
      </w:pPr>
      <w:r>
        <w:rPr>
          <w:rFonts w:hint="cs"/>
          <w:rtl/>
        </w:rPr>
        <w:t>איתמר סולטניק</w:t>
      </w:r>
    </w:p>
    <w:p w14:paraId="41FCA1DD" w14:textId="5E76B30B" w:rsidR="00C87786" w:rsidRDefault="00926B32" w:rsidP="00926B32">
      <w:pPr>
        <w:pStyle w:val="Title"/>
        <w:rPr>
          <w:rtl/>
        </w:rPr>
      </w:pPr>
      <w:r>
        <w:rPr>
          <w:rFonts w:hint="cs"/>
          <w:rtl/>
        </w:rPr>
        <w:t>קניין רוחני כאבן בוחן של תפיסת הממון בהלכה</w:t>
      </w:r>
    </w:p>
    <w:p w14:paraId="32831E57" w14:textId="0D936733" w:rsidR="00621CF1" w:rsidRPr="00621CF1" w:rsidRDefault="00621CF1" w:rsidP="00621CF1">
      <w:pPr>
        <w:spacing w:before="240"/>
        <w:ind w:firstLine="0"/>
        <w:rPr>
          <w:lang w:val="en-IL"/>
        </w:rPr>
      </w:pPr>
      <w:r w:rsidRPr="00621CF1">
        <w:rPr>
          <w:rFonts w:hint="cs"/>
          <w:rtl/>
          <w:lang w:val="en-GB"/>
        </w:rPr>
        <w:t>קניין רוחני הינו מושג מורכב, העומד עד היום במרכזם של דיונים חוקיים ופילוסופיים רבים ברחבי העולם, ובדיונים למדניים-הלכתיים בעולמנו. במאמרי אעסוק במושג זה: התפתחותו לאורך ההיסטוריה, החדירה שנויית המחלוקת שלו אל תוך עולם ההלכה והסברות האפשריות מאחוריה</w:t>
      </w:r>
      <w:r w:rsidR="00A30E4C">
        <w:rPr>
          <w:rFonts w:hint="cs"/>
          <w:rtl/>
          <w:lang w:val="en-GB"/>
        </w:rPr>
        <w:t>, היכולות ללמד אותנו על דיני הממון בהלכה ככלל</w:t>
      </w:r>
      <w:r w:rsidRPr="00621CF1">
        <w:rPr>
          <w:rFonts w:hint="cs"/>
          <w:rtl/>
          <w:lang w:val="en-GB"/>
        </w:rPr>
        <w:t>.</w:t>
      </w:r>
      <w:r w:rsidR="005750FF">
        <w:rPr>
          <w:rStyle w:val="FootnoteReference"/>
          <w:lang w:val="en-IL"/>
        </w:rPr>
        <w:footnoteReference w:id="1"/>
      </w:r>
    </w:p>
    <w:p w14:paraId="6B2FCEE9" w14:textId="77777777" w:rsidR="00621CF1" w:rsidRPr="00621CF1" w:rsidRDefault="00621CF1" w:rsidP="00621CF1">
      <w:pPr>
        <w:rPr>
          <w:rtl/>
          <w:lang w:val="en-GB"/>
        </w:rPr>
      </w:pPr>
      <w:r w:rsidRPr="00621CF1">
        <w:rPr>
          <w:rFonts w:hint="cs"/>
          <w:rtl/>
          <w:lang w:val="en-GB"/>
        </w:rPr>
        <w:t>אך ראשית, על מנת לדון במושג, יש להגדיר אותו.</w:t>
      </w:r>
    </w:p>
    <w:p w14:paraId="3AFAFBB8" w14:textId="77777777" w:rsidR="00A54A08" w:rsidRPr="00A54A08" w:rsidRDefault="00A54A08" w:rsidP="00A54A08">
      <w:pPr>
        <w:pStyle w:val="Heading2"/>
        <w:rPr>
          <w:lang w:val="en-IL"/>
        </w:rPr>
      </w:pPr>
      <w:r w:rsidRPr="00A54A08">
        <w:rPr>
          <w:rFonts w:hint="cs"/>
          <w:rtl/>
          <w:lang w:val="en-GB"/>
        </w:rPr>
        <w:t>שתי שיטות בקניין</w:t>
      </w:r>
    </w:p>
    <w:p w14:paraId="17893A40" w14:textId="6347A739" w:rsidR="00E125F0" w:rsidRPr="00E125F0" w:rsidRDefault="00E125F0" w:rsidP="00E125F0">
      <w:pPr>
        <w:ind w:firstLine="0"/>
        <w:rPr>
          <w:lang w:val="en-IL"/>
        </w:rPr>
      </w:pPr>
      <w:r w:rsidRPr="00E125F0">
        <w:rPr>
          <w:rFonts w:hint="cs"/>
          <w:rtl/>
          <w:lang w:val="en-GB"/>
        </w:rPr>
        <w:t>על מנת לדון בקניין רוחני, עלינו לעסוק קודם בשאלה מהו קניין</w:t>
      </w:r>
      <w:r w:rsidR="00006E3D">
        <w:rPr>
          <w:rStyle w:val="FootnoteReference"/>
          <w:rtl/>
          <w:lang w:val="en-GB"/>
        </w:rPr>
        <w:footnoteReference w:id="2"/>
      </w:r>
      <w:r w:rsidRPr="00E125F0">
        <w:rPr>
          <w:rFonts w:hint="cs"/>
          <w:rtl/>
          <w:lang w:val="en-GB"/>
        </w:rPr>
        <w:t>. מדובר כמובן בשאלה מורכבת. חכמים שונים, בין בעולמות ההלכה והלמדנות היהודית ובין בהגות של אומות העולם, הציעו לה תשובות שונות ומגוונות.</w:t>
      </w:r>
    </w:p>
    <w:p w14:paraId="068C68CB" w14:textId="0029554B" w:rsidR="00E125F0" w:rsidRPr="00E125F0" w:rsidRDefault="00E125F0" w:rsidP="00E125F0">
      <w:pPr>
        <w:rPr>
          <w:rFonts w:hint="cs"/>
          <w:rtl/>
          <w:lang w:val="en-GB"/>
        </w:rPr>
      </w:pPr>
      <w:r w:rsidRPr="00E125F0">
        <w:rPr>
          <w:rFonts w:hint="cs"/>
          <w:rtl/>
          <w:lang w:val="en-GB"/>
        </w:rPr>
        <w:lastRenderedPageBreak/>
        <w:t>עם כל זאת, ניתן לחלק את הגישות השונות תחת שתי אסכולות מרכזיות בתפיסה של קניין:</w:t>
      </w:r>
      <w:r w:rsidR="00D40EE6">
        <w:rPr>
          <w:rStyle w:val="FootnoteReference"/>
          <w:rtl/>
          <w:lang w:val="en-GB"/>
        </w:rPr>
        <w:footnoteReference w:id="3"/>
      </w:r>
    </w:p>
    <w:p w14:paraId="539CE86B" w14:textId="3C2E6B41" w:rsidR="00E125F0" w:rsidRPr="00E125F0" w:rsidRDefault="00E125F0" w:rsidP="006E515F">
      <w:pPr>
        <w:rPr>
          <w:rtl/>
          <w:lang w:val="en-GB"/>
        </w:rPr>
      </w:pPr>
      <w:r w:rsidRPr="00E125F0">
        <w:rPr>
          <w:rFonts w:hint="cs"/>
          <w:rtl/>
          <w:lang w:val="en-GB"/>
        </w:rPr>
        <w:t xml:space="preserve">תפיסה אחת לקניין, המזוהה במיוחד עם המשפט האנגלי-אמריקאי המודרני, מגדירה קניין לפי </w:t>
      </w:r>
      <w:r w:rsidRPr="00E125F0">
        <w:rPr>
          <w:rFonts w:hint="cs"/>
          <w:b/>
          <w:bCs/>
          <w:rtl/>
          <w:lang w:val="en-GB"/>
        </w:rPr>
        <w:t>מערך הזכויות שיש לאדם ביחס לנכס מסוים</w:t>
      </w:r>
      <w:r w:rsidRPr="00E125F0">
        <w:rPr>
          <w:rFonts w:hint="cs"/>
          <w:rtl/>
          <w:lang w:val="en-GB"/>
        </w:rPr>
        <w:t xml:space="preserve">, כגון הזכות </w:t>
      </w:r>
      <w:r w:rsidR="00D57563" w:rsidRPr="00E125F0">
        <w:rPr>
          <w:rFonts w:hint="cs"/>
          <w:rtl/>
          <w:lang w:val="en-GB"/>
        </w:rPr>
        <w:t>להשתמש</w:t>
      </w:r>
      <w:r w:rsidRPr="00E125F0">
        <w:rPr>
          <w:rFonts w:hint="cs"/>
          <w:rtl/>
          <w:lang w:val="en-GB"/>
        </w:rPr>
        <w:t xml:space="preserve"> בו, לשנותו, להעבירו ובפרט הזכות למנוע מאחרים להשתמש בו.</w:t>
      </w:r>
      <w:r w:rsidRPr="00E125F0">
        <w:rPr>
          <w:rFonts w:hint="cs"/>
          <w:b/>
          <w:bCs/>
          <w:rtl/>
          <w:lang w:val="en-GB"/>
        </w:rPr>
        <w:t xml:space="preserve"> </w:t>
      </w:r>
      <w:r w:rsidRPr="00E125F0">
        <w:rPr>
          <w:rFonts w:hint="cs"/>
          <w:rtl/>
          <w:lang w:val="en-GB"/>
        </w:rPr>
        <w:t xml:space="preserve">לפי תפיסה זו, הקניין הוא מעמד משפטי יחסי, הנוצר ומתקיים על ידי הסכמה של החברה ורשויות החוק שלאדם פלוני יש זכויות על רכוש מסוים. הבעלות הינה על זכויות ולא על חפץ, ואנשים שונים יכולים להחזיק בזכויות שונות כלפי אותו נכס. גישה זו מכונה </w:t>
      </w:r>
      <w:r w:rsidRPr="00E125F0">
        <w:rPr>
          <w:rFonts w:hint="cs"/>
          <w:b/>
          <w:bCs/>
          <w:rtl/>
          <w:lang w:val="en-GB"/>
        </w:rPr>
        <w:t xml:space="preserve">קניין זכויותי </w:t>
      </w:r>
      <w:r w:rsidRPr="00E125F0">
        <w:rPr>
          <w:rFonts w:hint="cs"/>
          <w:rtl/>
          <w:lang w:val="en-GB"/>
        </w:rPr>
        <w:t>(</w:t>
      </w:r>
      <w:r w:rsidRPr="00FF501D">
        <w:rPr>
          <w:rFonts w:hint="cs"/>
          <w:i/>
          <w:iCs/>
          <w:lang w:val="en-IL"/>
        </w:rPr>
        <w:t>right-based property</w:t>
      </w:r>
      <w:r w:rsidRPr="00E125F0">
        <w:rPr>
          <w:rFonts w:hint="cs"/>
          <w:rtl/>
          <w:lang w:val="en-GB"/>
        </w:rPr>
        <w:t>)</w:t>
      </w:r>
      <w:r w:rsidRPr="00E125F0">
        <w:rPr>
          <w:rFonts w:hint="cs"/>
          <w:b/>
          <w:bCs/>
          <w:rtl/>
          <w:lang w:val="en-GB"/>
        </w:rPr>
        <w:t>,</w:t>
      </w:r>
      <w:r w:rsidRPr="00E125F0">
        <w:rPr>
          <w:rFonts w:hint="cs"/>
          <w:rtl/>
          <w:lang w:val="en-GB"/>
        </w:rPr>
        <w:t xml:space="preserve"> ובשפה למדנית ניתן לתארה כתפיסה של </w:t>
      </w:r>
      <w:r w:rsidRPr="00E125F0">
        <w:rPr>
          <w:rFonts w:hint="cs"/>
          <w:b/>
          <w:bCs/>
          <w:rtl/>
          <w:lang w:val="en-GB"/>
        </w:rPr>
        <w:t>קניין בזכויות</w:t>
      </w:r>
      <w:r w:rsidRPr="00E125F0">
        <w:rPr>
          <w:rFonts w:hint="cs"/>
          <w:rtl/>
          <w:lang w:val="en-GB"/>
        </w:rPr>
        <w:t>.</w:t>
      </w:r>
    </w:p>
    <w:p w14:paraId="458D454F" w14:textId="0B9E74EF" w:rsidR="00E125F0" w:rsidRPr="00E125F0" w:rsidRDefault="00E125F0" w:rsidP="006E515F">
      <w:pPr>
        <w:rPr>
          <w:rtl/>
          <w:lang w:val="en-GB"/>
        </w:rPr>
      </w:pPr>
      <w:r w:rsidRPr="00E125F0">
        <w:rPr>
          <w:rFonts w:hint="cs"/>
          <w:rtl/>
          <w:lang w:val="en-GB"/>
        </w:rPr>
        <w:t xml:space="preserve">האסכולה השנייה, המזוהה עם החוק הרומי הקלאסי, רואה בבעלות </w:t>
      </w:r>
      <w:r w:rsidRPr="00E125F0">
        <w:rPr>
          <w:rFonts w:hint="cs"/>
          <w:b/>
          <w:bCs/>
          <w:rtl/>
          <w:lang w:val="en-GB"/>
        </w:rPr>
        <w:t>זיקה מהותית בין אדם לנכס</w:t>
      </w:r>
      <w:r w:rsidRPr="00E125F0">
        <w:rPr>
          <w:rFonts w:hint="cs"/>
          <w:rtl/>
          <w:lang w:val="en-GB"/>
        </w:rPr>
        <w:t xml:space="preserve">, הנוצרת באמצעות מעשה קניין קונקרטי, כגון גידור קרקע או העברה של חפץ בטקס מסוים. לפי תפיסה זו הבעלות איננה רק הכרה חברתית בזכויות, אלא </w:t>
      </w:r>
      <w:r w:rsidRPr="00E125F0">
        <w:rPr>
          <w:rFonts w:hint="cs"/>
          <w:b/>
          <w:bCs/>
          <w:rtl/>
          <w:lang w:val="en-GB"/>
        </w:rPr>
        <w:t>חלות אובייקטיבית</w:t>
      </w:r>
      <w:r w:rsidRPr="00E125F0">
        <w:rPr>
          <w:rFonts w:hint="cs"/>
          <w:rtl/>
          <w:lang w:val="en-GB"/>
        </w:rPr>
        <w:t xml:space="preserve"> הנוצרת על החפץ עצמו, והמעבר בין בעלים נתפס כמעשה המחולל שינוי מהותי במציאות. גדרי הבעלות לא נקבעים לפי הסכמת החברה אלא לפי כללים אובייקטיבים ומחייבים.</w:t>
      </w:r>
      <w:r w:rsidR="002B1491">
        <w:rPr>
          <w:rStyle w:val="FootnoteReference"/>
          <w:rtl/>
          <w:lang w:val="en-GB"/>
        </w:rPr>
        <w:footnoteReference w:id="4"/>
      </w:r>
      <w:r w:rsidRPr="00E125F0">
        <w:rPr>
          <w:rFonts w:hint="cs"/>
          <w:rtl/>
          <w:lang w:val="en-GB"/>
        </w:rPr>
        <w:t xml:space="preserve"> משום כך, לא כל דבר יכול להיחשב מושא לקניין, שהרי קניין נעשה על ידי </w:t>
      </w:r>
      <w:r w:rsidRPr="00E125F0">
        <w:rPr>
          <w:rFonts w:hint="cs"/>
          <w:b/>
          <w:bCs/>
          <w:rtl/>
          <w:lang w:val="en-GB"/>
        </w:rPr>
        <w:t xml:space="preserve">מעשה במציאות החיצונית. </w:t>
      </w:r>
      <w:r w:rsidRPr="00E125F0">
        <w:rPr>
          <w:rFonts w:hint="cs"/>
          <w:rtl/>
          <w:lang w:val="en-GB"/>
        </w:rPr>
        <w:t xml:space="preserve">הזכויות המוסכמות של אדם ברכושו הינן השלכה של בעלות, ולא הגדרת הבעלות עצמה. קניין זה מכונה </w:t>
      </w:r>
      <w:r w:rsidRPr="00E125F0">
        <w:rPr>
          <w:rFonts w:hint="cs"/>
          <w:b/>
          <w:bCs/>
          <w:rtl/>
          <w:lang w:val="en-GB"/>
        </w:rPr>
        <w:t>קניין מהותי</w:t>
      </w:r>
      <w:r w:rsidRPr="00E125F0">
        <w:rPr>
          <w:rFonts w:hint="cs"/>
          <w:rtl/>
          <w:lang w:val="en-GB"/>
        </w:rPr>
        <w:t xml:space="preserve"> או </w:t>
      </w:r>
      <w:r w:rsidRPr="00E125F0">
        <w:rPr>
          <w:rFonts w:hint="cs"/>
          <w:b/>
          <w:bCs/>
          <w:rtl/>
          <w:lang w:val="en-GB"/>
        </w:rPr>
        <w:t>קניין חפצי</w:t>
      </w:r>
      <w:r w:rsidRPr="00E125F0">
        <w:rPr>
          <w:rFonts w:hint="cs"/>
          <w:rtl/>
          <w:lang w:val="en-GB"/>
        </w:rPr>
        <w:t xml:space="preserve"> (</w:t>
      </w:r>
      <w:r w:rsidRPr="00E66E16">
        <w:rPr>
          <w:rFonts w:hint="cs"/>
          <w:i/>
          <w:iCs/>
          <w:lang w:val="en-IL"/>
        </w:rPr>
        <w:t>thing-based property</w:t>
      </w:r>
      <w:r w:rsidRPr="00E125F0">
        <w:rPr>
          <w:rFonts w:hint="cs"/>
          <w:rtl/>
          <w:lang w:val="en-GB"/>
        </w:rPr>
        <w:t xml:space="preserve">), ובשפה למדנית ניתן לתארה כתפיסה של </w:t>
      </w:r>
      <w:r w:rsidRPr="00E125F0">
        <w:rPr>
          <w:rFonts w:hint="cs"/>
          <w:b/>
          <w:bCs/>
          <w:rtl/>
          <w:lang w:val="en-GB"/>
        </w:rPr>
        <w:t>קניין בחפצא</w:t>
      </w:r>
      <w:r w:rsidR="00C76D62">
        <w:rPr>
          <w:rStyle w:val="FootnoteReference"/>
          <w:rtl/>
          <w:lang w:val="en-GB"/>
        </w:rPr>
        <w:footnoteReference w:id="5"/>
      </w:r>
      <w:r w:rsidRPr="00E125F0">
        <w:rPr>
          <w:rFonts w:hint="cs"/>
          <w:rtl/>
          <w:lang w:val="en-GB"/>
        </w:rPr>
        <w:t>.</w:t>
      </w:r>
    </w:p>
    <w:p w14:paraId="57A8CBE1" w14:textId="77777777" w:rsidR="00E125F0" w:rsidRPr="00E125F0" w:rsidRDefault="00E125F0" w:rsidP="00C307E0">
      <w:pPr>
        <w:ind w:firstLine="0"/>
        <w:rPr>
          <w:rtl/>
          <w:lang w:val="en-GB"/>
        </w:rPr>
      </w:pPr>
      <w:r w:rsidRPr="00E125F0">
        <w:rPr>
          <w:rFonts w:hint="cs"/>
          <w:rtl/>
          <w:lang w:val="en-GB"/>
        </w:rPr>
        <w:lastRenderedPageBreak/>
        <w:t>על מנת להמחיש בבהירות את ההבדל בין התפיסות, ניתן להתבונן באופי השיח שהן מייצרות:</w:t>
      </w:r>
    </w:p>
    <w:p w14:paraId="01A24AF6" w14:textId="77777777" w:rsidR="00E125F0" w:rsidRPr="00E125F0" w:rsidRDefault="00E125F0" w:rsidP="00E125F0">
      <w:pPr>
        <w:rPr>
          <w:rtl/>
          <w:lang w:val="en-GB"/>
        </w:rPr>
      </w:pPr>
      <w:r w:rsidRPr="00E125F0">
        <w:rPr>
          <w:rFonts w:hint="cs"/>
          <w:rtl/>
          <w:lang w:val="en-GB"/>
        </w:rPr>
        <w:t xml:space="preserve">במסגרת תפיסה חפצית, הדיון המשפטי מתמקד בשאלה </w:t>
      </w:r>
      <w:r w:rsidRPr="00E125F0">
        <w:rPr>
          <w:rFonts w:hint="cs"/>
          <w:b/>
          <w:bCs/>
          <w:rtl/>
          <w:lang w:val="en-GB"/>
        </w:rPr>
        <w:t>האם ישות מסוימת יכולה לשמש מושא לקניין</w:t>
      </w:r>
      <w:r w:rsidRPr="00E125F0">
        <w:rPr>
          <w:rFonts w:hint="cs"/>
          <w:rtl/>
          <w:lang w:val="en-GB"/>
        </w:rPr>
        <w:t xml:space="preserve">, והאם ניתן להחיל עליה חלות קניינית ממשית. לעומת זאת, בתפיסה הזכויותית, הדיון איננו עקרוני־אונטולוגי אלא נורמטיבי־ציבורי: </w:t>
      </w:r>
      <w:r w:rsidRPr="00E125F0">
        <w:rPr>
          <w:rFonts w:hint="cs"/>
          <w:b/>
          <w:bCs/>
          <w:rtl/>
          <w:lang w:val="en-GB"/>
        </w:rPr>
        <w:t>האם זהו אינטרס החברה להכיר בממון מסוים</w:t>
      </w:r>
      <w:r w:rsidRPr="00E125F0">
        <w:rPr>
          <w:rFonts w:hint="cs"/>
          <w:rtl/>
          <w:lang w:val="en-GB"/>
        </w:rPr>
        <w:t xml:space="preserve">, והאם על המדינה לאכוף אותו. לדוגמא, מחוקק רומי ישאל "האם לאדם </w:t>
      </w:r>
      <w:r w:rsidRPr="00E125F0">
        <w:rPr>
          <w:rFonts w:hint="cs"/>
          <w:b/>
          <w:bCs/>
          <w:rtl/>
          <w:lang w:val="en-GB"/>
        </w:rPr>
        <w:t>יכולה</w:t>
      </w:r>
      <w:r w:rsidRPr="00E125F0">
        <w:rPr>
          <w:rFonts w:hint="cs"/>
          <w:rtl/>
          <w:lang w:val="en-GB"/>
        </w:rPr>
        <w:t xml:space="preserve"> להיות בעלות על אדם אחר?" בעוד מחוקק אנגלי ישאל "האם אנו </w:t>
      </w:r>
      <w:r w:rsidRPr="00E125F0">
        <w:rPr>
          <w:rFonts w:hint="cs"/>
          <w:b/>
          <w:bCs/>
          <w:rtl/>
          <w:lang w:val="en-GB"/>
        </w:rPr>
        <w:t>רוצים</w:t>
      </w:r>
      <w:r w:rsidRPr="00E125F0">
        <w:rPr>
          <w:rFonts w:hint="cs"/>
          <w:rtl/>
          <w:lang w:val="en-GB"/>
        </w:rPr>
        <w:t xml:space="preserve"> לאפשר לאדם בעלות על אדם אחר?".</w:t>
      </w:r>
    </w:p>
    <w:p w14:paraId="4A227923" w14:textId="25877220" w:rsidR="00E125F0" w:rsidRPr="00E125F0" w:rsidRDefault="00E125F0" w:rsidP="00E125F0">
      <w:pPr>
        <w:rPr>
          <w:rtl/>
          <w:lang w:val="en-GB"/>
        </w:rPr>
      </w:pPr>
      <w:r w:rsidRPr="00E125F0">
        <w:rPr>
          <w:rFonts w:hint="cs"/>
          <w:rtl/>
          <w:lang w:val="en-GB"/>
        </w:rPr>
        <w:t>לאור חלוקה זו, נראה כי הקניין במשפט העברי קרוב יותר למודל הקניין החפצי מאשר למודל הזכויותי. אמנם ההלכה אינה מאמצת תפיסה של בעלות מוחלטת (</w:t>
      </w:r>
      <w:r w:rsidRPr="00E125F0">
        <w:rPr>
          <w:rFonts w:hint="cs"/>
          <w:i/>
          <w:iCs/>
          <w:lang w:val="en-IL"/>
        </w:rPr>
        <w:t>dominium</w:t>
      </w:r>
      <w:r w:rsidRPr="00E125F0">
        <w:rPr>
          <w:rFonts w:hint="cs"/>
          <w:rtl/>
          <w:lang w:val="en-GB"/>
        </w:rPr>
        <w:t>) כמו המשפט הרומי</w:t>
      </w:r>
      <w:r w:rsidR="006732DA">
        <w:rPr>
          <w:rStyle w:val="FootnoteReference"/>
          <w:rtl/>
          <w:lang w:val="en-GB"/>
        </w:rPr>
        <w:footnoteReference w:id="6"/>
      </w:r>
      <w:r w:rsidRPr="00E125F0">
        <w:rPr>
          <w:rFonts w:hint="cs"/>
          <w:rtl/>
          <w:lang w:val="en-GB"/>
        </w:rPr>
        <w:t>, אך היא רואה בקניין חלות ממשית המתקיימת בין האדם לחפץ, הנוצרת על ידי מעשה קניין מוגדר. ההלכה אינה מסתפקת בסתם הסכמה חברתית אלא מגדירה ודורשת מעשה קניין במציאות, ופועלת לחקור בדיוק באילו תנאים ובאילו ישויות ניתן להחיל חלות קניינית. בהתאם לכך, ספרות התורה שבעל־פה רוויה בדיונים עקרוניים בשאלת עצם האפשרות לקנות סוגים שונים של ממון, כגון דבר שלא בא לעולם או דבר שאין בו ממש. דיונים אלו מעידים על תפיסה של הבעלות כחלות אובייקטיבית הדורשת מושא ראוי, ולא רק כהסדר של זכויות מוסכמות:</w:t>
      </w:r>
    </w:p>
    <w:p w14:paraId="278E0F48" w14:textId="1D2FC5CB" w:rsidR="00E125F0" w:rsidRPr="00E125F0" w:rsidRDefault="00E125F0" w:rsidP="003845C1">
      <w:pPr>
        <w:pStyle w:val="Quote"/>
        <w:rPr>
          <w:rtl/>
          <w:lang w:val="en-GB"/>
        </w:rPr>
      </w:pPr>
      <w:proofErr w:type="spellStart"/>
      <w:r w:rsidRPr="00E125F0">
        <w:rPr>
          <w:rFonts w:hint="cs"/>
          <w:rtl/>
          <w:lang w:val="en-GB"/>
        </w:rPr>
        <w:t>דהענין</w:t>
      </w:r>
      <w:proofErr w:type="spellEnd"/>
      <w:r w:rsidRPr="00E125F0">
        <w:rPr>
          <w:rFonts w:hint="cs"/>
          <w:rtl/>
          <w:lang w:val="en-GB"/>
        </w:rPr>
        <w:t xml:space="preserve"> מה שאנו מיחסים החפץ לראובן הוא מחמת ששמעון מוזהר עפ"י התורה שלא לגוזלו ממנו, אלא הדבר הוא בהיפוך - </w:t>
      </w:r>
      <w:proofErr w:type="spellStart"/>
      <w:r w:rsidRPr="00E125F0">
        <w:rPr>
          <w:rFonts w:hint="cs"/>
          <w:b/>
          <w:bCs/>
          <w:rtl/>
          <w:lang w:val="en-GB"/>
        </w:rPr>
        <w:t>דאיסור</w:t>
      </w:r>
      <w:proofErr w:type="spellEnd"/>
      <w:r w:rsidRPr="00E125F0">
        <w:rPr>
          <w:rFonts w:hint="cs"/>
          <w:b/>
          <w:bCs/>
          <w:rtl/>
          <w:lang w:val="en-GB"/>
        </w:rPr>
        <w:t xml:space="preserve"> </w:t>
      </w:r>
      <w:proofErr w:type="spellStart"/>
      <w:r w:rsidRPr="00E125F0">
        <w:rPr>
          <w:rFonts w:hint="cs"/>
          <w:b/>
          <w:bCs/>
          <w:rtl/>
          <w:lang w:val="en-GB"/>
        </w:rPr>
        <w:t>גזילה</w:t>
      </w:r>
      <w:proofErr w:type="spellEnd"/>
      <w:r w:rsidRPr="00E125F0">
        <w:rPr>
          <w:rFonts w:hint="cs"/>
          <w:b/>
          <w:bCs/>
          <w:rtl/>
          <w:lang w:val="en-GB"/>
        </w:rPr>
        <w:t xml:space="preserve"> הוא לאחר </w:t>
      </w:r>
      <w:r w:rsidRPr="00E125F0">
        <w:rPr>
          <w:rFonts w:hint="cs"/>
          <w:b/>
          <w:bCs/>
          <w:rtl/>
          <w:lang w:val="en-GB"/>
        </w:rPr>
        <w:lastRenderedPageBreak/>
        <w:t xml:space="preserve">החלטת </w:t>
      </w:r>
      <w:proofErr w:type="spellStart"/>
      <w:r w:rsidRPr="00E125F0">
        <w:rPr>
          <w:rFonts w:hint="cs"/>
          <w:b/>
          <w:bCs/>
          <w:rtl/>
          <w:lang w:val="en-GB"/>
        </w:rPr>
        <w:t>הענין</w:t>
      </w:r>
      <w:proofErr w:type="spellEnd"/>
      <w:r w:rsidRPr="00E125F0">
        <w:rPr>
          <w:rFonts w:hint="cs"/>
          <w:b/>
          <w:bCs/>
          <w:rtl/>
          <w:lang w:val="en-GB"/>
        </w:rPr>
        <w:t xml:space="preserve"> בחוקי גבולי הבעלים.</w:t>
      </w:r>
      <w:r w:rsidR="003845C1">
        <w:rPr>
          <w:rStyle w:val="FootnoteReference"/>
          <w:rtl/>
          <w:lang w:val="en-GB"/>
        </w:rPr>
        <w:footnoteReference w:id="7"/>
      </w:r>
      <w:r w:rsidR="00622199">
        <w:rPr>
          <w:rFonts w:hint="cs"/>
          <w:b/>
          <w:bCs/>
          <w:rtl/>
          <w:lang w:val="en-GB"/>
        </w:rPr>
        <w:t xml:space="preserve"> </w:t>
      </w:r>
      <w:r w:rsidR="00622199" w:rsidRPr="007A1300">
        <w:rPr>
          <w:rStyle w:val="FootnoteReference"/>
          <w:rtl/>
          <w:lang w:val="en-GB"/>
        </w:rPr>
        <w:footnoteReference w:id="8"/>
      </w:r>
    </w:p>
    <w:p w14:paraId="0FECFAC0" w14:textId="1126EBB7" w:rsidR="00E125F0" w:rsidRPr="00E125F0" w:rsidRDefault="00E125F0" w:rsidP="00B24F06">
      <w:pPr>
        <w:ind w:firstLine="0"/>
        <w:rPr>
          <w:rtl/>
          <w:lang w:val="en-GB"/>
        </w:rPr>
      </w:pPr>
      <w:r w:rsidRPr="00E125F0">
        <w:rPr>
          <w:rFonts w:hint="cs"/>
          <w:rtl/>
          <w:lang w:val="en-GB"/>
        </w:rPr>
        <w:t>הזכויות המעשיות הנובעות מן הקניין</w:t>
      </w:r>
      <w:r w:rsidR="007A1300">
        <w:rPr>
          <w:rStyle w:val="FootnoteReference"/>
          <w:rtl/>
          <w:lang w:val="en-GB"/>
        </w:rPr>
        <w:footnoteReference w:id="9"/>
      </w:r>
      <w:r w:rsidRPr="00E125F0">
        <w:rPr>
          <w:rFonts w:hint="cs"/>
          <w:rtl/>
          <w:lang w:val="en-GB"/>
        </w:rPr>
        <w:t xml:space="preserve"> הינן השלכה של החלות </w:t>
      </w:r>
      <w:r w:rsidR="00306CCA" w:rsidRPr="00E125F0">
        <w:rPr>
          <w:rFonts w:hint="cs"/>
          <w:rtl/>
          <w:lang w:val="en-GB"/>
        </w:rPr>
        <w:t>הקנייני</w:t>
      </w:r>
      <w:r w:rsidR="00306CCA" w:rsidRPr="00E125F0">
        <w:rPr>
          <w:rFonts w:hint="eastAsia"/>
          <w:rtl/>
          <w:lang w:val="en-GB"/>
        </w:rPr>
        <w:t>ת</w:t>
      </w:r>
      <w:r w:rsidRPr="00E125F0">
        <w:rPr>
          <w:rFonts w:hint="cs"/>
          <w:rtl/>
          <w:lang w:val="en-GB"/>
        </w:rPr>
        <w:t xml:space="preserve"> בין האדם לרכושו,</w:t>
      </w:r>
      <w:r w:rsidR="00366FEF">
        <w:rPr>
          <w:rStyle w:val="FootnoteReference"/>
          <w:rtl/>
          <w:lang w:val="en-GB"/>
        </w:rPr>
        <w:footnoteReference w:id="10"/>
      </w:r>
      <w:r w:rsidRPr="00E125F0">
        <w:rPr>
          <w:rFonts w:hint="cs"/>
          <w:rtl/>
          <w:lang w:val="en-GB"/>
        </w:rPr>
        <w:t xml:space="preserve"> ולא הגדרתה. </w:t>
      </w:r>
    </w:p>
    <w:p w14:paraId="47DB18EF" w14:textId="77777777" w:rsidR="00621E8E" w:rsidRPr="00621E8E" w:rsidRDefault="00621E8E" w:rsidP="00621E8E">
      <w:pPr>
        <w:pStyle w:val="Heading2"/>
        <w:rPr>
          <w:lang w:val="en-IL"/>
        </w:rPr>
      </w:pPr>
      <w:r w:rsidRPr="00621E8E">
        <w:rPr>
          <w:rFonts w:hint="cs"/>
          <w:rtl/>
          <w:lang w:val="en-GB"/>
        </w:rPr>
        <w:t>מהו קניין רוחני?</w:t>
      </w:r>
    </w:p>
    <w:p w14:paraId="4B34188C" w14:textId="77777777" w:rsidR="006B63C8" w:rsidRPr="006B63C8" w:rsidRDefault="006B63C8" w:rsidP="006B63C8">
      <w:pPr>
        <w:ind w:firstLine="0"/>
        <w:rPr>
          <w:lang w:val="en-IL"/>
        </w:rPr>
      </w:pPr>
      <w:r w:rsidRPr="006B63C8">
        <w:rPr>
          <w:rFonts w:hint="cs"/>
          <w:rtl/>
          <w:lang w:val="en-GB"/>
        </w:rPr>
        <w:t>קניין רוחני הינו רכוש שאינו מוחשי, כגון יצירת אומנות, המצאה, אלגוריתם וכדומה.</w:t>
      </w:r>
    </w:p>
    <w:p w14:paraId="289E8B0D" w14:textId="6E8AB507" w:rsidR="006B63C8" w:rsidRPr="006B63C8" w:rsidRDefault="006B63C8" w:rsidP="006B63C8">
      <w:pPr>
        <w:rPr>
          <w:rtl/>
          <w:lang w:val="en-GB"/>
        </w:rPr>
      </w:pPr>
      <w:r w:rsidRPr="006B63C8">
        <w:rPr>
          <w:rFonts w:hint="cs"/>
          <w:rtl/>
          <w:lang w:val="en-GB"/>
        </w:rPr>
        <w:t xml:space="preserve">כפי שכתבנו, במערכות משפט של קניין זכויותי, הגדרת הממון היא סך הזכויות שיש לאדם ברכושו. לכן, אין הבדל בין המושג </w:t>
      </w:r>
      <w:r w:rsidRPr="006B63C8">
        <w:rPr>
          <w:rFonts w:hint="cs"/>
          <w:b/>
          <w:bCs/>
          <w:rtl/>
          <w:lang w:val="en-GB"/>
        </w:rPr>
        <w:t>זכויות יוצרים</w:t>
      </w:r>
      <w:r w:rsidRPr="006B63C8">
        <w:rPr>
          <w:rFonts w:hint="cs"/>
          <w:rtl/>
          <w:lang w:val="en-GB"/>
        </w:rPr>
        <w:t xml:space="preserve"> לבין המושג </w:t>
      </w:r>
      <w:r w:rsidRPr="006B63C8">
        <w:rPr>
          <w:rFonts w:hint="cs"/>
          <w:b/>
          <w:bCs/>
          <w:rtl/>
          <w:lang w:val="en-GB"/>
        </w:rPr>
        <w:t>קניין רוחני</w:t>
      </w:r>
      <w:r w:rsidRPr="006B63C8">
        <w:rPr>
          <w:rFonts w:hint="cs"/>
          <w:rtl/>
          <w:lang w:val="en-GB"/>
        </w:rPr>
        <w:t xml:space="preserve"> - מדובר פשוט בזכויות שיש ליוצר ביצירה רוחנית שיצר, כגון סיפור או המצאה. זכויות אלו ניתנות להעברה וחלוקה כמו הזכויות שיש לו ברכושו הממשי. במערכת כזאת, הבעלות אינה סטטוס במציאות אלא החלטה אנושית, ולכן תלויה לגמרי ברצון בני האדם. לכן, זכויות היוצרים כקניין נוצרות כמו כל קניין: בהסכם בין שני צדדים (לדוגמא, הממציא והמדינה</w:t>
      </w:r>
      <w:r w:rsidR="00A670C1">
        <w:rPr>
          <w:rStyle w:val="FootnoteReference"/>
          <w:rtl/>
          <w:lang w:val="en-GB"/>
        </w:rPr>
        <w:footnoteReference w:id="11"/>
      </w:r>
      <w:r w:rsidRPr="006B63C8">
        <w:rPr>
          <w:rFonts w:hint="cs"/>
          <w:rtl/>
          <w:lang w:val="en-GB"/>
        </w:rPr>
        <w:t xml:space="preserve">), ואין הבדל בין </w:t>
      </w:r>
      <w:r w:rsidRPr="006B63C8">
        <w:rPr>
          <w:rFonts w:hint="cs"/>
          <w:b/>
          <w:bCs/>
          <w:rtl/>
          <w:lang w:val="en-GB"/>
        </w:rPr>
        <w:t>בעלות על יצירה</w:t>
      </w:r>
      <w:r w:rsidRPr="006B63C8">
        <w:rPr>
          <w:rFonts w:hint="cs"/>
          <w:rtl/>
          <w:lang w:val="en-GB"/>
        </w:rPr>
        <w:t xml:space="preserve"> לבין </w:t>
      </w:r>
      <w:r w:rsidRPr="006B63C8">
        <w:rPr>
          <w:rFonts w:hint="cs"/>
          <w:b/>
          <w:bCs/>
          <w:rtl/>
          <w:lang w:val="en-GB"/>
        </w:rPr>
        <w:t>זכויות ביצירה.</w:t>
      </w:r>
      <w:r w:rsidR="00BD3086">
        <w:rPr>
          <w:rStyle w:val="FootnoteReference"/>
          <w:rtl/>
          <w:lang w:val="en-GB"/>
        </w:rPr>
        <w:footnoteReference w:id="12"/>
      </w:r>
    </w:p>
    <w:p w14:paraId="264494BD" w14:textId="77777777" w:rsidR="00AF40BB" w:rsidRDefault="006B63C8" w:rsidP="00AF40BB">
      <w:pPr>
        <w:rPr>
          <w:rtl/>
          <w:lang w:val="en-GB"/>
        </w:rPr>
      </w:pPr>
      <w:r w:rsidRPr="006B63C8">
        <w:rPr>
          <w:rFonts w:hint="cs"/>
          <w:rtl/>
          <w:lang w:val="en-GB"/>
        </w:rPr>
        <w:lastRenderedPageBreak/>
        <w:t>מאידך, במשפט הדן בממון חפצי, כמו המשפט העברי, נצטרך לעשות חלוקה בין המושגים:</w:t>
      </w:r>
    </w:p>
    <w:p w14:paraId="7031F472" w14:textId="77777777" w:rsidR="00554C10" w:rsidRDefault="006B63C8" w:rsidP="00554C10">
      <w:pPr>
        <w:rPr>
          <w:rtl/>
          <w:lang w:val="en-GB"/>
        </w:rPr>
      </w:pPr>
      <w:r w:rsidRPr="00AF40BB">
        <w:rPr>
          <w:rFonts w:hint="cs"/>
          <w:b/>
          <w:bCs/>
          <w:rtl/>
          <w:lang w:val="en-GB"/>
        </w:rPr>
        <w:t>זכויות יוצרים</w:t>
      </w:r>
      <w:r w:rsidRPr="00AF40BB">
        <w:rPr>
          <w:rFonts w:hint="cs"/>
          <w:rtl/>
          <w:lang w:val="en-GB"/>
        </w:rPr>
        <w:t xml:space="preserve"> הינן זכויות שהענקנו ליוצר, אך </w:t>
      </w:r>
      <w:r w:rsidRPr="00AF40BB">
        <w:rPr>
          <w:rFonts w:hint="cs"/>
          <w:b/>
          <w:bCs/>
          <w:rtl/>
          <w:lang w:val="en-GB"/>
        </w:rPr>
        <w:t xml:space="preserve">אינן בעלות של ממש. </w:t>
      </w:r>
      <w:r w:rsidRPr="00AF40BB">
        <w:rPr>
          <w:rFonts w:hint="cs"/>
          <w:rtl/>
          <w:lang w:val="en-GB"/>
        </w:rPr>
        <w:t>הן יכולות להיווצר באמצעות הסכמים או תקנות וחרמות של הרשויות, או אפילו להיחשב כזכויות טבעיות, אך אינן דין במציאות, ונתונות להגדרת החברה ותלויות ברצונה של החברה להכיר בהן. אנחנו יכולים לבחור להעניק זכויות ליוצר, אבל ביכולתנו להגדיר אותן כרצוננו ולהגביל אותן בזמן.</w:t>
      </w:r>
    </w:p>
    <w:p w14:paraId="122BEEA3" w14:textId="15438CDB" w:rsidR="006B63C8" w:rsidRPr="00554C10" w:rsidRDefault="0035609D" w:rsidP="00554C10">
      <w:pPr>
        <w:rPr>
          <w:rtl/>
          <w:lang w:val="en-GB"/>
        </w:rPr>
      </w:pPr>
      <w:r>
        <w:rPr>
          <w:rFonts w:hint="cs"/>
          <w:rtl/>
          <w:lang w:val="en-GB"/>
        </w:rPr>
        <w:t>לעומת זאת</w:t>
      </w:r>
      <w:r w:rsidR="00015D46">
        <w:rPr>
          <w:rFonts w:hint="cs"/>
          <w:rtl/>
          <w:lang w:val="en-GB"/>
        </w:rPr>
        <w:t xml:space="preserve">, </w:t>
      </w:r>
      <w:r w:rsidR="006B63C8" w:rsidRPr="00554C10">
        <w:rPr>
          <w:rFonts w:hint="cs"/>
          <w:b/>
          <w:bCs/>
          <w:rtl/>
          <w:lang w:val="en-GB"/>
        </w:rPr>
        <w:t>קניין רוחני</w:t>
      </w:r>
      <w:r w:rsidR="006B63C8" w:rsidRPr="00554C10">
        <w:rPr>
          <w:rFonts w:hint="cs"/>
          <w:rtl/>
          <w:lang w:val="en-GB"/>
        </w:rPr>
        <w:t xml:space="preserve"> הוא בעלות על יצירה רוחנית, במשמעותה המלאה של המילה. קניין זה נובע מזיקה ישירה בין היוצר ליצירה, ויוצר זכות מהותית חסרת הגבלה של היוצר ביצירתו. אם הוא קיים אזי הוא </w:t>
      </w:r>
      <w:r w:rsidR="006B63C8" w:rsidRPr="00554C10">
        <w:rPr>
          <w:rFonts w:hint="cs"/>
          <w:b/>
          <w:bCs/>
          <w:rtl/>
          <w:lang w:val="en-GB"/>
        </w:rPr>
        <w:t>אמת אובייקטיבית מחייבת</w:t>
      </w:r>
      <w:r w:rsidR="006B63C8" w:rsidRPr="00554C10">
        <w:rPr>
          <w:rFonts w:hint="cs"/>
          <w:rtl/>
          <w:lang w:val="en-GB"/>
        </w:rPr>
        <w:t xml:space="preserve"> שלא ניתן לעקור</w:t>
      </w:r>
      <w:r w:rsidR="00055219">
        <w:rPr>
          <w:rStyle w:val="FootnoteReference"/>
          <w:rtl/>
          <w:lang w:val="en-GB"/>
        </w:rPr>
        <w:footnoteReference w:id="13"/>
      </w:r>
      <w:r w:rsidR="006B63C8" w:rsidRPr="00554C10">
        <w:rPr>
          <w:rFonts w:hint="cs"/>
          <w:rtl/>
          <w:lang w:val="en-GB"/>
        </w:rPr>
        <w:t>, כמו שאר צורות הממון.</w:t>
      </w:r>
    </w:p>
    <w:p w14:paraId="3A6EAFB8" w14:textId="48E559CB" w:rsidR="006B63C8" w:rsidRPr="006B63C8" w:rsidRDefault="006B63C8" w:rsidP="006B63C8">
      <w:pPr>
        <w:rPr>
          <w:rtl/>
          <w:lang w:val="en-GB"/>
        </w:rPr>
      </w:pPr>
      <w:r w:rsidRPr="006B63C8">
        <w:rPr>
          <w:rFonts w:hint="cs"/>
          <w:rtl/>
          <w:lang w:val="en-GB"/>
        </w:rPr>
        <w:t>אבקש לטעון שקניין רוחני כסוגיה בהלכה נובע מהתנגשות של תפיסת הממון החפצית שלנו עם תפיסת הממון הזכויותית של העולם הסובב שבה הוא נוצר</w:t>
      </w:r>
      <w:r w:rsidR="00C81404">
        <w:rPr>
          <w:rStyle w:val="FootnoteReference"/>
          <w:rtl/>
          <w:lang w:val="en-GB"/>
        </w:rPr>
        <w:footnoteReference w:id="14"/>
      </w:r>
      <w:r w:rsidRPr="006B63C8">
        <w:rPr>
          <w:rFonts w:hint="cs"/>
          <w:rtl/>
          <w:lang w:val="en-GB"/>
        </w:rPr>
        <w:t>, וששורש המחלוקת על קניין רוחני הינו בשאלה כיצד עלינו להתייחס לאותה התנגשות תפיסתית, ואולי במחלוקת עמוקה יותר על איך עלינו לגשת לפסיקת הלכה ככלל.</w:t>
      </w:r>
    </w:p>
    <w:p w14:paraId="335EFEA6" w14:textId="4B008520" w:rsidR="009936DB" w:rsidRPr="009936DB" w:rsidRDefault="009936DB" w:rsidP="009936DB">
      <w:pPr>
        <w:pStyle w:val="Heading2"/>
        <w:rPr>
          <w:lang w:val="en-IL"/>
        </w:rPr>
      </w:pPr>
      <w:r w:rsidRPr="009936DB">
        <w:rPr>
          <w:rFonts w:hint="cs"/>
          <w:rtl/>
          <w:lang w:val="en-GB"/>
        </w:rPr>
        <w:t>ההיסטוריה של זכויות יוצרים על רגל אחת</w:t>
      </w:r>
    </w:p>
    <w:p w14:paraId="21A8A000" w14:textId="385A774C" w:rsidR="00546FE5" w:rsidRPr="00546FE5" w:rsidRDefault="00546FE5" w:rsidP="00AF7E9C">
      <w:pPr>
        <w:ind w:firstLine="0"/>
        <w:rPr>
          <w:lang w:val="en-IL"/>
        </w:rPr>
      </w:pPr>
      <w:r w:rsidRPr="00546FE5">
        <w:rPr>
          <w:rFonts w:hint="cs"/>
          <w:rtl/>
          <w:lang w:val="en-IL"/>
        </w:rPr>
        <w:t xml:space="preserve">החל בשלבים מאוד מוקדמים בהיסטוריה ניתן למצוא מופעים של זכות בלעדית על יצירה רוחנית כגון רעיון או סיפור, באופן שיכול להזכיר קניין רוחני. לדוגמא, יש חוקרים הטוענים שבחברות שונות של ילידים בצפון אמריקה ניתן למצוא </w:t>
      </w:r>
      <w:r w:rsidRPr="00546FE5">
        <w:rPr>
          <w:rFonts w:hint="cs"/>
          <w:rtl/>
          <w:lang w:val="en-IL"/>
        </w:rPr>
        <w:lastRenderedPageBreak/>
        <w:t>תפיסה של קניין רוחני, מכיוון שהיה להם מנהג של שמירת שירים, סיפורים ומתכונים בסוד והעברתם בירושה משפחתית מאחד לשני. אמנם, כפי שהעירו חוקרים אחרים, צריך להיזהר ממבט אנכרוניסטי. שמירת סוד אינה בדיוק מעידה על תפיסה של קניין רוחני כמו שניתן למצוא היום, ואולי אפילו מעידה על חוסר ב</w:t>
      </w:r>
      <w:r w:rsidR="001A40BB">
        <w:rPr>
          <w:rFonts w:hint="cs"/>
          <w:rtl/>
          <w:lang w:val="en-IL"/>
        </w:rPr>
        <w:t>הכרה ב</w:t>
      </w:r>
      <w:r w:rsidRPr="00546FE5">
        <w:rPr>
          <w:rFonts w:hint="cs"/>
          <w:rtl/>
          <w:lang w:val="en-IL"/>
        </w:rPr>
        <w:t>בבעלות על יצירות הדורש שמירת סוד על מנת להגן על אותם שירים ומתכונים מהפצה.</w:t>
      </w:r>
      <w:r w:rsidR="001173BC">
        <w:rPr>
          <w:rStyle w:val="FootnoteReference"/>
          <w:lang w:val="en-IL"/>
        </w:rPr>
        <w:footnoteReference w:id="15"/>
      </w:r>
    </w:p>
    <w:p w14:paraId="5D0EF14C" w14:textId="0ADDFC07" w:rsidR="00546FE5" w:rsidRPr="00546FE5" w:rsidRDefault="00546FE5" w:rsidP="00546FE5">
      <w:pPr>
        <w:rPr>
          <w:rtl/>
          <w:lang w:val="en-IL"/>
        </w:rPr>
      </w:pPr>
      <w:r w:rsidRPr="00546FE5">
        <w:rPr>
          <w:rFonts w:hint="cs"/>
          <w:rtl/>
          <w:lang w:val="en-IL"/>
        </w:rPr>
        <w:t xml:space="preserve">בשלבים מאוחרים יותר בהיסטוריה ניתן למצוא מתן ממוסד של זכויות מסוימות ליוצרים. באירופה, הרפובליקה של ונציה </w:t>
      </w:r>
      <w:r w:rsidR="00973248" w:rsidRPr="00546FE5">
        <w:rPr>
          <w:rFonts w:hint="cs"/>
          <w:rtl/>
          <w:lang w:val="en-IL"/>
        </w:rPr>
        <w:t>היית</w:t>
      </w:r>
      <w:r w:rsidR="00973248" w:rsidRPr="00546FE5">
        <w:rPr>
          <w:rFonts w:hint="eastAsia"/>
          <w:rtl/>
          <w:lang w:val="en-IL"/>
        </w:rPr>
        <w:t>ה</w:t>
      </w:r>
      <w:r w:rsidRPr="00546FE5">
        <w:rPr>
          <w:rFonts w:hint="cs"/>
          <w:rtl/>
          <w:lang w:val="en-IL"/>
        </w:rPr>
        <w:t xml:space="preserve"> החדשנית ביותר בתחום, וכבר בראשית המאה החמש עשרה נהגה לתת לממציאים מונופולים לשימוש </w:t>
      </w:r>
      <w:r w:rsidR="00973248" w:rsidRPr="00546FE5">
        <w:rPr>
          <w:rFonts w:hint="cs"/>
          <w:rtl/>
          <w:lang w:val="en-IL"/>
        </w:rPr>
        <w:t>בהמצאתם</w:t>
      </w:r>
      <w:r w:rsidRPr="00546FE5">
        <w:rPr>
          <w:rFonts w:hint="cs"/>
          <w:rtl/>
          <w:lang w:val="en-IL"/>
        </w:rPr>
        <w:t xml:space="preserve"> על מנת לעודד חדשנות. המונופולים הללו היו טובות הנאה שניתנו לפי שיקול דעת, ולא זכויות טבעיות. בשנת 1474 </w:t>
      </w:r>
      <w:r w:rsidR="00973248" w:rsidRPr="00546FE5">
        <w:rPr>
          <w:rFonts w:hint="cs"/>
          <w:rtl/>
          <w:lang w:val="en-IL"/>
        </w:rPr>
        <w:t>היית</w:t>
      </w:r>
      <w:r w:rsidR="00973248" w:rsidRPr="00546FE5">
        <w:rPr>
          <w:rFonts w:hint="eastAsia"/>
          <w:rtl/>
          <w:lang w:val="en-IL"/>
        </w:rPr>
        <w:t>ה</w:t>
      </w:r>
      <w:r w:rsidRPr="00546FE5">
        <w:rPr>
          <w:rFonts w:hint="cs"/>
          <w:rtl/>
          <w:lang w:val="en-IL"/>
        </w:rPr>
        <w:t xml:space="preserve"> ונציה הראשונה שכתבה חוק המאפשר פטנטים באופן רשמי וגורף.</w:t>
      </w:r>
    </w:p>
    <w:p w14:paraId="214BCD86" w14:textId="758ADB50" w:rsidR="00546FE5" w:rsidRPr="00546FE5" w:rsidRDefault="00546FE5" w:rsidP="00546FE5">
      <w:pPr>
        <w:rPr>
          <w:rtl/>
          <w:lang w:val="en-IL"/>
        </w:rPr>
      </w:pPr>
      <w:r w:rsidRPr="00546FE5">
        <w:rPr>
          <w:rFonts w:hint="cs"/>
          <w:rtl/>
          <w:lang w:val="en-IL"/>
        </w:rPr>
        <w:t>באמצע שנות ה1450 הגיע הדפוס המודרני לעולם המערבי, וההפצה של טקסט נעשתה קלה ומהירה יותר מאי פעם. משוער שעד שנת 1500 הודפסו לפחות שמונה מיליון ספרים במערב אירופה.</w:t>
      </w:r>
      <w:r w:rsidR="00E07CDF">
        <w:rPr>
          <w:rStyle w:val="FootnoteReference"/>
          <w:rtl/>
          <w:lang w:val="en-IL"/>
        </w:rPr>
        <w:footnoteReference w:id="16"/>
      </w:r>
      <w:r w:rsidRPr="00546FE5">
        <w:rPr>
          <w:rFonts w:hint="cs"/>
          <w:rtl/>
          <w:lang w:val="en-IL"/>
        </w:rPr>
        <w:t xml:space="preserve"> האופי שבו היה כל כך קל להפיץ יצירות ספרותיות יצר עם השנים צורך במענק של זכויות בלעדיות ליוצר היצירה, על מנת לאפשר לסופרים והמדפיסים להרוויח מעבודתם מבלי שהיא תועתק ותופץ על ידי גורמים אחרים. לאט לאט החלו השלטונות להעניק זכויות המגנות על המדפיסים. אחד המופעים הראשונים המוכרים לנו הוא כאשר הרפובליקה של ונציה העניקה זכות העתקה בלעדית למרקוס אנטוניוס קוקיוס סבליקוס על ספר היסטוריה שכתב על העיר מטעם השלטון.</w:t>
      </w:r>
    </w:p>
    <w:p w14:paraId="74184A25" w14:textId="77777777" w:rsidR="00546FE5" w:rsidRPr="00546FE5" w:rsidRDefault="00546FE5" w:rsidP="00546FE5">
      <w:pPr>
        <w:rPr>
          <w:rtl/>
          <w:lang w:val="en-IL"/>
        </w:rPr>
      </w:pPr>
      <w:r w:rsidRPr="00546FE5">
        <w:rPr>
          <w:rFonts w:hint="cs"/>
          <w:rtl/>
          <w:lang w:val="en-IL"/>
        </w:rPr>
        <w:t>עם כל זאת, זכויות היוצרים המדוברות כאן ניתנו בעיקר למדפיסים מסוימים, בהתאם לאינטרסים כלכליים ורצונם החופשי של השלטונות, באופן פרטני. חוקרים מתייחסים לתופעות אלו כשורש מוקדם של זכויות היוצרים המודרניות (</w:t>
      </w:r>
      <w:r w:rsidRPr="00546FE5">
        <w:rPr>
          <w:rFonts w:hint="cs"/>
          <w:i/>
          <w:iCs/>
          <w:lang w:val="en-IL"/>
        </w:rPr>
        <w:t>proto-copyrights</w:t>
      </w:r>
      <w:r w:rsidRPr="00546FE5">
        <w:rPr>
          <w:rFonts w:hint="cs"/>
          <w:rtl/>
          <w:lang w:val="en-IL"/>
        </w:rPr>
        <w:t xml:space="preserve">), ונכון יותר להתייחס אליהן כזכויות-יתר </w:t>
      </w:r>
      <w:r w:rsidRPr="00546FE5">
        <w:rPr>
          <w:rFonts w:hint="cs"/>
          <w:rtl/>
          <w:lang w:val="en-IL"/>
        </w:rPr>
        <w:lastRenderedPageBreak/>
        <w:t>(</w:t>
      </w:r>
      <w:r w:rsidRPr="00546FE5">
        <w:rPr>
          <w:rFonts w:hint="cs"/>
          <w:i/>
          <w:iCs/>
          <w:lang w:val="en-IL"/>
        </w:rPr>
        <w:t>privileges</w:t>
      </w:r>
      <w:r w:rsidRPr="00546FE5">
        <w:rPr>
          <w:rFonts w:hint="cs"/>
          <w:rtl/>
          <w:lang w:val="en-IL"/>
        </w:rPr>
        <w:t>) הניתנות על ידי השלטון, ולא זכויות טבעיות (</w:t>
      </w:r>
      <w:r w:rsidRPr="00546FE5">
        <w:rPr>
          <w:rFonts w:hint="cs"/>
          <w:i/>
          <w:iCs/>
          <w:lang w:val="en-IL"/>
        </w:rPr>
        <w:t>rights</w:t>
      </w:r>
      <w:r w:rsidRPr="00546FE5">
        <w:rPr>
          <w:rFonts w:hint="cs"/>
          <w:rtl/>
          <w:lang w:val="en-IL"/>
        </w:rPr>
        <w:t>) אשר כל יוצר זכאי שהשלטון יגן עליהן.</w:t>
      </w:r>
    </w:p>
    <w:p w14:paraId="62E15DAF" w14:textId="5D41D4CE" w:rsidR="00546FE5" w:rsidRPr="00546FE5" w:rsidRDefault="00546FE5" w:rsidP="00546FE5">
      <w:pPr>
        <w:rPr>
          <w:rtl/>
          <w:lang w:val="en-IL"/>
        </w:rPr>
      </w:pPr>
      <w:r w:rsidRPr="00546FE5">
        <w:rPr>
          <w:rFonts w:hint="cs"/>
          <w:rtl/>
          <w:lang w:val="en-IL"/>
        </w:rPr>
        <w:t xml:space="preserve">לאורך השנים זכויות אלו ניתנו ליותר ויותר סופרים ומדפיסים, ובכך נתפסו יותר כזכות כללית וגורפת ולא רק זכות-יתר הניתנת לאנשים מסוימים. נוצרה תודעה של זיקה מסוימת בין היוצר ליצירתו. תודעה זו הובילה למעבר לזכויות יוצרים המודרניות, ונקודת מפנה מהותית </w:t>
      </w:r>
      <w:r w:rsidR="00530589" w:rsidRPr="00546FE5">
        <w:rPr>
          <w:rFonts w:hint="cs"/>
          <w:rtl/>
          <w:lang w:val="en-IL"/>
        </w:rPr>
        <w:t>היית</w:t>
      </w:r>
      <w:r w:rsidR="00530589" w:rsidRPr="00546FE5">
        <w:rPr>
          <w:rFonts w:hint="eastAsia"/>
          <w:rtl/>
          <w:lang w:val="en-IL"/>
        </w:rPr>
        <w:t>ה</w:t>
      </w:r>
      <w:r w:rsidRPr="00546FE5">
        <w:rPr>
          <w:rFonts w:hint="cs"/>
          <w:rtl/>
          <w:lang w:val="en-IL"/>
        </w:rPr>
        <w:t xml:space="preserve"> באנגליה בשנת 1710, כאשר הן הפכו לזכויות שהשלטון לא מעניק באופן פרטני אלא מגן באופן רחב, מתוך נקודת הנחה שהן טבעיות וכלליות.</w:t>
      </w:r>
      <w:r w:rsidR="001E6B09">
        <w:rPr>
          <w:rStyle w:val="FootnoteReference"/>
          <w:rtl/>
          <w:lang w:val="en-IL"/>
        </w:rPr>
        <w:footnoteReference w:id="17"/>
      </w:r>
    </w:p>
    <w:p w14:paraId="7AD3E04E" w14:textId="293AD7AC" w:rsidR="00546FE5" w:rsidRPr="00546FE5" w:rsidRDefault="00546FE5" w:rsidP="00546FE5">
      <w:pPr>
        <w:rPr>
          <w:rtl/>
          <w:lang w:val="en-IL"/>
        </w:rPr>
      </w:pPr>
      <w:r w:rsidRPr="00546FE5">
        <w:rPr>
          <w:rFonts w:hint="cs"/>
          <w:rtl/>
          <w:lang w:val="en-IL"/>
        </w:rPr>
        <w:t>מהפכת זכויות היוצרים לא פסחה על היהודים. עם המצאת הדפוס בעיות ההעתקה וההפצה השפיעו על סופרים יהודים שכתבו ספרי פרשנות והלכה. הפתרון הראשוני היה דומה במיוחד לפתרון שהגיעו אליו שלטונות אחרים - הכרזת זכויות בלעדיות ליוצר היצירה בהדפסתה לפרק זמן מוגבל. אצל היהודים זה נעשה בהסכמות שנכתבו לספרים: בנוסף לדברים בשבח הספר ואישורו, רבנים נהגו לכתוב בהסכמותיהם מתן הכשר להדפסת הספר ואיסור על אחרים לחזור ולהדפיס את הספר.</w:t>
      </w:r>
      <w:r w:rsidR="00F34EE0">
        <w:rPr>
          <w:rStyle w:val="FootnoteReference"/>
          <w:rtl/>
          <w:lang w:val="en-IL"/>
        </w:rPr>
        <w:footnoteReference w:id="18"/>
      </w:r>
    </w:p>
    <w:p w14:paraId="2D511975" w14:textId="77777777" w:rsidR="00546FE5" w:rsidRPr="00546FE5" w:rsidRDefault="00546FE5" w:rsidP="00546FE5">
      <w:pPr>
        <w:rPr>
          <w:rtl/>
          <w:lang w:val="en-IL"/>
        </w:rPr>
      </w:pPr>
      <w:r w:rsidRPr="00546FE5">
        <w:rPr>
          <w:rFonts w:hint="cs"/>
          <w:rtl/>
          <w:lang w:val="en-IL"/>
        </w:rPr>
        <w:t>הסכמות אלו לקחו בחשבון וניסו למצוא איזון בין זכותו של היוצר ליהנות מפרי עמלו, וטובת הכלל (כגון הפצת חידושי התורה). ההסכמה הראשונה מסוג זה, הידועה לנו, היא ההסכמה שניתנה בשנת רע"ט (1518) לשלושה מחיבוריו של רבי אליהו בחור: ספר 'ההרכבה', ספר 'הבחור' ו'לוח בדקדוק הפעלים והבניינים'. להלן ציטוט מההסכמה שבאה בספר הבחור:</w:t>
      </w:r>
    </w:p>
    <w:p w14:paraId="1B4A6091" w14:textId="77777777" w:rsidR="00546FE5" w:rsidRPr="00546FE5" w:rsidRDefault="00546FE5" w:rsidP="00546FE5">
      <w:pPr>
        <w:pStyle w:val="Quote"/>
        <w:rPr>
          <w:rtl/>
          <w:lang w:val="en-IL"/>
        </w:rPr>
      </w:pPr>
      <w:r w:rsidRPr="00546FE5">
        <w:rPr>
          <w:rFonts w:hint="cs"/>
          <w:rtl/>
          <w:lang w:val="en-IL"/>
        </w:rPr>
        <w:t xml:space="preserve">נוסח כתב הדת אשר נתן ברומי הבירה מרבניה וחכמיה, אשר גזרו והחרימו על כל איש השולח ידו במלאכת רעהו והקורא הכתב ידעהו: הנה שולח לכם אליה הלוי, אשר אזן וחקר אמרי נועם אשר בכל הארץ יצא קום ובקצה תבל מליהם, את שני ספריו אשר חבר בדקדוק לשון הקדש ספר ההרכבה, אשר יכלול באור כל מלה זרה ומורכבה על פי הדקדוק. והשני ספר הבחור, אשר כולל כללי הדקדוק </w:t>
      </w:r>
      <w:proofErr w:type="spellStart"/>
      <w:r w:rsidRPr="00546FE5">
        <w:rPr>
          <w:rFonts w:hint="cs"/>
          <w:rtl/>
          <w:lang w:val="en-IL"/>
        </w:rPr>
        <w:t>ועקריו</w:t>
      </w:r>
      <w:proofErr w:type="spellEnd"/>
      <w:r w:rsidRPr="00546FE5">
        <w:rPr>
          <w:rFonts w:hint="cs"/>
          <w:rtl/>
          <w:lang w:val="en-IL"/>
        </w:rPr>
        <w:t xml:space="preserve">, ורובו דברים אשר לא קדמהו אדם בהם, כי מקום </w:t>
      </w:r>
      <w:r w:rsidRPr="00546FE5">
        <w:rPr>
          <w:rFonts w:hint="cs"/>
          <w:rtl/>
          <w:lang w:val="en-IL"/>
        </w:rPr>
        <w:lastRenderedPageBreak/>
        <w:t xml:space="preserve">הניחו לו להתגדר בו. עוד הואיל וחבר לוח בדקדוק הפעלים </w:t>
      </w:r>
      <w:proofErr w:type="spellStart"/>
      <w:r w:rsidRPr="00546FE5">
        <w:rPr>
          <w:rFonts w:hint="cs"/>
          <w:rtl/>
          <w:lang w:val="en-IL"/>
        </w:rPr>
        <w:t>והבנינים</w:t>
      </w:r>
      <w:proofErr w:type="spellEnd"/>
      <w:r w:rsidRPr="00546FE5">
        <w:rPr>
          <w:rFonts w:hint="cs"/>
          <w:rtl/>
          <w:lang w:val="en-IL"/>
        </w:rPr>
        <w:t xml:space="preserve"> לתת לנער דעת ודרך מבוא הדקדוק בקצור, כמו שאמרו חכמים: לעולם ישנה אדם לתלמידיו דרך קצרה.</w:t>
      </w:r>
    </w:p>
    <w:p w14:paraId="0F6763F5" w14:textId="77777777" w:rsidR="00546FE5" w:rsidRPr="00546FE5" w:rsidRDefault="00546FE5" w:rsidP="00546FE5">
      <w:pPr>
        <w:pStyle w:val="Quote"/>
        <w:rPr>
          <w:rtl/>
          <w:lang w:val="en-IL"/>
        </w:rPr>
      </w:pPr>
      <w:r w:rsidRPr="00546FE5">
        <w:rPr>
          <w:rFonts w:hint="cs"/>
          <w:rtl/>
          <w:lang w:val="en-IL"/>
        </w:rPr>
        <w:t xml:space="preserve">ויען כי ידענו האיש הזה ואת שיחו כי פי שנים ברוחו בדקדוק ובמסורה וחבר החבורים הנזכרים בטורח ובעמל ובאבוד זמנו ימים רבים, זולת ההוצאה המרובה אשר נעשה על ככה על יד האחים הנעימים יצחק ויום טוב ויעקב בני כמ"ר אביגדור הלוי [קצב] </w:t>
      </w:r>
      <w:proofErr w:type="spellStart"/>
      <w:r w:rsidRPr="00546FE5">
        <w:rPr>
          <w:rFonts w:hint="cs"/>
          <w:rtl/>
          <w:lang w:val="en-IL"/>
        </w:rPr>
        <w:t>יצ"ו</w:t>
      </w:r>
      <w:proofErr w:type="spellEnd"/>
      <w:r w:rsidRPr="00546FE5">
        <w:rPr>
          <w:rFonts w:hint="cs"/>
          <w:rtl/>
          <w:lang w:val="en-IL"/>
        </w:rPr>
        <w:t xml:space="preserve">, אשר נדבו רכושם וגופם לבא עד תכלית המלאכה הזאת ולהדפיס את שלש אלה הנזכרים. </w:t>
      </w:r>
      <w:proofErr w:type="spellStart"/>
      <w:r w:rsidRPr="00546FE5">
        <w:rPr>
          <w:rFonts w:hint="cs"/>
          <w:rtl/>
          <w:lang w:val="en-IL"/>
        </w:rPr>
        <w:t>ובאולי</w:t>
      </w:r>
      <w:proofErr w:type="spellEnd"/>
      <w:r w:rsidRPr="00546FE5">
        <w:rPr>
          <w:rFonts w:hint="cs"/>
          <w:rtl/>
          <w:lang w:val="en-IL"/>
        </w:rPr>
        <w:t xml:space="preserve"> יש שורש פורה ראש ולענה אשר ימלא לבו להדפיס גם הוא החבורים הנזכרים או כולם או אחת מהן בדפוס יותר נאה מזה, ונמצא זה הר' אליה והאחים הנזכרים זריזים ונפסדים.</w:t>
      </w:r>
    </w:p>
    <w:p w14:paraId="0C727A36" w14:textId="77777777" w:rsidR="00546FE5" w:rsidRPr="00546FE5" w:rsidRDefault="00546FE5" w:rsidP="00546FE5">
      <w:pPr>
        <w:pStyle w:val="Quote"/>
        <w:rPr>
          <w:rtl/>
          <w:lang w:val="en-IL"/>
        </w:rPr>
      </w:pPr>
      <w:r w:rsidRPr="00546FE5">
        <w:rPr>
          <w:rFonts w:hint="cs"/>
          <w:rtl/>
          <w:lang w:val="en-IL"/>
        </w:rPr>
        <w:t xml:space="preserve">לכן </w:t>
      </w:r>
      <w:proofErr w:type="spellStart"/>
      <w:r w:rsidRPr="00546FE5">
        <w:rPr>
          <w:rFonts w:hint="cs"/>
          <w:rtl/>
          <w:lang w:val="en-IL"/>
        </w:rPr>
        <w:t>חָצנינו</w:t>
      </w:r>
      <w:proofErr w:type="spellEnd"/>
      <w:r w:rsidRPr="00546FE5">
        <w:rPr>
          <w:rFonts w:hint="cs"/>
          <w:rtl/>
          <w:lang w:val="en-IL"/>
        </w:rPr>
        <w:t xml:space="preserve"> נערנו להיות כנגד המשחיתים, </w:t>
      </w:r>
      <w:proofErr w:type="spellStart"/>
      <w:r w:rsidRPr="00546FE5">
        <w:rPr>
          <w:rFonts w:hint="cs"/>
          <w:rtl/>
          <w:lang w:val="en-IL"/>
        </w:rPr>
        <w:t>כדאיתא</w:t>
      </w:r>
      <w:proofErr w:type="spellEnd"/>
      <w:r w:rsidRPr="00546FE5">
        <w:rPr>
          <w:rFonts w:hint="cs"/>
          <w:rtl/>
          <w:lang w:val="en-IL"/>
        </w:rPr>
        <w:t xml:space="preserve"> </w:t>
      </w:r>
      <w:proofErr w:type="spellStart"/>
      <w:r w:rsidRPr="00546FE5">
        <w:rPr>
          <w:rFonts w:hint="cs"/>
          <w:rtl/>
          <w:lang w:val="en-IL"/>
        </w:rPr>
        <w:t>בקדושין</w:t>
      </w:r>
      <w:proofErr w:type="spellEnd"/>
      <w:r w:rsidRPr="00546FE5">
        <w:rPr>
          <w:rFonts w:hint="cs"/>
          <w:rtl/>
          <w:lang w:val="en-IL"/>
        </w:rPr>
        <w:t xml:space="preserve"> פרק </w:t>
      </w:r>
      <w:proofErr w:type="spellStart"/>
      <w:r w:rsidRPr="00546FE5">
        <w:rPr>
          <w:rFonts w:hint="cs"/>
          <w:rtl/>
          <w:lang w:val="en-IL"/>
        </w:rPr>
        <w:t>האומ</w:t>
      </w:r>
      <w:proofErr w:type="spellEnd"/>
      <w:r w:rsidRPr="00546FE5">
        <w:rPr>
          <w:rFonts w:hint="cs"/>
          <w:rtl/>
          <w:lang w:val="en-IL"/>
        </w:rPr>
        <w:t xml:space="preserve">': עני המהפך בחררה ובא אחר ונטלה הימנו נקרא רשע; ואמרי' פרק לא יחפור: </w:t>
      </w:r>
      <w:proofErr w:type="spellStart"/>
      <w:r w:rsidRPr="00546FE5">
        <w:rPr>
          <w:rFonts w:hint="cs"/>
          <w:rtl/>
          <w:lang w:val="en-IL"/>
        </w:rPr>
        <w:t>מרחיקין</w:t>
      </w:r>
      <w:proofErr w:type="spellEnd"/>
      <w:r w:rsidRPr="00546FE5">
        <w:rPr>
          <w:rFonts w:hint="cs"/>
          <w:rtl/>
          <w:lang w:val="en-IL"/>
        </w:rPr>
        <w:t xml:space="preserve"> מן הדג כמלא ריצת הדג, משום </w:t>
      </w:r>
      <w:proofErr w:type="spellStart"/>
      <w:r w:rsidRPr="00546FE5">
        <w:rPr>
          <w:rFonts w:hint="cs"/>
          <w:rtl/>
          <w:lang w:val="en-IL"/>
        </w:rPr>
        <w:t>דיורד</w:t>
      </w:r>
      <w:proofErr w:type="spellEnd"/>
      <w:r w:rsidRPr="00546FE5">
        <w:rPr>
          <w:rFonts w:hint="cs"/>
          <w:rtl/>
          <w:lang w:val="en-IL"/>
        </w:rPr>
        <w:t xml:space="preserve"> לאומנות חברו; ואפילו לרבי מאיר, </w:t>
      </w:r>
      <w:proofErr w:type="spellStart"/>
      <w:r w:rsidRPr="00546FE5">
        <w:rPr>
          <w:rFonts w:hint="cs"/>
          <w:rtl/>
          <w:lang w:val="en-IL"/>
        </w:rPr>
        <w:t>דמיירי</w:t>
      </w:r>
      <w:proofErr w:type="spellEnd"/>
      <w:r w:rsidRPr="00546FE5">
        <w:rPr>
          <w:rFonts w:hint="cs"/>
          <w:rtl/>
          <w:lang w:val="en-IL"/>
        </w:rPr>
        <w:t xml:space="preserve"> בדג מת והדגים מתאספים וכולי', אם היה חברו פורש, היה כאלו גוזל. אם כן, זה שטרח ועמל, מי שיורד לאומנותו הרי זה גוזל ממש. ואיתא בסנהדרין: ואל אשת רעהו לא קרב, זה שירד לאומנות חברו.</w:t>
      </w:r>
    </w:p>
    <w:p w14:paraId="1EC712AE" w14:textId="77777777" w:rsidR="00546FE5" w:rsidRPr="00546FE5" w:rsidRDefault="00546FE5" w:rsidP="00546FE5">
      <w:pPr>
        <w:pStyle w:val="Quote"/>
        <w:rPr>
          <w:rtl/>
          <w:lang w:val="en-IL"/>
        </w:rPr>
      </w:pPr>
      <w:r w:rsidRPr="00546FE5">
        <w:rPr>
          <w:rFonts w:hint="cs"/>
          <w:rtl/>
          <w:lang w:val="en-IL"/>
        </w:rPr>
        <w:t xml:space="preserve">ובהיות שספרי דפוס נעים מים אל ים, לא שמנו גבול, אלא גזרנו בסתם: כל מי שיודע הן שראה או שמע גזרותינו, שלא </w:t>
      </w:r>
      <w:proofErr w:type="spellStart"/>
      <w:r w:rsidRPr="00546FE5">
        <w:rPr>
          <w:rFonts w:hint="cs"/>
          <w:rtl/>
          <w:lang w:val="en-IL"/>
        </w:rPr>
        <w:t>ידפס</w:t>
      </w:r>
      <w:proofErr w:type="spellEnd"/>
      <w:r w:rsidRPr="00546FE5">
        <w:rPr>
          <w:rFonts w:hint="cs"/>
          <w:rtl/>
          <w:lang w:val="en-IL"/>
        </w:rPr>
        <w:t xml:space="preserve"> הספרים האלו, וכל המדפיס אותם, או הוא או שלוחו יהא בכלל פורץ גדר וישכנו נח"ש [נידוי, חרם, שמתא], והקונה ממנו בידיעה והכרה אחרי שמעו גזרותינו, יהא באלה </w:t>
      </w:r>
      <w:proofErr w:type="spellStart"/>
      <w:r w:rsidRPr="00546FE5">
        <w:rPr>
          <w:rFonts w:hint="cs"/>
          <w:rtl/>
          <w:lang w:val="en-IL"/>
        </w:rPr>
        <w:t>ובשמתא</w:t>
      </w:r>
      <w:proofErr w:type="spellEnd"/>
      <w:r w:rsidRPr="00546FE5">
        <w:rPr>
          <w:rFonts w:hint="cs"/>
          <w:rtl/>
          <w:lang w:val="en-IL"/>
        </w:rPr>
        <w:t>, וכל ישראל יהיו ברוכים.</w:t>
      </w:r>
    </w:p>
    <w:p w14:paraId="5624655E" w14:textId="77777777" w:rsidR="00546FE5" w:rsidRPr="00546FE5" w:rsidRDefault="00546FE5" w:rsidP="00546FE5">
      <w:pPr>
        <w:pStyle w:val="Quote"/>
        <w:rPr>
          <w:rtl/>
          <w:lang w:val="en-IL"/>
        </w:rPr>
      </w:pPr>
      <w:r w:rsidRPr="00546FE5">
        <w:rPr>
          <w:rFonts w:hint="cs"/>
          <w:rtl/>
          <w:lang w:val="en-IL"/>
        </w:rPr>
        <w:t xml:space="preserve">וזה יהיה עד זמן עשר שנים, דהיינו עד שנה רפ"ט, אם לא שיקבל רשות מכְּמר אליה הנזכר או האחים הנזכרים, ויהיה הרשות בכתוב, והשומע לדברינו יתברך </w:t>
      </w:r>
      <w:proofErr w:type="spellStart"/>
      <w:r w:rsidRPr="00546FE5">
        <w:rPr>
          <w:rFonts w:hint="cs"/>
          <w:rtl/>
          <w:lang w:val="en-IL"/>
        </w:rPr>
        <w:t>באלדים</w:t>
      </w:r>
      <w:proofErr w:type="spellEnd"/>
      <w:r w:rsidRPr="00546FE5">
        <w:rPr>
          <w:rFonts w:hint="cs"/>
          <w:rtl/>
          <w:lang w:val="en-IL"/>
        </w:rPr>
        <w:t xml:space="preserve"> אמן, והקונה מאלו אשר נדפסו פה רומי על יד הרב אליה הנזכר והאחים הנזכרים, </w:t>
      </w:r>
      <w:proofErr w:type="spellStart"/>
      <w:r w:rsidRPr="00546FE5">
        <w:rPr>
          <w:rFonts w:hint="cs"/>
          <w:rtl/>
          <w:lang w:val="en-IL"/>
        </w:rPr>
        <w:t>יגל</w:t>
      </w:r>
      <w:proofErr w:type="spellEnd"/>
      <w:r w:rsidRPr="00546FE5">
        <w:rPr>
          <w:rFonts w:hint="cs"/>
          <w:rtl/>
          <w:lang w:val="en-IL"/>
        </w:rPr>
        <w:t xml:space="preserve"> וישמח </w:t>
      </w:r>
      <w:proofErr w:type="spellStart"/>
      <w:r w:rsidRPr="00546FE5">
        <w:rPr>
          <w:rFonts w:hint="cs"/>
          <w:rtl/>
          <w:lang w:val="en-IL"/>
        </w:rPr>
        <w:t>במקחו</w:t>
      </w:r>
      <w:proofErr w:type="spellEnd"/>
      <w:r w:rsidRPr="00546FE5">
        <w:rPr>
          <w:rFonts w:hint="cs"/>
          <w:rtl/>
          <w:lang w:val="en-IL"/>
        </w:rPr>
        <w:t xml:space="preserve">, ועליו </w:t>
      </w:r>
      <w:proofErr w:type="spellStart"/>
      <w:r w:rsidRPr="00546FE5">
        <w:rPr>
          <w:rFonts w:hint="cs"/>
          <w:rtl/>
          <w:lang w:val="en-IL"/>
        </w:rPr>
        <w:t>תבא</w:t>
      </w:r>
      <w:proofErr w:type="spellEnd"/>
      <w:r w:rsidRPr="00546FE5">
        <w:rPr>
          <w:rFonts w:hint="cs"/>
          <w:rtl/>
          <w:lang w:val="en-IL"/>
        </w:rPr>
        <w:t xml:space="preserve"> ברכת טוב, אמן".</w:t>
      </w:r>
    </w:p>
    <w:p w14:paraId="4D519DEA" w14:textId="77777777" w:rsidR="00546FE5" w:rsidRPr="00546FE5" w:rsidRDefault="00546FE5" w:rsidP="00AA2CCC">
      <w:pPr>
        <w:pStyle w:val="Quote"/>
        <w:spacing w:before="0"/>
        <w:rPr>
          <w:rtl/>
          <w:lang w:val="en-IL"/>
        </w:rPr>
      </w:pPr>
      <w:r w:rsidRPr="00546FE5">
        <w:rPr>
          <w:rFonts w:hint="cs"/>
          <w:rtl/>
          <w:lang w:val="en-IL"/>
        </w:rPr>
        <w:t>נכתב ונחתם יום ו' ה' תשרי רע"ט.</w:t>
      </w:r>
    </w:p>
    <w:p w14:paraId="4F2400E2" w14:textId="77777777" w:rsidR="00546FE5" w:rsidRPr="00546FE5" w:rsidRDefault="00546FE5" w:rsidP="00546FE5">
      <w:pPr>
        <w:pStyle w:val="Quote"/>
        <w:rPr>
          <w:rtl/>
          <w:lang w:val="en-IL"/>
        </w:rPr>
      </w:pPr>
      <w:r w:rsidRPr="00546FE5">
        <w:rPr>
          <w:rFonts w:hint="cs"/>
          <w:rtl/>
          <w:lang w:val="en-IL"/>
        </w:rPr>
        <w:t xml:space="preserve">נאם הטרוד הנשלל, אשר לבו בקרבו חלל, זער חבריא, ישראל בן </w:t>
      </w:r>
      <w:proofErr w:type="spellStart"/>
      <w:r w:rsidRPr="00546FE5">
        <w:rPr>
          <w:rFonts w:hint="cs"/>
          <w:rtl/>
          <w:lang w:val="en-IL"/>
        </w:rPr>
        <w:t>הר"ר</w:t>
      </w:r>
      <w:proofErr w:type="spellEnd"/>
    </w:p>
    <w:p w14:paraId="3342C701" w14:textId="77777777" w:rsidR="00546FE5" w:rsidRPr="00546FE5" w:rsidRDefault="00546FE5" w:rsidP="00546FE5">
      <w:pPr>
        <w:pStyle w:val="Quote"/>
        <w:rPr>
          <w:rtl/>
          <w:lang w:val="en-IL"/>
        </w:rPr>
      </w:pPr>
      <w:r w:rsidRPr="00546FE5">
        <w:rPr>
          <w:rFonts w:hint="cs"/>
          <w:rtl/>
          <w:lang w:val="en-IL"/>
        </w:rPr>
        <w:t xml:space="preserve">יחיאל </w:t>
      </w:r>
      <w:proofErr w:type="spellStart"/>
      <w:r w:rsidRPr="00546FE5">
        <w:rPr>
          <w:rFonts w:hint="cs"/>
          <w:rtl/>
          <w:lang w:val="en-IL"/>
        </w:rPr>
        <w:t>זלה"ה</w:t>
      </w:r>
      <w:proofErr w:type="spellEnd"/>
      <w:r w:rsidRPr="00546FE5">
        <w:rPr>
          <w:rFonts w:hint="cs"/>
          <w:rtl/>
          <w:lang w:val="en-IL"/>
        </w:rPr>
        <w:t>.</w:t>
      </w:r>
    </w:p>
    <w:p w14:paraId="23D9303B" w14:textId="77777777" w:rsidR="00546FE5" w:rsidRPr="00546FE5" w:rsidRDefault="00546FE5" w:rsidP="00546FE5">
      <w:pPr>
        <w:pStyle w:val="Quote"/>
        <w:rPr>
          <w:rtl/>
          <w:lang w:val="en-IL"/>
        </w:rPr>
      </w:pPr>
      <w:proofErr w:type="spellStart"/>
      <w:r w:rsidRPr="00546FE5">
        <w:rPr>
          <w:rFonts w:hint="cs"/>
          <w:rtl/>
          <w:lang w:val="en-IL"/>
        </w:rPr>
        <w:t>זערא</w:t>
      </w:r>
      <w:proofErr w:type="spellEnd"/>
      <w:r w:rsidRPr="00546FE5">
        <w:rPr>
          <w:rFonts w:hint="cs"/>
          <w:rtl/>
          <w:lang w:val="en-IL"/>
        </w:rPr>
        <w:t xml:space="preserve"> דמן חבריא, שבתי בר מרדכי ז"ל.</w:t>
      </w:r>
    </w:p>
    <w:p w14:paraId="5E1C0A1E" w14:textId="77777777" w:rsidR="00546FE5" w:rsidRPr="00546FE5" w:rsidRDefault="00546FE5" w:rsidP="00546FE5">
      <w:pPr>
        <w:pStyle w:val="Quote"/>
        <w:rPr>
          <w:rtl/>
          <w:lang w:val="en-IL"/>
        </w:rPr>
      </w:pPr>
      <w:r w:rsidRPr="00546FE5">
        <w:rPr>
          <w:rFonts w:hint="cs"/>
          <w:rtl/>
          <w:lang w:val="en-IL"/>
        </w:rPr>
        <w:t>נאם הקטן, יוסף הגרי בן אברהם ז"ל'.</w:t>
      </w:r>
    </w:p>
    <w:p w14:paraId="74BD140F" w14:textId="262A7FFC" w:rsidR="00546FE5" w:rsidRPr="00546FE5" w:rsidRDefault="00546FE5" w:rsidP="00546FE5">
      <w:pPr>
        <w:rPr>
          <w:rtl/>
          <w:lang w:val="en-IL"/>
        </w:rPr>
      </w:pPr>
      <w:r w:rsidRPr="00546FE5">
        <w:rPr>
          <w:rFonts w:hint="cs"/>
          <w:rtl/>
          <w:lang w:val="en-IL"/>
        </w:rPr>
        <w:t xml:space="preserve">הסכמה זו היא דוגמא נהדרת לתפיסה הראשונית כלפי זכויות יוצרים. הפוסקים מודעים בצורך במתן זכויות הדפסה בלעדיות ליוצר והמדפיסים על מנת </w:t>
      </w:r>
      <w:r w:rsidRPr="00546FE5">
        <w:rPr>
          <w:rFonts w:hint="cs"/>
          <w:rtl/>
          <w:lang w:val="en-IL"/>
        </w:rPr>
        <w:lastRenderedPageBreak/>
        <w:t>להגן על פרנסתם, וזה ברור להם מבחינת כ</w:t>
      </w:r>
      <w:r w:rsidR="00530589">
        <w:rPr>
          <w:rFonts w:hint="cs"/>
          <w:rtl/>
          <w:lang w:val="en-IL"/>
        </w:rPr>
        <w:t>ו</w:t>
      </w:r>
      <w:r w:rsidRPr="00546FE5">
        <w:rPr>
          <w:rFonts w:hint="cs"/>
          <w:rtl/>
          <w:lang w:val="en-IL"/>
        </w:rPr>
        <w:t>ח השכל והצדק. אמנם, הם לא מכירים בזכאות טבעית לזכויות הללו. לאור זאת, האיסור על הדפסה נעשה על ידי חרם, ועל ידי הגדרת העברה כהשגת גבול וירידה לאומנות חברו - עברות שמתעסקות בפגיעה העסקית כלפי היוצר, ולא בהפרה של זכויותיו כלפי היצירה. הפוסקים אינם מכירים בשום זיקה בלעדית בין היוצר ליצירה - לא זכות הנאה, ובטח שלא בעלות.</w:t>
      </w:r>
    </w:p>
    <w:p w14:paraId="14B78A9F" w14:textId="77777777" w:rsidR="00546FE5" w:rsidRPr="00546FE5" w:rsidRDefault="00546FE5" w:rsidP="00546FE5">
      <w:pPr>
        <w:rPr>
          <w:rtl/>
          <w:lang w:val="en-IL"/>
        </w:rPr>
      </w:pPr>
      <w:r w:rsidRPr="00546FE5">
        <w:rPr>
          <w:rFonts w:hint="cs"/>
          <w:rtl/>
          <w:lang w:val="en-IL"/>
        </w:rPr>
        <w:t>בנוסף, ראוי לציין שעם כל הביסוסים ההלכתיים שהם מביאים, הם מוסיפים איום נח"ש, וזה אולי מעיד על החדשנות של דבריהם ושלא בהכרח כולם היו חשים שיש פה עבירה ממונית ברורה.</w:t>
      </w:r>
    </w:p>
    <w:p w14:paraId="5C9A7BCA" w14:textId="77777777" w:rsidR="00C049D2" w:rsidRPr="00C049D2" w:rsidRDefault="00C049D2" w:rsidP="00C049D2">
      <w:pPr>
        <w:pStyle w:val="Heading2"/>
        <w:rPr>
          <w:lang w:val="en-IL"/>
        </w:rPr>
      </w:pPr>
      <w:r w:rsidRPr="00C049D2">
        <w:rPr>
          <w:rFonts w:hint="cs"/>
          <w:rtl/>
          <w:lang w:val="en-IL"/>
        </w:rPr>
        <w:t>התמורה לקניין רוחני</w:t>
      </w:r>
    </w:p>
    <w:p w14:paraId="6F642ED8" w14:textId="77777777" w:rsidR="002D0921" w:rsidRPr="002D0921" w:rsidRDefault="002D0921" w:rsidP="002D0921">
      <w:pPr>
        <w:ind w:firstLine="0"/>
        <w:rPr>
          <w:lang w:val="en-IL"/>
        </w:rPr>
      </w:pPr>
      <w:r w:rsidRPr="002D0921">
        <w:rPr>
          <w:rFonts w:hint="cs"/>
          <w:rtl/>
          <w:lang w:val="en-IL"/>
        </w:rPr>
        <w:t>נקודת מפתח בהתפתחות ההגנה על זכות היוצרים במשפט העברי היא בתשובתו של ר' יוסף שאול נתנזון בעניין אותן הסכמות וגזירות:</w:t>
      </w:r>
    </w:p>
    <w:p w14:paraId="7165FCEB" w14:textId="77777777" w:rsidR="002D0921" w:rsidRPr="002D0921" w:rsidRDefault="002D0921" w:rsidP="008A6DFA">
      <w:pPr>
        <w:pStyle w:val="Quote"/>
        <w:rPr>
          <w:rtl/>
          <w:lang w:val="en-IL"/>
        </w:rPr>
      </w:pPr>
      <w:r w:rsidRPr="002D0921">
        <w:rPr>
          <w:rFonts w:hint="cs"/>
          <w:rtl/>
          <w:lang w:val="en-IL"/>
        </w:rPr>
        <w:t xml:space="preserve">ודרך אגב אסמוך בזה מה שכתבתי אודות הסכמות וגזירות </w:t>
      </w:r>
      <w:proofErr w:type="spellStart"/>
      <w:r w:rsidRPr="002D0921">
        <w:rPr>
          <w:rFonts w:hint="cs"/>
          <w:rtl/>
          <w:lang w:val="en-IL"/>
        </w:rPr>
        <w:t>שגוזרין</w:t>
      </w:r>
      <w:proofErr w:type="spellEnd"/>
      <w:r w:rsidRPr="002D0921">
        <w:rPr>
          <w:rFonts w:hint="cs"/>
          <w:rtl/>
          <w:lang w:val="en-IL"/>
        </w:rPr>
        <w:t xml:space="preserve"> הרבנים על הדפסות והמדפיסים פורצים בה ואמרתי לבאר ואכתוב בזה מה שהשבתי </w:t>
      </w:r>
      <w:proofErr w:type="spellStart"/>
      <w:r w:rsidRPr="002D0921">
        <w:rPr>
          <w:rFonts w:hint="cs"/>
          <w:rtl/>
          <w:lang w:val="en-IL"/>
        </w:rPr>
        <w:t>להרב</w:t>
      </w:r>
      <w:proofErr w:type="spellEnd"/>
      <w:r w:rsidRPr="002D0921">
        <w:rPr>
          <w:rFonts w:hint="cs"/>
          <w:rtl/>
          <w:lang w:val="en-IL"/>
        </w:rPr>
        <w:t xml:space="preserve"> החריף </w:t>
      </w:r>
      <w:proofErr w:type="spellStart"/>
      <w:r w:rsidRPr="002D0921">
        <w:rPr>
          <w:rFonts w:hint="cs"/>
          <w:rtl/>
          <w:lang w:val="en-IL"/>
        </w:rPr>
        <w:t>מוה</w:t>
      </w:r>
      <w:proofErr w:type="spellEnd"/>
      <w:r w:rsidRPr="002D0921">
        <w:rPr>
          <w:rFonts w:hint="cs"/>
          <w:rtl/>
          <w:lang w:val="en-IL"/>
        </w:rPr>
        <w:t xml:space="preserve">' שמואל </w:t>
      </w:r>
      <w:proofErr w:type="spellStart"/>
      <w:r w:rsidRPr="002D0921">
        <w:rPr>
          <w:rFonts w:hint="cs"/>
          <w:rtl/>
          <w:lang w:val="en-IL"/>
        </w:rPr>
        <w:t>וואלדבערג</w:t>
      </w:r>
      <w:proofErr w:type="spellEnd"/>
      <w:r w:rsidRPr="002D0921">
        <w:rPr>
          <w:rFonts w:hint="cs"/>
          <w:rtl/>
          <w:lang w:val="en-IL"/>
        </w:rPr>
        <w:t xml:space="preserve"> ני' אב בית דין קהילת </w:t>
      </w:r>
      <w:proofErr w:type="spellStart"/>
      <w:r w:rsidRPr="002D0921">
        <w:rPr>
          <w:rFonts w:hint="cs"/>
          <w:rtl/>
          <w:lang w:val="en-IL"/>
        </w:rPr>
        <w:t>זאלקווא</w:t>
      </w:r>
      <w:proofErr w:type="spellEnd"/>
      <w:r w:rsidRPr="002D0921">
        <w:rPr>
          <w:rFonts w:hint="cs"/>
          <w:rtl/>
          <w:lang w:val="en-IL"/>
        </w:rPr>
        <w:t xml:space="preserve"> </w:t>
      </w:r>
      <w:proofErr w:type="spellStart"/>
      <w:r w:rsidRPr="002D0921">
        <w:rPr>
          <w:rFonts w:hint="cs"/>
          <w:rtl/>
          <w:lang w:val="en-IL"/>
        </w:rPr>
        <w:t>והקרייז</w:t>
      </w:r>
      <w:proofErr w:type="spellEnd"/>
      <w:r w:rsidRPr="002D0921">
        <w:rPr>
          <w:rFonts w:hint="cs"/>
          <w:rtl/>
          <w:lang w:val="en-IL"/>
        </w:rPr>
        <w:t xml:space="preserve"> ביום א' וישלח תרכ"א י"א כסליו וזה לשון מכתבו: הגיעני ואשר פסק בדבר אשר תבע ר' א"י מדפיס </w:t>
      </w:r>
      <w:proofErr w:type="spellStart"/>
      <w:r w:rsidRPr="002D0921">
        <w:rPr>
          <w:rFonts w:hint="cs"/>
          <w:rtl/>
          <w:lang w:val="en-IL"/>
        </w:rPr>
        <w:t>מלבוב</w:t>
      </w:r>
      <w:proofErr w:type="spellEnd"/>
      <w:r w:rsidRPr="002D0921">
        <w:rPr>
          <w:rFonts w:hint="cs"/>
          <w:rtl/>
          <w:lang w:val="en-IL"/>
        </w:rPr>
        <w:t xml:space="preserve"> את ר' יוסף הירש </w:t>
      </w:r>
      <w:proofErr w:type="spellStart"/>
      <w:r w:rsidRPr="002D0921">
        <w:rPr>
          <w:rFonts w:hint="cs"/>
          <w:rtl/>
          <w:lang w:val="en-IL"/>
        </w:rPr>
        <w:t>באלאבאן</w:t>
      </w:r>
      <w:proofErr w:type="spellEnd"/>
      <w:r w:rsidRPr="002D0921">
        <w:rPr>
          <w:rFonts w:hint="cs"/>
          <w:rtl/>
          <w:lang w:val="en-IL"/>
        </w:rPr>
        <w:t xml:space="preserve"> מק' בדבר הדפסת השולחן ערוך יורה דעה עם הפרי מגדים וחוות דעת ופתחי תשובה שמדפיס ר' יוסף צבי שלא יוכל ר' א"י למחות […] </w:t>
      </w:r>
    </w:p>
    <w:p w14:paraId="70A4A54D" w14:textId="77777777" w:rsidR="002D0921" w:rsidRPr="002D0921" w:rsidRDefault="002D0921" w:rsidP="008A6DFA">
      <w:pPr>
        <w:pStyle w:val="Quote"/>
        <w:rPr>
          <w:rtl/>
          <w:lang w:val="en-IL"/>
        </w:rPr>
      </w:pPr>
      <w:r w:rsidRPr="002D0921">
        <w:rPr>
          <w:rFonts w:hint="cs"/>
          <w:b/>
          <w:bCs/>
          <w:rtl/>
          <w:lang w:val="en-IL"/>
        </w:rPr>
        <w:t xml:space="preserve">והנה כל דבריו תמוהים. </w:t>
      </w:r>
      <w:proofErr w:type="spellStart"/>
      <w:r w:rsidRPr="002D0921">
        <w:rPr>
          <w:rFonts w:hint="cs"/>
          <w:b/>
          <w:bCs/>
          <w:rtl/>
          <w:lang w:val="en-IL"/>
        </w:rPr>
        <w:t>דזה</w:t>
      </w:r>
      <w:proofErr w:type="spellEnd"/>
      <w:r w:rsidRPr="002D0921">
        <w:rPr>
          <w:rFonts w:hint="cs"/>
          <w:b/>
          <w:bCs/>
          <w:rtl/>
          <w:lang w:val="en-IL"/>
        </w:rPr>
        <w:t xml:space="preserve"> ודאי שספר חדש שמדפיס מחבר וזכה שדבריו מתקבלים על פני תבל פשיטא שיש לו זכות בזה לעולם.</w:t>
      </w:r>
      <w:r w:rsidRPr="002D0921">
        <w:rPr>
          <w:rFonts w:hint="cs"/>
          <w:rtl/>
          <w:lang w:val="en-IL"/>
        </w:rPr>
        <w:t xml:space="preserve"> והרי בלאו הכי אם מדפיסים או מחדשים איזה מלאכה אינו רשאי אחר לעשות בלא רשותו. והרי נודע שר' אברהם יעקב מהרובשוב שעשה החשבון במאשין כל ימיו קבל שכרו מהקיסר ירום הודו בווארשא, </w:t>
      </w:r>
      <w:r w:rsidRPr="002D0921">
        <w:rPr>
          <w:rFonts w:hint="cs"/>
          <w:b/>
          <w:bCs/>
          <w:rtl/>
          <w:lang w:val="en-IL"/>
        </w:rPr>
        <w:t>ולא יהא תורה שלימה שלנו כשיחה בטילה שלהם</w:t>
      </w:r>
      <w:r w:rsidRPr="002D0921">
        <w:rPr>
          <w:rFonts w:hint="cs"/>
          <w:rtl/>
          <w:lang w:val="en-IL"/>
        </w:rPr>
        <w:t xml:space="preserve"> </w:t>
      </w:r>
      <w:r w:rsidRPr="002D0921">
        <w:rPr>
          <w:rFonts w:hint="cs"/>
          <w:b/>
          <w:bCs/>
          <w:rtl/>
          <w:lang w:val="en-IL"/>
        </w:rPr>
        <w:t>וזה דבר שהשכל מכחישו ומעשים בכל יום שהמדפיס חיבור יש לו ולבאי כוחו זכות.</w:t>
      </w:r>
    </w:p>
    <w:p w14:paraId="77666465" w14:textId="24CDA345" w:rsidR="002D0921" w:rsidRPr="002D0921" w:rsidRDefault="002D0921" w:rsidP="008A6DFA">
      <w:pPr>
        <w:pStyle w:val="Quote"/>
        <w:rPr>
          <w:rtl/>
          <w:lang w:val="en-IL"/>
        </w:rPr>
      </w:pPr>
      <w:r w:rsidRPr="002D0921">
        <w:rPr>
          <w:rFonts w:hint="cs"/>
          <w:rtl/>
          <w:lang w:val="en-IL"/>
        </w:rPr>
        <w:t xml:space="preserve">וזה איזה שבועות שהמדפיס </w:t>
      </w:r>
      <w:proofErr w:type="spellStart"/>
      <w:r w:rsidRPr="002D0921">
        <w:rPr>
          <w:rFonts w:hint="cs"/>
          <w:rtl/>
          <w:lang w:val="en-IL"/>
        </w:rPr>
        <w:t>מהלבארשטאט</w:t>
      </w:r>
      <w:proofErr w:type="spellEnd"/>
      <w:r w:rsidRPr="002D0921">
        <w:rPr>
          <w:rFonts w:hint="cs"/>
          <w:rtl/>
          <w:lang w:val="en-IL"/>
        </w:rPr>
        <w:t xml:space="preserve"> רצה להדפיס ים התלמוד </w:t>
      </w:r>
      <w:proofErr w:type="spellStart"/>
      <w:r w:rsidRPr="002D0921">
        <w:rPr>
          <w:rFonts w:hint="cs"/>
          <w:rtl/>
          <w:lang w:val="en-IL"/>
        </w:rPr>
        <w:t>ומפה"י</w:t>
      </w:r>
      <w:proofErr w:type="spellEnd"/>
      <w:r w:rsidRPr="002D0921">
        <w:rPr>
          <w:rFonts w:hint="cs"/>
          <w:rtl/>
          <w:lang w:val="en-IL"/>
        </w:rPr>
        <w:t xml:space="preserve"> שנית ושאל </w:t>
      </w:r>
      <w:proofErr w:type="spellStart"/>
      <w:r w:rsidRPr="002D0921">
        <w:rPr>
          <w:rFonts w:hint="cs"/>
          <w:rtl/>
          <w:lang w:val="en-IL"/>
        </w:rPr>
        <w:t>רשיון</w:t>
      </w:r>
      <w:proofErr w:type="spellEnd"/>
      <w:r w:rsidRPr="002D0921">
        <w:rPr>
          <w:rFonts w:hint="cs"/>
          <w:rtl/>
          <w:lang w:val="en-IL"/>
        </w:rPr>
        <w:t xml:space="preserve"> ממני ומגיסי הגאון נ"י ואם יאמר ששם לא מוזכר זמן מוגבל הנה </w:t>
      </w:r>
      <w:proofErr w:type="spellStart"/>
      <w:r w:rsidRPr="002D0921">
        <w:rPr>
          <w:rFonts w:hint="cs"/>
          <w:rtl/>
          <w:lang w:val="en-IL"/>
        </w:rPr>
        <w:t>בצל"ח</w:t>
      </w:r>
      <w:proofErr w:type="spellEnd"/>
      <w:r w:rsidRPr="002D0921">
        <w:rPr>
          <w:rFonts w:hint="cs"/>
          <w:rtl/>
          <w:lang w:val="en-IL"/>
        </w:rPr>
        <w:t xml:space="preserve"> שנדפס </w:t>
      </w:r>
      <w:proofErr w:type="spellStart"/>
      <w:r w:rsidRPr="002D0921">
        <w:rPr>
          <w:rFonts w:hint="cs"/>
          <w:rtl/>
          <w:lang w:val="en-IL"/>
        </w:rPr>
        <w:t>בזאלקווא</w:t>
      </w:r>
      <w:proofErr w:type="spellEnd"/>
      <w:r w:rsidRPr="002D0921">
        <w:rPr>
          <w:rFonts w:hint="cs"/>
          <w:rtl/>
          <w:lang w:val="en-IL"/>
        </w:rPr>
        <w:t xml:space="preserve"> ע"י ר' שלמה רבין שטיין נדפס שם שנדפס בהרשאת בני הגאון </w:t>
      </w:r>
      <w:proofErr w:type="spellStart"/>
      <w:r w:rsidRPr="002D0921">
        <w:rPr>
          <w:rFonts w:hint="cs"/>
          <w:rtl/>
          <w:lang w:val="en-IL"/>
        </w:rPr>
        <w:t>הצל"ח</w:t>
      </w:r>
      <w:proofErr w:type="spellEnd"/>
      <w:r w:rsidRPr="002D0921">
        <w:rPr>
          <w:rFonts w:hint="cs"/>
          <w:rtl/>
          <w:lang w:val="en-IL"/>
        </w:rPr>
        <w:t xml:space="preserve"> והרי שם לא גזרו איסור כלל ואפילו הכי לא חפץ להדפיס בלתי רשות שהוא איסור גמור </w:t>
      </w:r>
      <w:r w:rsidRPr="002D0921">
        <w:rPr>
          <w:rFonts w:hint="cs"/>
          <w:b/>
          <w:bCs/>
          <w:rtl/>
          <w:lang w:val="en-IL"/>
        </w:rPr>
        <w:t xml:space="preserve">ומה שנמצא בספרים שהמחבר מדפיס </w:t>
      </w:r>
      <w:r w:rsidRPr="002D0921">
        <w:rPr>
          <w:rFonts w:hint="cs"/>
          <w:b/>
          <w:bCs/>
          <w:rtl/>
          <w:lang w:val="en-IL"/>
        </w:rPr>
        <w:lastRenderedPageBreak/>
        <w:t xml:space="preserve">וגוזרים עד זמן מוגבל לאו משום שאין לו </w:t>
      </w:r>
      <w:proofErr w:type="spellStart"/>
      <w:r w:rsidRPr="002D0921">
        <w:rPr>
          <w:rFonts w:hint="cs"/>
          <w:b/>
          <w:bCs/>
          <w:rtl/>
          <w:lang w:val="en-IL"/>
        </w:rPr>
        <w:t>כח</w:t>
      </w:r>
      <w:proofErr w:type="spellEnd"/>
      <w:r w:rsidRPr="002D0921">
        <w:rPr>
          <w:rFonts w:hint="cs"/>
          <w:b/>
          <w:bCs/>
          <w:rtl/>
          <w:lang w:val="en-IL"/>
        </w:rPr>
        <w:t xml:space="preserve"> לאסור עולמית זאת אומרת </w:t>
      </w:r>
      <w:proofErr w:type="spellStart"/>
      <w:r w:rsidRPr="002D0921">
        <w:rPr>
          <w:rFonts w:hint="cs"/>
          <w:b/>
          <w:bCs/>
          <w:rtl/>
          <w:lang w:val="en-IL"/>
        </w:rPr>
        <w:t>דבשלו</w:t>
      </w:r>
      <w:proofErr w:type="spellEnd"/>
      <w:r w:rsidRPr="002D0921">
        <w:rPr>
          <w:rFonts w:hint="cs"/>
          <w:b/>
          <w:bCs/>
          <w:rtl/>
          <w:lang w:val="en-IL"/>
        </w:rPr>
        <w:t xml:space="preserve"> אדם רשאי לגזור שלא ידפיסו עולמית בלתי רשותו או באי כוחו רק שאדרבא המחבר בעצמו רוצה שידפיסו ספריו אחר שיזכה למכור ספריו ומבקש שיפוצו דבריו על פני תבל. </w:t>
      </w:r>
      <w:r w:rsidRPr="002D0921">
        <w:rPr>
          <w:rFonts w:hint="cs"/>
          <w:rtl/>
          <w:lang w:val="en-IL"/>
        </w:rPr>
        <w:t>[…]</w:t>
      </w:r>
      <w:r w:rsidR="00B52E5C">
        <w:rPr>
          <w:rStyle w:val="FootnoteReference"/>
          <w:rtl/>
          <w:lang w:val="en-IL"/>
        </w:rPr>
        <w:footnoteReference w:id="19"/>
      </w:r>
    </w:p>
    <w:p w14:paraId="2E266669" w14:textId="7E9C434B" w:rsidR="002D0921" w:rsidRPr="002D0921" w:rsidRDefault="002D0921" w:rsidP="008A6DFA">
      <w:pPr>
        <w:ind w:firstLine="0"/>
        <w:rPr>
          <w:rtl/>
          <w:lang w:val="en-IL"/>
        </w:rPr>
      </w:pPr>
      <w:r w:rsidRPr="002D0921">
        <w:rPr>
          <w:rFonts w:hint="cs"/>
          <w:rtl/>
          <w:lang w:val="en-IL"/>
        </w:rPr>
        <w:t>השואל ומשיב הוא מהראשונים שהכירו בבעלות</w:t>
      </w:r>
      <w:r w:rsidR="006D0983">
        <w:rPr>
          <w:rStyle w:val="FootnoteReference"/>
          <w:rtl/>
          <w:lang w:val="en-IL"/>
        </w:rPr>
        <w:footnoteReference w:id="20"/>
      </w:r>
      <w:r w:rsidRPr="002D0921">
        <w:rPr>
          <w:rFonts w:hint="cs"/>
          <w:rtl/>
          <w:lang w:val="en-IL"/>
        </w:rPr>
        <w:t xml:space="preserve"> על יצירה. הוא טוען שזה דבר ברור שהשכל וההגיון דורשים, ושמנהג העולם בזכויות על המצאה מעיד על כך. בנוסף, יש לו טעם יותר רעיוני: "לא יהא תורה שלימה שלנו כשיחה בטילה שלהם" - אם אנשי אומות העולם מכבדים זכויות יוצרים ומשלמים לממציא על יצירתו בעוד התורה לא מכירה בזכויות הללו, אזי לכאורה חוקי העולם נראים יותר רלוונטיים או צודקים מההלכה. הוא נעזר גם בהסכמות שעשו לספרים, אך נאלץ לתרץ את העובדה שהם הגבילו את הזכויות בזמן בטענה שזה לא נעשה מתוך אינטרס החברה אלא מתוך אינטרס המחבר.</w:t>
      </w:r>
    </w:p>
    <w:p w14:paraId="12339D65" w14:textId="64FCEEA8" w:rsidR="002D0921" w:rsidRPr="002D0921" w:rsidRDefault="002D0921" w:rsidP="002D0921">
      <w:pPr>
        <w:rPr>
          <w:rtl/>
          <w:lang w:val="en-IL"/>
        </w:rPr>
      </w:pPr>
      <w:r w:rsidRPr="002D0921">
        <w:rPr>
          <w:rFonts w:hint="cs"/>
          <w:rtl/>
          <w:lang w:val="en-IL"/>
        </w:rPr>
        <w:t>אך רבים חלקו על סברת השואל ומשיב. אביא לדוגמא את שו"ת פאת שדך</w:t>
      </w:r>
      <w:r w:rsidR="001815E7">
        <w:rPr>
          <w:rStyle w:val="FootnoteReference"/>
          <w:rtl/>
          <w:lang w:val="en-IL"/>
        </w:rPr>
        <w:footnoteReference w:id="21"/>
      </w:r>
      <w:r w:rsidRPr="002D0921">
        <w:rPr>
          <w:rFonts w:hint="cs"/>
          <w:rtl/>
          <w:lang w:val="en-IL"/>
        </w:rPr>
        <w:t>, שם עוסק רבי שמואל דוד הכהן מונק</w:t>
      </w:r>
      <w:r w:rsidR="006B4C70">
        <w:rPr>
          <w:rStyle w:val="FootnoteReference"/>
          <w:rtl/>
          <w:lang w:val="en-IL"/>
        </w:rPr>
        <w:footnoteReference w:id="22"/>
      </w:r>
      <w:r w:rsidRPr="002D0921">
        <w:rPr>
          <w:rFonts w:hint="cs"/>
          <w:rtl/>
          <w:lang w:val="en-IL"/>
        </w:rPr>
        <w:t xml:space="preserve"> בשאלה אם יש איסור להדפיס ספר שלא ברשות המחבר או יורשיו.</w:t>
      </w:r>
      <w:r w:rsidR="00092BDE">
        <w:rPr>
          <w:rStyle w:val="FootnoteReference"/>
          <w:rtl/>
          <w:lang w:val="en-IL"/>
        </w:rPr>
        <w:footnoteReference w:id="23"/>
      </w:r>
      <w:r w:rsidRPr="002D0921">
        <w:rPr>
          <w:rFonts w:hint="cs"/>
          <w:rtl/>
          <w:lang w:val="en-IL"/>
        </w:rPr>
        <w:t xml:space="preserve"> תחילת התשובה מכילה את דעתו בנושא, מבלי התייחסות לדברי השואל ומשיב:</w:t>
      </w:r>
    </w:p>
    <w:p w14:paraId="6129D799" w14:textId="77777777" w:rsidR="002D0921" w:rsidRPr="002D0921" w:rsidRDefault="002D0921" w:rsidP="001B69BF">
      <w:pPr>
        <w:pStyle w:val="Quote"/>
        <w:rPr>
          <w:rtl/>
          <w:lang w:val="en-IL"/>
        </w:rPr>
      </w:pPr>
      <w:r w:rsidRPr="002D0921">
        <w:rPr>
          <w:rFonts w:hint="cs"/>
          <w:rtl/>
          <w:lang w:val="en-IL"/>
        </w:rPr>
        <w:t>ערב שבת קודש פרשת דברים תש"ל לפרט קטן.</w:t>
      </w:r>
    </w:p>
    <w:p w14:paraId="1D40F35B" w14:textId="44C4A900" w:rsidR="002D0921" w:rsidRPr="002D0921" w:rsidRDefault="002D0921" w:rsidP="001B69BF">
      <w:pPr>
        <w:pStyle w:val="Quote"/>
        <w:rPr>
          <w:rtl/>
          <w:lang w:val="en-IL"/>
        </w:rPr>
      </w:pPr>
      <w:r w:rsidRPr="002D0921">
        <w:rPr>
          <w:rFonts w:hint="cs"/>
          <w:rtl/>
          <w:lang w:val="en-IL"/>
        </w:rPr>
        <w:t>למען כבוד הרב רבי שלמה זאב פריד שיחי' לאי"ט.</w:t>
      </w:r>
    </w:p>
    <w:p w14:paraId="5FC4BDAD" w14:textId="4C63E1ED" w:rsidR="002D0921" w:rsidRPr="002D0921" w:rsidRDefault="002D0921" w:rsidP="001B69BF">
      <w:pPr>
        <w:pStyle w:val="Quote"/>
        <w:rPr>
          <w:rtl/>
          <w:lang w:val="en-IL"/>
        </w:rPr>
      </w:pPr>
      <w:r w:rsidRPr="002D0921">
        <w:rPr>
          <w:rFonts w:hint="cs"/>
          <w:rtl/>
          <w:lang w:val="en-IL"/>
        </w:rPr>
        <w:t xml:space="preserve">שאלת </w:t>
      </w:r>
      <w:r w:rsidR="001B69BF" w:rsidRPr="002D0921">
        <w:rPr>
          <w:rFonts w:hint="cs"/>
          <w:rtl/>
          <w:lang w:val="en-IL"/>
        </w:rPr>
        <w:t>בעניי</w:t>
      </w:r>
      <w:r w:rsidR="001B69BF" w:rsidRPr="002D0921">
        <w:rPr>
          <w:rFonts w:hint="eastAsia"/>
          <w:rtl/>
          <w:lang w:val="en-IL"/>
        </w:rPr>
        <w:t>ן</w:t>
      </w:r>
      <w:r w:rsidRPr="002D0921">
        <w:rPr>
          <w:rFonts w:hint="cs"/>
          <w:rtl/>
          <w:lang w:val="en-IL"/>
        </w:rPr>
        <w:t xml:space="preserve"> הדפסת ספר שנדפס לפני שנים רבות ואין יורשי המחבר ידועים, לעניות דעתי אין לחוש. [...]</w:t>
      </w:r>
    </w:p>
    <w:p w14:paraId="19AD8AF7" w14:textId="77777777" w:rsidR="002D0921" w:rsidRPr="002D0921" w:rsidRDefault="002D0921" w:rsidP="001B69BF">
      <w:pPr>
        <w:pStyle w:val="Quote"/>
        <w:rPr>
          <w:rtl/>
          <w:lang w:val="en-IL"/>
        </w:rPr>
      </w:pPr>
      <w:r w:rsidRPr="002D0921">
        <w:rPr>
          <w:rFonts w:hint="cs"/>
          <w:rtl/>
          <w:lang w:val="en-IL"/>
        </w:rPr>
        <w:lastRenderedPageBreak/>
        <w:t xml:space="preserve">ושמא תחוש שיטעון שירש זכות ההדפסה, ואם כן יחשוב את המדפיס היום כמו גוזל, (אבל לא כמשיג גבול ומזיק), </w:t>
      </w:r>
      <w:r w:rsidRPr="00F93CCE">
        <w:rPr>
          <w:rFonts w:hint="cs"/>
          <w:b/>
          <w:bCs/>
          <w:rtl/>
          <w:lang w:val="en-IL"/>
        </w:rPr>
        <w:t xml:space="preserve">זו היא לעניות דעתי טעות גמורה שנולדה בעוונותינו הרבים מחמת שהורגלו בנימוסי אומות העולם, כי לעניות דעתי היא מילתא </w:t>
      </w:r>
      <w:proofErr w:type="spellStart"/>
      <w:r w:rsidRPr="00F93CCE">
        <w:rPr>
          <w:rFonts w:hint="cs"/>
          <w:b/>
          <w:bCs/>
          <w:rtl/>
          <w:lang w:val="en-IL"/>
        </w:rPr>
        <w:t>דפשיטא</w:t>
      </w:r>
      <w:proofErr w:type="spellEnd"/>
      <w:r w:rsidRPr="00F93CCE">
        <w:rPr>
          <w:rFonts w:hint="cs"/>
          <w:b/>
          <w:bCs/>
          <w:rtl/>
          <w:lang w:val="en-IL"/>
        </w:rPr>
        <w:t xml:space="preserve"> טפי </w:t>
      </w:r>
      <w:proofErr w:type="spellStart"/>
      <w:r w:rsidRPr="00F93CCE">
        <w:rPr>
          <w:rFonts w:hint="cs"/>
          <w:b/>
          <w:bCs/>
          <w:rtl/>
          <w:lang w:val="en-IL"/>
        </w:rPr>
        <w:t>מבעיתא</w:t>
      </w:r>
      <w:proofErr w:type="spellEnd"/>
      <w:r w:rsidRPr="00F93CCE">
        <w:rPr>
          <w:rFonts w:hint="cs"/>
          <w:b/>
          <w:bCs/>
          <w:rtl/>
          <w:lang w:val="en-IL"/>
        </w:rPr>
        <w:t xml:space="preserve"> </w:t>
      </w:r>
      <w:proofErr w:type="spellStart"/>
      <w:r w:rsidRPr="00F93CCE">
        <w:rPr>
          <w:rFonts w:hint="cs"/>
          <w:b/>
          <w:bCs/>
          <w:rtl/>
          <w:lang w:val="en-IL"/>
        </w:rPr>
        <w:t>בכותחא</w:t>
      </w:r>
      <w:proofErr w:type="spellEnd"/>
      <w:r w:rsidRPr="00F93CCE">
        <w:rPr>
          <w:rFonts w:hint="cs"/>
          <w:b/>
          <w:bCs/>
          <w:rtl/>
          <w:lang w:val="en-IL"/>
        </w:rPr>
        <w:t xml:space="preserve"> שבדין תורה אין שום זכות בעלות על דברי תורה וכל שכן שאין כאן חפצים שאפשר להוריש בזכות ההדפסה.</w:t>
      </w:r>
      <w:r w:rsidRPr="002D0921">
        <w:rPr>
          <w:rFonts w:hint="cs"/>
          <w:rtl/>
          <w:lang w:val="en-IL"/>
        </w:rPr>
        <w:t xml:space="preserve"> צא ולמד מכל ההסכמות שבכל הדורות שהחרימו על משיגי גבול, </w:t>
      </w:r>
      <w:r w:rsidRPr="003F4819">
        <w:rPr>
          <w:rFonts w:hint="cs"/>
          <w:b/>
          <w:bCs/>
          <w:rtl/>
          <w:lang w:val="en-IL"/>
        </w:rPr>
        <w:t>ומה להם להחרים, אם יש בו משום גזל יתבענו לדין.</w:t>
      </w:r>
      <w:r w:rsidRPr="002D0921">
        <w:rPr>
          <w:rFonts w:hint="cs"/>
          <w:rtl/>
          <w:lang w:val="en-IL"/>
        </w:rPr>
        <w:t xml:space="preserve"> [...] וכן ברור הדבר מלשון כל החרמים, שהרי הגבילו את הזמן כי מה ששיערו שיספיק למכור את כל הספרים. [...]</w:t>
      </w:r>
    </w:p>
    <w:p w14:paraId="31B8D589" w14:textId="77777777" w:rsidR="002D0921" w:rsidRPr="002D0921" w:rsidRDefault="002D0921" w:rsidP="001B69BF">
      <w:pPr>
        <w:pStyle w:val="Quote"/>
        <w:rPr>
          <w:rtl/>
          <w:lang w:val="en-IL"/>
        </w:rPr>
      </w:pPr>
      <w:r w:rsidRPr="002D0921">
        <w:rPr>
          <w:rFonts w:hint="cs"/>
          <w:rtl/>
          <w:lang w:val="en-IL"/>
        </w:rPr>
        <w:t>הגע עצמך, אילו היה דין ירושה במחברי ספרים, אם כן היה אסור להדפיס אפילו ספרי הראשונים עד שימצאו את נכדיהם, ואם אינם ידועים הוא כגוזל את הרבים שדינו קשה.</w:t>
      </w:r>
    </w:p>
    <w:p w14:paraId="1AE4BE44" w14:textId="235C334F" w:rsidR="002D0921" w:rsidRPr="002D0921" w:rsidRDefault="002D0921" w:rsidP="001B69BF">
      <w:pPr>
        <w:pStyle w:val="Quote"/>
        <w:rPr>
          <w:rtl/>
          <w:lang w:val="en-IL"/>
        </w:rPr>
      </w:pPr>
      <w:r w:rsidRPr="002D0921">
        <w:rPr>
          <w:rFonts w:hint="cs"/>
          <w:rtl/>
          <w:lang w:val="en-IL"/>
        </w:rPr>
        <w:t>ואם המחבר רוצה יש בו כ</w:t>
      </w:r>
      <w:r w:rsidR="00D80751">
        <w:rPr>
          <w:rFonts w:hint="cs"/>
          <w:rtl/>
          <w:lang w:val="en-IL"/>
        </w:rPr>
        <w:t>ו</w:t>
      </w:r>
      <w:r w:rsidRPr="002D0921">
        <w:rPr>
          <w:rFonts w:hint="cs"/>
          <w:rtl/>
          <w:lang w:val="en-IL"/>
        </w:rPr>
        <w:t>ח לאסור ספרו להסתכלות מדין קונם, ואפשר שיעשה תנאי שאינו נותן רשות להסתכל אלא למי שלא יחזור וידפיס. או שיעשה תנאי שבממון שמוכר ספריו בתנאי שלא ידפיסום, אבל לא ראינו מי שעשה כן.</w:t>
      </w:r>
    </w:p>
    <w:p w14:paraId="5463F3D8" w14:textId="77777777" w:rsidR="002D0921" w:rsidRPr="002D0921" w:rsidRDefault="002D0921" w:rsidP="001B69BF">
      <w:pPr>
        <w:pStyle w:val="Quote"/>
        <w:rPr>
          <w:rtl/>
          <w:lang w:val="en-IL"/>
        </w:rPr>
      </w:pPr>
      <w:r w:rsidRPr="002D0921">
        <w:rPr>
          <w:rFonts w:hint="cs"/>
          <w:rtl/>
          <w:lang w:val="en-IL"/>
        </w:rPr>
        <w:t>ומה שנמצא בספרים שבדורות האחרונים שלא החרימו אלא אסרו, זה היה רק מפני אימת המלכות, ולכן הזכירו רבים דינא דמלכותא מלבד האיסור מדין תורה.</w:t>
      </w:r>
    </w:p>
    <w:p w14:paraId="198E87B4" w14:textId="4FB3A0D9" w:rsidR="002D0921" w:rsidRPr="002D0921" w:rsidRDefault="002D0921" w:rsidP="001B69BF">
      <w:pPr>
        <w:ind w:firstLine="0"/>
        <w:rPr>
          <w:rtl/>
          <w:lang w:val="en-IL"/>
        </w:rPr>
      </w:pPr>
      <w:r w:rsidRPr="002D0921">
        <w:rPr>
          <w:rFonts w:hint="cs"/>
          <w:rtl/>
          <w:lang w:val="en-IL"/>
        </w:rPr>
        <w:t>לרב מונק ברור שאין קניין רוחני, שהרי אין כאן חפץ פיזי ואין לזה מקור מנגנוני מוקדם בהלכה. לכן הוא כותב שאין ביסוס לאסור אלא באמצעות חרם. בנוסף, הוא מעלה קושיות מעשיות על עצם הרעיון.</w:t>
      </w:r>
      <w:r w:rsidR="00613455">
        <w:rPr>
          <w:rStyle w:val="FootnoteReference"/>
          <w:rtl/>
          <w:lang w:val="en-IL"/>
        </w:rPr>
        <w:footnoteReference w:id="24"/>
      </w:r>
      <w:r w:rsidRPr="002D0921">
        <w:rPr>
          <w:rFonts w:hint="cs"/>
          <w:rtl/>
          <w:lang w:val="en-IL"/>
        </w:rPr>
        <w:t xml:space="preserve"> במקום זאת, הוא מציע למעוניינים בהגנה על ספריהם להשתמש בקונם או תנאי.</w:t>
      </w:r>
    </w:p>
    <w:p w14:paraId="0BF8BCE4" w14:textId="77777777" w:rsidR="002D0921" w:rsidRPr="002D0921" w:rsidRDefault="002D0921" w:rsidP="002D0921">
      <w:pPr>
        <w:rPr>
          <w:rtl/>
          <w:lang w:val="en-IL"/>
        </w:rPr>
      </w:pPr>
      <w:r w:rsidRPr="002D0921">
        <w:rPr>
          <w:rFonts w:hint="cs"/>
          <w:rtl/>
          <w:lang w:val="en-IL"/>
        </w:rPr>
        <w:t>אך שבועיים לאחר מכן, לפי התיארוך בספר, הוא נתקל בפסיקת השואל ומשיב שראינו, ונאלץ לדון בה: </w:t>
      </w:r>
    </w:p>
    <w:p w14:paraId="607328A7" w14:textId="77777777" w:rsidR="002D0921" w:rsidRPr="002D0921" w:rsidRDefault="002D0921" w:rsidP="00205D83">
      <w:pPr>
        <w:pStyle w:val="Quote"/>
        <w:rPr>
          <w:rtl/>
          <w:lang w:val="en-IL"/>
        </w:rPr>
      </w:pPr>
      <w:r w:rsidRPr="002D0921">
        <w:rPr>
          <w:rFonts w:hint="cs"/>
          <w:rtl/>
          <w:lang w:val="en-IL"/>
        </w:rPr>
        <w:t>בעזרת ה' י"ח מנחם אב תש"ל לפרט קטן</w:t>
      </w:r>
    </w:p>
    <w:p w14:paraId="3CEB86DA" w14:textId="77777777" w:rsidR="002D0921" w:rsidRPr="002D0921" w:rsidRDefault="002D0921" w:rsidP="00205D83">
      <w:pPr>
        <w:pStyle w:val="Quote"/>
        <w:rPr>
          <w:rtl/>
          <w:lang w:val="en-IL"/>
        </w:rPr>
      </w:pPr>
      <w:r w:rsidRPr="002D0921">
        <w:rPr>
          <w:rFonts w:hint="cs"/>
          <w:rtl/>
          <w:lang w:val="en-IL"/>
        </w:rPr>
        <w:t>להנ"ל.</w:t>
      </w:r>
    </w:p>
    <w:p w14:paraId="32A14086" w14:textId="77777777" w:rsidR="002D0921" w:rsidRPr="002D0921" w:rsidRDefault="002D0921" w:rsidP="00205D83">
      <w:pPr>
        <w:pStyle w:val="Quote"/>
        <w:rPr>
          <w:rtl/>
          <w:lang w:val="en-IL"/>
        </w:rPr>
      </w:pPr>
      <w:r w:rsidRPr="002D0921">
        <w:rPr>
          <w:rFonts w:hint="cs"/>
          <w:rtl/>
          <w:lang w:val="en-IL"/>
        </w:rPr>
        <w:t xml:space="preserve">בא לידי ספר שואל ומשיב, וראיתי בח"א סי' מ"ד </w:t>
      </w:r>
      <w:proofErr w:type="spellStart"/>
      <w:r w:rsidRPr="002D0921">
        <w:rPr>
          <w:rFonts w:hint="cs"/>
          <w:rtl/>
          <w:lang w:val="en-IL"/>
        </w:rPr>
        <w:t>דפשיטא</w:t>
      </w:r>
      <w:proofErr w:type="spellEnd"/>
      <w:r w:rsidRPr="002D0921">
        <w:rPr>
          <w:rFonts w:hint="cs"/>
          <w:rtl/>
          <w:lang w:val="en-IL"/>
        </w:rPr>
        <w:t xml:space="preserve"> ליה שהמחבר עצמו </w:t>
      </w:r>
      <w:r w:rsidRPr="002D0921">
        <w:rPr>
          <w:rFonts w:hint="cs"/>
          <w:rtl/>
          <w:lang w:val="en-IL"/>
        </w:rPr>
        <w:lastRenderedPageBreak/>
        <w:t>שהדפיס וזה שדבריו נתקבלו יש לו בזה זכות לעולם, ומביא ראיה שאף במלאכות כן הוא, (דהיינו מה שקורין היום "זכות יוצר"), ומביא מעשה שהיה בימיו שיהודי אחד המציא מכונה חדשה וקבל פרס מהמלכות, ולא תהא תורה שלימה שלנו כשיחה בטילה שלהם, ועוד מביא ראיה שהרי נהגו לבקש רשות מהמחבר כשרוצים לחזור ולהדפיס ספרו.</w:t>
      </w:r>
    </w:p>
    <w:p w14:paraId="6F351AA9" w14:textId="77777777" w:rsidR="002D0921" w:rsidRPr="002D0921" w:rsidRDefault="002D0921" w:rsidP="00205D83">
      <w:pPr>
        <w:pStyle w:val="Quote"/>
        <w:rPr>
          <w:rtl/>
          <w:lang w:val="en-IL"/>
        </w:rPr>
      </w:pPr>
      <w:r w:rsidRPr="002D0921">
        <w:rPr>
          <w:rFonts w:hint="cs"/>
          <w:rtl/>
          <w:lang w:val="en-IL"/>
        </w:rPr>
        <w:t>ולא ניחא לי כלל לחלוק על הגאון בעל שואל ומשיב [...] ולכן כל דברינו בזה הם להלכה ולא למעשה.</w:t>
      </w:r>
    </w:p>
    <w:p w14:paraId="634CB842" w14:textId="772793AC" w:rsidR="002D0921" w:rsidRPr="002D0921" w:rsidRDefault="002D0921" w:rsidP="00205D83">
      <w:pPr>
        <w:ind w:firstLine="0"/>
        <w:rPr>
          <w:rtl/>
          <w:lang w:val="en-IL"/>
        </w:rPr>
      </w:pPr>
      <w:r w:rsidRPr="002D0921">
        <w:rPr>
          <w:rFonts w:hint="cs"/>
          <w:rtl/>
          <w:lang w:val="en-IL"/>
        </w:rPr>
        <w:t>הרב מונק מקשה על השואל ומשיב מספר קושיות. חלקן ממוקדות בבעיית דרישת שכר ללימוד תורה הנוצרת ממתן זכויות יוצרים על ספרי קודש</w:t>
      </w:r>
      <w:r w:rsidR="00EE6137">
        <w:rPr>
          <w:rStyle w:val="FootnoteReference"/>
          <w:rtl/>
          <w:lang w:val="en-IL"/>
        </w:rPr>
        <w:footnoteReference w:id="25"/>
      </w:r>
      <w:r w:rsidRPr="002D0921">
        <w:rPr>
          <w:rFonts w:hint="cs"/>
          <w:rtl/>
          <w:lang w:val="en-IL"/>
        </w:rPr>
        <w:t>, אך כמה עוסקות ישירות ברעיון של קניין רוחני ככלל, ובהן נעסוק. </w:t>
      </w:r>
    </w:p>
    <w:p w14:paraId="1145A75A" w14:textId="77777777" w:rsidR="002D0921" w:rsidRPr="002D0921" w:rsidRDefault="002D0921" w:rsidP="002D0921">
      <w:pPr>
        <w:rPr>
          <w:rtl/>
          <w:lang w:val="en-IL"/>
        </w:rPr>
      </w:pPr>
      <w:r w:rsidRPr="002D0921">
        <w:rPr>
          <w:rFonts w:hint="cs"/>
          <w:rtl/>
          <w:lang w:val="en-IL"/>
        </w:rPr>
        <w:t>הראשונה מקשה על המנהג שמתאר השואל ומשיב לעניין זכויות בהמצאה. לדעת הרב מונק אף לנוהג זה אין ביסוס הלכתי, ושאף הדרך בה נהוגות זכויות יוצרים במדינות העולם לא מעידה על בעלות:</w:t>
      </w:r>
    </w:p>
    <w:p w14:paraId="3831E656" w14:textId="77777777" w:rsidR="002D0921" w:rsidRPr="002D0921" w:rsidRDefault="002D0921" w:rsidP="003C4D0A">
      <w:pPr>
        <w:pStyle w:val="Quote"/>
        <w:rPr>
          <w:rtl/>
          <w:lang w:val="en-IL"/>
        </w:rPr>
      </w:pPr>
      <w:r w:rsidRPr="002D0921">
        <w:rPr>
          <w:rFonts w:hint="cs"/>
          <w:rtl/>
          <w:lang w:val="en-IL"/>
        </w:rPr>
        <w:t xml:space="preserve">לענ"ד כל דברי הגאון בעל שואל ומשיב ז"ל צ"ע בזה. </w:t>
      </w:r>
      <w:proofErr w:type="spellStart"/>
      <w:r w:rsidRPr="002D0921">
        <w:rPr>
          <w:rFonts w:hint="cs"/>
          <w:rtl/>
          <w:lang w:val="en-IL"/>
        </w:rPr>
        <w:t>חדא</w:t>
      </w:r>
      <w:proofErr w:type="spellEnd"/>
      <w:r w:rsidRPr="002D0921">
        <w:rPr>
          <w:rFonts w:hint="cs"/>
          <w:rtl/>
          <w:lang w:val="en-IL"/>
        </w:rPr>
        <w:t xml:space="preserve">, </w:t>
      </w:r>
      <w:r w:rsidRPr="002D0921">
        <w:rPr>
          <w:rFonts w:hint="cs"/>
          <w:b/>
          <w:bCs/>
          <w:rtl/>
          <w:lang w:val="en-IL"/>
        </w:rPr>
        <w:t>שאף במלאכות לא ידעתי טעם מבורר לתבוע לדין את העושה כעין המלאכה הראשונה של הממציא הראשון, אלא אם כן הוא מזיקו בהשגת גבול</w:t>
      </w:r>
      <w:r w:rsidRPr="002D0921">
        <w:rPr>
          <w:rFonts w:hint="cs"/>
          <w:rtl/>
          <w:lang w:val="en-IL"/>
        </w:rPr>
        <w:t xml:space="preserve"> דהיינו טענת </w:t>
      </w:r>
      <w:proofErr w:type="spellStart"/>
      <w:r w:rsidRPr="002D0921">
        <w:rPr>
          <w:rFonts w:hint="cs"/>
          <w:rtl/>
          <w:lang w:val="en-IL"/>
        </w:rPr>
        <w:t>קא</w:t>
      </w:r>
      <w:proofErr w:type="spellEnd"/>
      <w:r w:rsidRPr="002D0921">
        <w:rPr>
          <w:rFonts w:hint="cs"/>
          <w:rtl/>
          <w:lang w:val="en-IL"/>
        </w:rPr>
        <w:t xml:space="preserve"> פסקת </w:t>
      </w:r>
      <w:proofErr w:type="spellStart"/>
      <w:r w:rsidRPr="002D0921">
        <w:rPr>
          <w:rFonts w:hint="cs"/>
          <w:rtl/>
          <w:lang w:val="en-IL"/>
        </w:rPr>
        <w:t>לחיותאי</w:t>
      </w:r>
      <w:proofErr w:type="spellEnd"/>
      <w:r w:rsidRPr="002D0921">
        <w:rPr>
          <w:rFonts w:hint="cs"/>
          <w:rtl/>
          <w:lang w:val="en-IL"/>
        </w:rPr>
        <w:t>, ודווקא באותן אופנים שאמרו רז"ל, כגון בר מבואה אבר מבואה וכדומה.</w:t>
      </w:r>
    </w:p>
    <w:p w14:paraId="6D5E4562" w14:textId="77777777" w:rsidR="002D0921" w:rsidRPr="002D0921" w:rsidRDefault="002D0921" w:rsidP="003C4D0A">
      <w:pPr>
        <w:pStyle w:val="Quote"/>
        <w:rPr>
          <w:rtl/>
          <w:lang w:val="en-IL"/>
        </w:rPr>
      </w:pPr>
      <w:r w:rsidRPr="002D0921">
        <w:rPr>
          <w:rFonts w:hint="cs"/>
          <w:rtl/>
          <w:lang w:val="en-IL"/>
        </w:rPr>
        <w:t xml:space="preserve">ולא עוד אלא שאף בנימוסי אומות העולם אין </w:t>
      </w:r>
      <w:proofErr w:type="spellStart"/>
      <w:r w:rsidRPr="002D0921">
        <w:rPr>
          <w:rFonts w:hint="cs"/>
          <w:rtl/>
          <w:lang w:val="en-IL"/>
        </w:rPr>
        <w:t>כח</w:t>
      </w:r>
      <w:proofErr w:type="spellEnd"/>
      <w:r w:rsidRPr="002D0921">
        <w:rPr>
          <w:rFonts w:hint="cs"/>
          <w:rtl/>
          <w:lang w:val="en-IL"/>
        </w:rPr>
        <w:t xml:space="preserve"> לתבוע אלא אם כן </w:t>
      </w:r>
      <w:proofErr w:type="spellStart"/>
      <w:r w:rsidRPr="002D0921">
        <w:rPr>
          <w:rFonts w:hint="cs"/>
          <w:rtl/>
          <w:lang w:val="en-IL"/>
        </w:rPr>
        <w:t>נתבררה</w:t>
      </w:r>
      <w:proofErr w:type="spellEnd"/>
      <w:r w:rsidRPr="002D0921">
        <w:rPr>
          <w:rFonts w:hint="cs"/>
          <w:rtl/>
          <w:lang w:val="en-IL"/>
        </w:rPr>
        <w:t xml:space="preserve"> זכות הממציא הראשון ונכתב בפנקסיהם, (שקורין משרד </w:t>
      </w:r>
      <w:proofErr w:type="spellStart"/>
      <w:r w:rsidRPr="002D0921">
        <w:rPr>
          <w:rFonts w:hint="cs"/>
          <w:rtl/>
          <w:lang w:val="en-IL"/>
        </w:rPr>
        <w:t>הפאטענטים</w:t>
      </w:r>
      <w:proofErr w:type="spellEnd"/>
      <w:r w:rsidRPr="002D0921">
        <w:rPr>
          <w:rFonts w:hint="cs"/>
          <w:rtl/>
          <w:lang w:val="en-IL"/>
        </w:rPr>
        <w:t>), ובמחברי ספרים וניגונים וכדומה פקע זכות הממציא כמה עשרות שנים אחרי מיתתו, ונעשה הפקר לכל.</w:t>
      </w:r>
    </w:p>
    <w:p w14:paraId="5498C021" w14:textId="77777777" w:rsidR="002D0921" w:rsidRPr="002D0921" w:rsidRDefault="002D0921" w:rsidP="003C4D0A">
      <w:pPr>
        <w:ind w:firstLine="0"/>
        <w:rPr>
          <w:rtl/>
          <w:lang w:val="en-IL"/>
        </w:rPr>
      </w:pPr>
      <w:r w:rsidRPr="002D0921">
        <w:rPr>
          <w:rFonts w:hint="cs"/>
          <w:rtl/>
          <w:lang w:val="en-IL"/>
        </w:rPr>
        <w:t>זו טענה טובה. השואל ומשיב אמנם משתמש במנהג העולם כראיה, אך הוא בעצם מחמיר יותר מכל מערכת משפטית מקבילה בכך שהוא מכיר בזכות עולם חסרת הגבלה.</w:t>
      </w:r>
    </w:p>
    <w:p w14:paraId="030F91D3" w14:textId="77777777" w:rsidR="002D0921" w:rsidRPr="002D0921" w:rsidRDefault="002D0921" w:rsidP="002D0921">
      <w:pPr>
        <w:rPr>
          <w:rtl/>
          <w:lang w:val="en-IL"/>
        </w:rPr>
      </w:pPr>
      <w:r w:rsidRPr="002D0921">
        <w:rPr>
          <w:rFonts w:hint="cs"/>
          <w:rtl/>
          <w:lang w:val="en-IL"/>
        </w:rPr>
        <w:t>הרב מונק מעיר גם על תירוץ השואל ומשיב לעניין הגבלת הזמן בהסכמות על ספרים:</w:t>
      </w:r>
    </w:p>
    <w:p w14:paraId="075A0B58" w14:textId="77777777" w:rsidR="002D0921" w:rsidRPr="002D0921" w:rsidRDefault="002D0921" w:rsidP="003C4D0A">
      <w:pPr>
        <w:pStyle w:val="Quote"/>
        <w:rPr>
          <w:rtl/>
          <w:lang w:val="en-IL"/>
        </w:rPr>
      </w:pPr>
      <w:r w:rsidRPr="002D0921">
        <w:rPr>
          <w:rFonts w:hint="cs"/>
          <w:rtl/>
          <w:lang w:val="en-IL"/>
        </w:rPr>
        <w:t xml:space="preserve">ועוד כתב הגאון בעל שואל ומשיב שמה שגזרו בהרבה ספרים זמן מוגבל אף למחבר בעצמו, היינו מפני שהמחבר בעצמו ניחא ליה להפיץ דבריו אלא </w:t>
      </w:r>
      <w:r w:rsidRPr="002D0921">
        <w:rPr>
          <w:rFonts w:hint="cs"/>
          <w:rtl/>
          <w:lang w:val="en-IL"/>
        </w:rPr>
        <w:lastRenderedPageBreak/>
        <w:t xml:space="preserve">שרוצה לגדור עד שימכור. ולעניות דעתי לא משמע הכי מפשט כל ההסכמות הנדפסות בספרים, [...] </w:t>
      </w:r>
      <w:r w:rsidRPr="002D0921">
        <w:rPr>
          <w:rFonts w:hint="cs"/>
          <w:b/>
          <w:bCs/>
          <w:rtl/>
          <w:lang w:val="en-IL"/>
        </w:rPr>
        <w:t xml:space="preserve">ופשט לשונם משמע שכל עיקר גזירתם לא </w:t>
      </w:r>
      <w:proofErr w:type="spellStart"/>
      <w:r w:rsidRPr="002D0921">
        <w:rPr>
          <w:rFonts w:hint="cs"/>
          <w:b/>
          <w:bCs/>
          <w:rtl/>
          <w:lang w:val="en-IL"/>
        </w:rPr>
        <w:t>היתה</w:t>
      </w:r>
      <w:proofErr w:type="spellEnd"/>
      <w:r w:rsidRPr="002D0921">
        <w:rPr>
          <w:rFonts w:hint="cs"/>
          <w:b/>
          <w:bCs/>
          <w:rtl/>
          <w:lang w:val="en-IL"/>
        </w:rPr>
        <w:t xml:space="preserve"> אלא מפני חשש הפסד בן המחבר שנתייגע בהדפסה, ולא משום בעלות כלל.</w:t>
      </w:r>
    </w:p>
    <w:p w14:paraId="2471F196" w14:textId="77777777" w:rsidR="002D0921" w:rsidRPr="002D0921" w:rsidRDefault="002D0921" w:rsidP="003C4D0A">
      <w:pPr>
        <w:ind w:firstLine="0"/>
        <w:rPr>
          <w:rtl/>
          <w:lang w:val="en-IL"/>
        </w:rPr>
      </w:pPr>
      <w:r w:rsidRPr="002D0921">
        <w:rPr>
          <w:rFonts w:hint="cs"/>
          <w:rtl/>
          <w:lang w:val="en-IL"/>
        </w:rPr>
        <w:t>ובעצם שייכת כאן גם הקושיה שהרב מונק כתב בחלק הראשון של השו"ת, שעצם קיום החרמות מעיד על כך שאין קניין רוחני, שהרי אם יש קניין רוחני לא צריך חרמות בשביל לאסור העתקה.</w:t>
      </w:r>
    </w:p>
    <w:p w14:paraId="424DBDF5" w14:textId="77777777" w:rsidR="002D0921" w:rsidRPr="002D0921" w:rsidRDefault="002D0921" w:rsidP="002D0921">
      <w:pPr>
        <w:rPr>
          <w:rtl/>
          <w:lang w:val="en-IL"/>
        </w:rPr>
      </w:pPr>
      <w:r w:rsidRPr="002D0921">
        <w:rPr>
          <w:rFonts w:hint="cs"/>
          <w:rtl/>
          <w:lang w:val="en-IL"/>
        </w:rPr>
        <w:t>לאחר מכן מקשה הרב מונק על הראיות שמביא השואל ומשיב ממנהג העולם בכמה קושיות:</w:t>
      </w:r>
    </w:p>
    <w:p w14:paraId="3B7D2C9E" w14:textId="77777777" w:rsidR="002D0921" w:rsidRPr="002D0921" w:rsidRDefault="002D0921" w:rsidP="00543CAE">
      <w:pPr>
        <w:pStyle w:val="Quote"/>
        <w:rPr>
          <w:rtl/>
          <w:lang w:val="en-IL"/>
        </w:rPr>
      </w:pPr>
      <w:r w:rsidRPr="002D0921">
        <w:rPr>
          <w:rFonts w:hint="cs"/>
          <w:rtl/>
          <w:lang w:val="en-IL"/>
        </w:rPr>
        <w:t xml:space="preserve">ומה שהביא הגאון בעל שואל ומשיב ז"ל ראיה שהרי נהגו לבקש רשות מהמחבר עצמו, אין זו ראיה גדולה כל כך </w:t>
      </w:r>
      <w:proofErr w:type="spellStart"/>
      <w:r w:rsidRPr="002D0921">
        <w:rPr>
          <w:rFonts w:hint="cs"/>
          <w:rtl/>
          <w:lang w:val="en-IL"/>
        </w:rPr>
        <w:t>דאטו</w:t>
      </w:r>
      <w:proofErr w:type="spellEnd"/>
      <w:r w:rsidRPr="002D0921">
        <w:rPr>
          <w:rFonts w:hint="cs"/>
          <w:rtl/>
          <w:lang w:val="en-IL"/>
        </w:rPr>
        <w:t xml:space="preserve"> כל </w:t>
      </w:r>
      <w:proofErr w:type="spellStart"/>
      <w:r w:rsidRPr="002D0921">
        <w:rPr>
          <w:rFonts w:hint="cs"/>
          <w:rtl/>
          <w:lang w:val="en-IL"/>
        </w:rPr>
        <w:t>אינשי</w:t>
      </w:r>
      <w:proofErr w:type="spellEnd"/>
      <w:r w:rsidRPr="002D0921">
        <w:rPr>
          <w:rFonts w:hint="cs"/>
          <w:rtl/>
          <w:lang w:val="en-IL"/>
        </w:rPr>
        <w:t xml:space="preserve"> דינא </w:t>
      </w:r>
      <w:proofErr w:type="spellStart"/>
      <w:r w:rsidRPr="002D0921">
        <w:rPr>
          <w:rFonts w:hint="cs"/>
          <w:rtl/>
          <w:lang w:val="en-IL"/>
        </w:rPr>
        <w:t>גמירי</w:t>
      </w:r>
      <w:proofErr w:type="spellEnd"/>
      <w:r w:rsidRPr="002D0921">
        <w:rPr>
          <w:rFonts w:hint="cs"/>
          <w:rtl/>
          <w:lang w:val="en-IL"/>
        </w:rPr>
        <w:t xml:space="preserve">, ועוד </w:t>
      </w:r>
      <w:proofErr w:type="spellStart"/>
      <w:r w:rsidRPr="002D0921">
        <w:rPr>
          <w:rFonts w:hint="cs"/>
          <w:rtl/>
          <w:lang w:val="en-IL"/>
        </w:rPr>
        <w:t>שחוששין</w:t>
      </w:r>
      <w:proofErr w:type="spellEnd"/>
      <w:r w:rsidRPr="002D0921">
        <w:rPr>
          <w:rFonts w:hint="cs"/>
          <w:rtl/>
          <w:lang w:val="en-IL"/>
        </w:rPr>
        <w:t xml:space="preserve"> משום דינא דמלכותא, ועוד נראה לעניות דעתי </w:t>
      </w:r>
      <w:proofErr w:type="spellStart"/>
      <w:r w:rsidRPr="002D0921">
        <w:rPr>
          <w:rFonts w:hint="cs"/>
          <w:rtl/>
          <w:lang w:val="en-IL"/>
        </w:rPr>
        <w:t>שבודאי</w:t>
      </w:r>
      <w:proofErr w:type="spellEnd"/>
      <w:r w:rsidRPr="002D0921">
        <w:rPr>
          <w:rFonts w:hint="cs"/>
          <w:rtl/>
          <w:lang w:val="en-IL"/>
        </w:rPr>
        <w:t xml:space="preserve"> צריך לבקש רשות </w:t>
      </w:r>
      <w:proofErr w:type="spellStart"/>
      <w:r w:rsidRPr="002D0921">
        <w:rPr>
          <w:rFonts w:hint="cs"/>
          <w:rtl/>
          <w:lang w:val="en-IL"/>
        </w:rPr>
        <w:t>ממדת</w:t>
      </w:r>
      <w:proofErr w:type="spellEnd"/>
      <w:r w:rsidRPr="002D0921">
        <w:rPr>
          <w:rFonts w:hint="cs"/>
          <w:rtl/>
          <w:lang w:val="en-IL"/>
        </w:rPr>
        <w:t xml:space="preserve"> דרך ארץ וכבוד התורה, </w:t>
      </w:r>
      <w:proofErr w:type="spellStart"/>
      <w:r w:rsidRPr="002D0921">
        <w:rPr>
          <w:rFonts w:hint="cs"/>
          <w:rtl/>
          <w:lang w:val="en-IL"/>
        </w:rPr>
        <w:t>דהיאך</w:t>
      </w:r>
      <w:proofErr w:type="spellEnd"/>
      <w:r w:rsidRPr="002D0921">
        <w:rPr>
          <w:rFonts w:hint="cs"/>
          <w:rtl/>
          <w:lang w:val="en-IL"/>
        </w:rPr>
        <w:t xml:space="preserve"> יעשה סחורה בפרתו של חבירו אע"פ שהוא מותר </w:t>
      </w:r>
      <w:proofErr w:type="spellStart"/>
      <w:r w:rsidRPr="002D0921">
        <w:rPr>
          <w:rFonts w:hint="cs"/>
          <w:rtl/>
          <w:lang w:val="en-IL"/>
        </w:rPr>
        <w:t>מדינא</w:t>
      </w:r>
      <w:proofErr w:type="spellEnd"/>
      <w:r w:rsidRPr="002D0921">
        <w:rPr>
          <w:rFonts w:hint="cs"/>
          <w:rtl/>
          <w:lang w:val="en-IL"/>
        </w:rPr>
        <w:t>.</w:t>
      </w:r>
    </w:p>
    <w:p w14:paraId="4C258C01" w14:textId="77777777" w:rsidR="002D0921" w:rsidRPr="002D0921" w:rsidRDefault="002D0921" w:rsidP="00543CAE">
      <w:pPr>
        <w:pStyle w:val="Quote"/>
        <w:rPr>
          <w:rtl/>
          <w:lang w:val="en-IL"/>
        </w:rPr>
      </w:pPr>
      <w:r w:rsidRPr="001370DC">
        <w:rPr>
          <w:rFonts w:hint="cs"/>
          <w:rtl/>
          <w:lang w:val="en-IL"/>
        </w:rPr>
        <w:t>[...]</w:t>
      </w:r>
      <w:r w:rsidRPr="00DB34D6">
        <w:rPr>
          <w:rFonts w:hint="cs"/>
          <w:b/>
          <w:bCs/>
          <w:rtl/>
          <w:lang w:val="en-IL"/>
        </w:rPr>
        <w:t xml:space="preserve"> לענ"ד אין שום</w:t>
      </w:r>
      <w:r w:rsidRPr="002D0921">
        <w:rPr>
          <w:rFonts w:hint="cs"/>
          <w:b/>
          <w:bCs/>
          <w:rtl/>
          <w:lang w:val="en-IL"/>
        </w:rPr>
        <w:t xml:space="preserve"> טעם ויסוד נדון זכות בעלות וירושה בדברי תורה</w:t>
      </w:r>
      <w:r w:rsidRPr="002D0921">
        <w:rPr>
          <w:rFonts w:hint="cs"/>
          <w:rtl/>
          <w:lang w:val="en-IL"/>
        </w:rPr>
        <w:t xml:space="preserve">, </w:t>
      </w:r>
      <w:r w:rsidRPr="00B34963">
        <w:rPr>
          <w:rFonts w:hint="cs"/>
          <w:b/>
          <w:bCs/>
          <w:rtl/>
          <w:lang w:val="en-IL"/>
        </w:rPr>
        <w:t xml:space="preserve">רק טענת </w:t>
      </w:r>
      <w:proofErr w:type="spellStart"/>
      <w:r w:rsidRPr="00B34963">
        <w:rPr>
          <w:rFonts w:hint="cs"/>
          <w:b/>
          <w:bCs/>
          <w:rtl/>
          <w:lang w:val="en-IL"/>
        </w:rPr>
        <w:t>קא</w:t>
      </w:r>
      <w:proofErr w:type="spellEnd"/>
      <w:r w:rsidRPr="00B34963">
        <w:rPr>
          <w:rFonts w:hint="cs"/>
          <w:b/>
          <w:bCs/>
          <w:rtl/>
          <w:lang w:val="en-IL"/>
        </w:rPr>
        <w:t xml:space="preserve"> פסקת </w:t>
      </w:r>
      <w:proofErr w:type="spellStart"/>
      <w:r w:rsidRPr="00B34963">
        <w:rPr>
          <w:rFonts w:hint="cs"/>
          <w:b/>
          <w:bCs/>
          <w:rtl/>
          <w:lang w:val="en-IL"/>
        </w:rPr>
        <w:t>לחיותאי</w:t>
      </w:r>
      <w:proofErr w:type="spellEnd"/>
      <w:r w:rsidRPr="00B34963">
        <w:rPr>
          <w:rFonts w:hint="cs"/>
          <w:b/>
          <w:bCs/>
          <w:rtl/>
          <w:lang w:val="en-IL"/>
        </w:rPr>
        <w:t xml:space="preserve"> באופנים שתקנו רבותינו </w:t>
      </w:r>
      <w:proofErr w:type="spellStart"/>
      <w:r w:rsidRPr="00B34963">
        <w:rPr>
          <w:rFonts w:hint="cs"/>
          <w:b/>
          <w:bCs/>
          <w:rtl/>
          <w:lang w:val="en-IL"/>
        </w:rPr>
        <w:t>זכרונם</w:t>
      </w:r>
      <w:proofErr w:type="spellEnd"/>
      <w:r w:rsidRPr="00B34963">
        <w:rPr>
          <w:rFonts w:hint="cs"/>
          <w:b/>
          <w:bCs/>
          <w:rtl/>
          <w:lang w:val="en-IL"/>
        </w:rPr>
        <w:t xml:space="preserve"> לברכה.</w:t>
      </w:r>
      <w:r w:rsidRPr="002D0921">
        <w:rPr>
          <w:rFonts w:hint="cs"/>
          <w:rtl/>
          <w:lang w:val="en-IL"/>
        </w:rPr>
        <w:t xml:space="preserve"> מינו אם המחבר עדיין קיים, צריך ליטול הימנו רשות משום כבוד התורה ומדת דרך ארץ, ואם עני הוא מצוה לדון כעין שכר בטלה ולא לעשות סחורה בפרתו של חבירו. ואם המחבר רוצה להוסיף ולגרוע בספרו ודאי אסור להדפיס בלא תיקוניו, אבל אין זו תביעת ממון, אלא שמפרסם בשמו דברים שחזר מהם, וכל זה הלכה ולא למעשה.</w:t>
      </w:r>
    </w:p>
    <w:p w14:paraId="5778DDB3" w14:textId="4BB282BE" w:rsidR="002D0921" w:rsidRPr="002D0921" w:rsidRDefault="002D0921" w:rsidP="00652A67">
      <w:pPr>
        <w:ind w:firstLine="0"/>
        <w:rPr>
          <w:rtl/>
          <w:lang w:val="en-IL"/>
        </w:rPr>
      </w:pPr>
      <w:r w:rsidRPr="002D0921">
        <w:rPr>
          <w:rFonts w:hint="cs"/>
          <w:rtl/>
          <w:lang w:val="en-IL"/>
        </w:rPr>
        <w:t>אכן, קושיות אלו חזקות מאוד, שהרי השואל ומשיב לא הביא ביסוס מנגנוני-הלכתי לקניין רוחני. הוא אפילו לא נעזר בקניין סיטומתא כדי לבסס את הקניין הרוחני.</w:t>
      </w:r>
      <w:r w:rsidR="008C6584">
        <w:rPr>
          <w:rStyle w:val="FootnoteReference"/>
          <w:rtl/>
          <w:lang w:val="en-IL"/>
        </w:rPr>
        <w:footnoteReference w:id="26"/>
      </w:r>
    </w:p>
    <w:p w14:paraId="52DE05FA" w14:textId="51104230" w:rsidR="002D0921" w:rsidRPr="002D0921" w:rsidRDefault="002D0921" w:rsidP="002D0921">
      <w:pPr>
        <w:rPr>
          <w:rtl/>
          <w:lang w:val="en-IL"/>
        </w:rPr>
      </w:pPr>
      <w:r w:rsidRPr="002D0921">
        <w:rPr>
          <w:rFonts w:hint="cs"/>
          <w:rtl/>
          <w:lang w:val="en-IL"/>
        </w:rPr>
        <w:t>לאור זאת צריך לשאול, כיצד סבר ר' יוסף שאול נתנזון שפשוט כל כך שיש בעלות על יצירה, למרות שאין לכך כל ביסוס הלכתי קודם,</w:t>
      </w:r>
      <w:r w:rsidR="00C64CF2">
        <w:rPr>
          <w:rStyle w:val="FootnoteReference"/>
          <w:rtl/>
          <w:lang w:val="en-IL"/>
        </w:rPr>
        <w:footnoteReference w:id="27"/>
      </w:r>
      <w:r w:rsidRPr="002D0921">
        <w:rPr>
          <w:rFonts w:hint="cs"/>
          <w:rtl/>
          <w:lang w:val="en-IL"/>
        </w:rPr>
        <w:t xml:space="preserve"> ולמרות שברור </w:t>
      </w:r>
      <w:r w:rsidRPr="002D0921">
        <w:rPr>
          <w:rFonts w:hint="cs"/>
          <w:rtl/>
          <w:lang w:val="en-IL"/>
        </w:rPr>
        <w:lastRenderedPageBreak/>
        <w:t>שהפוסקים שלפניו שכתבו את ההסכמות לספרים לא סברו שיש בעלות על יצירה?</w:t>
      </w:r>
    </w:p>
    <w:p w14:paraId="2A981B84" w14:textId="77777777" w:rsidR="002D0921" w:rsidRPr="002D0921" w:rsidRDefault="002D0921" w:rsidP="002D0921">
      <w:pPr>
        <w:rPr>
          <w:rtl/>
          <w:lang w:val="en-IL"/>
        </w:rPr>
      </w:pPr>
      <w:r w:rsidRPr="002D0921">
        <w:rPr>
          <w:rFonts w:hint="cs"/>
          <w:rtl/>
          <w:lang w:val="en-IL"/>
        </w:rPr>
        <w:t>על מנת לחדד את השאלה אבקש להצביע על הפער בין קניין זכויותי לקניין חפצי: כפי שהסברנו, קניין זכויותי קובע את כללי הממון שלו על פי הסכמת האנשים ואינטרס החברה, בעוד קניין חפצי מתייחס לממון כדין אובייקטיבי בין האדם לרכושו, וטוען לברר ולהגדיר</w:t>
      </w:r>
      <w:r w:rsidRPr="002D0921">
        <w:rPr>
          <w:rFonts w:hint="cs"/>
          <w:b/>
          <w:bCs/>
          <w:rtl/>
          <w:lang w:val="en-IL"/>
        </w:rPr>
        <w:t xml:space="preserve"> </w:t>
      </w:r>
      <w:r w:rsidRPr="002D0921">
        <w:rPr>
          <w:rFonts w:hint="cs"/>
          <w:rtl/>
          <w:lang w:val="en-IL"/>
        </w:rPr>
        <w:t>את דיני הממון, ולא ליצור אותם. במערכת של קניין חפצי, קניין רוחני הינו חידוש עצום שלא ברור אם אפשרי שיתפתח באופן טבעי, שהרי מערכות כאלו מגדירות סדרה של מעשים במציאות הפיזית המקנים חפץ לאדם. לכן אם משתמשים רק במנגנונים קיימים, לא ניתן להגדיר קניין רוחני, שהרי אין מנגנון של מעשה קניין או של העברה ביצירה רוחנית. אך בכל זאת השואל ומשיב, פוסק הפועל בתוך מערכת הממון החפצית של ההלכה, סבר שיש קניין רוחני. כיצד הצליח הקניין הרוחני לחדור לעולמה של ההלכה, שלא בנוי להכיר בו?</w:t>
      </w:r>
    </w:p>
    <w:p w14:paraId="53344ACD" w14:textId="77777777" w:rsidR="0045067F" w:rsidRPr="0045067F" w:rsidRDefault="0045067F" w:rsidP="0045067F">
      <w:pPr>
        <w:pStyle w:val="Heading2"/>
        <w:rPr>
          <w:lang w:val="en-IL"/>
        </w:rPr>
      </w:pPr>
      <w:r w:rsidRPr="0045067F">
        <w:rPr>
          <w:rFonts w:hint="cs"/>
          <w:rtl/>
          <w:lang w:val="en-IL"/>
        </w:rPr>
        <w:t>מקורם של דיני ממון בגישות קניין חפציות</w:t>
      </w:r>
    </w:p>
    <w:p w14:paraId="22472C89" w14:textId="05AFA01F" w:rsidR="002218EC" w:rsidRPr="002218EC" w:rsidRDefault="002218EC" w:rsidP="002218EC">
      <w:pPr>
        <w:ind w:firstLine="0"/>
        <w:rPr>
          <w:lang w:val="en-IL"/>
        </w:rPr>
      </w:pPr>
      <w:r w:rsidRPr="002218EC">
        <w:rPr>
          <w:rFonts w:hint="cs"/>
          <w:rtl/>
          <w:lang w:val="en-IL"/>
        </w:rPr>
        <w:t>על בסיס מה מגדירים המחוקקים של מערכות ממון חפציות את הממון? איזה מקור אובייקטיבי היה למחוקקים הרומיים ולחז"ל לפיו הם הגדירו את מעשי הקניין השונים?</w:t>
      </w:r>
      <w:r w:rsidR="00A83498">
        <w:rPr>
          <w:rStyle w:val="FootnoteReference"/>
          <w:lang w:val="en-IL"/>
        </w:rPr>
        <w:footnoteReference w:id="28"/>
      </w:r>
    </w:p>
    <w:p w14:paraId="1F8435D3" w14:textId="77777777" w:rsidR="002218EC" w:rsidRPr="002218EC" w:rsidRDefault="002218EC" w:rsidP="002218EC">
      <w:pPr>
        <w:rPr>
          <w:rtl/>
          <w:lang w:val="en-IL"/>
        </w:rPr>
      </w:pPr>
      <w:r w:rsidRPr="002218EC">
        <w:rPr>
          <w:rFonts w:hint="cs"/>
          <w:rtl/>
          <w:lang w:val="en-IL"/>
        </w:rPr>
        <w:t>מבחינה היסטורית, סביר שחוקי הממון במערכות הללו היו תיאור והפשטה של נוהג שהתפתח לאורך שנים רבות עם התפתחות הציוויליזציה. אך מהיכן מגיעים אותם מנהגים מלכתחילה?</w:t>
      </w:r>
    </w:p>
    <w:p w14:paraId="2E11A004" w14:textId="673505B0" w:rsidR="002218EC" w:rsidRPr="002218EC" w:rsidRDefault="002218EC" w:rsidP="002218EC">
      <w:pPr>
        <w:rPr>
          <w:rtl/>
          <w:lang w:val="en-IL"/>
        </w:rPr>
      </w:pPr>
      <w:r w:rsidRPr="002218EC">
        <w:rPr>
          <w:rFonts w:hint="cs"/>
          <w:rtl/>
          <w:lang w:val="en-IL"/>
        </w:rPr>
        <w:t>הרומאים תפסו רבים מחוקיהם כחוקים טבעיים (</w:t>
      </w:r>
      <w:r w:rsidRPr="002218EC">
        <w:rPr>
          <w:rFonts w:hint="cs"/>
          <w:i/>
          <w:iCs/>
          <w:lang w:val="en-IL"/>
        </w:rPr>
        <w:t>ius naturale</w:t>
      </w:r>
      <w:r w:rsidRPr="002218EC">
        <w:rPr>
          <w:rFonts w:hint="cs"/>
          <w:rtl/>
          <w:lang w:val="en-IL"/>
        </w:rPr>
        <w:t>) אשר סמכותם מגיעה מהנחת המוצא שכל אדם הגיוני יסכים להם,</w:t>
      </w:r>
      <w:r w:rsidR="00604A7C">
        <w:rPr>
          <w:rStyle w:val="FootnoteReference"/>
          <w:rtl/>
          <w:lang w:val="en-IL"/>
        </w:rPr>
        <w:footnoteReference w:id="29"/>
      </w:r>
      <w:r w:rsidRPr="002218EC">
        <w:rPr>
          <w:rFonts w:hint="cs"/>
          <w:rtl/>
          <w:lang w:val="en-IL"/>
        </w:rPr>
        <w:t xml:space="preserve"> ומתוך תפיסה שמקורם בחוק אובייקטיבי טבעי וגלובלי שתפקידם לגלותו באמצעות השכל </w:t>
      </w:r>
      <w:r w:rsidRPr="002218EC">
        <w:rPr>
          <w:rFonts w:hint="cs"/>
          <w:rtl/>
          <w:lang w:val="en-IL"/>
        </w:rPr>
        <w:lastRenderedPageBreak/>
        <w:t xml:space="preserve">הטהור. רבים מחוקי הממון, כגון הכלל המטיל את חובת ההוכחה על התובע, נתפסו כחוקים טבעיים-גלובליים, שסמכותם מוכחת </w:t>
      </w:r>
      <w:r w:rsidR="000B07C7" w:rsidRPr="002218EC">
        <w:rPr>
          <w:rFonts w:hint="cs"/>
          <w:rtl/>
          <w:lang w:val="en-IL"/>
        </w:rPr>
        <w:t>מההיגיו</w:t>
      </w:r>
      <w:r w:rsidR="000B07C7" w:rsidRPr="002218EC">
        <w:rPr>
          <w:rFonts w:hint="eastAsia"/>
          <w:rtl/>
          <w:lang w:val="en-IL"/>
        </w:rPr>
        <w:t>ן</w:t>
      </w:r>
      <w:r w:rsidRPr="002218EC">
        <w:rPr>
          <w:rFonts w:hint="cs"/>
          <w:rtl/>
          <w:lang w:val="en-IL"/>
        </w:rPr>
        <w:t xml:space="preserve"> שמאחוריהם.</w:t>
      </w:r>
    </w:p>
    <w:p w14:paraId="7534946A" w14:textId="77777777" w:rsidR="002218EC" w:rsidRPr="002218EC" w:rsidRDefault="002218EC" w:rsidP="002218EC">
      <w:pPr>
        <w:rPr>
          <w:rtl/>
          <w:lang w:val="en-IL"/>
        </w:rPr>
      </w:pPr>
      <w:r w:rsidRPr="002218EC">
        <w:rPr>
          <w:rFonts w:hint="cs"/>
          <w:rtl/>
          <w:lang w:val="en-IL"/>
        </w:rPr>
        <w:t>לדעתי, תפיסה דומה של חוקים אזרחיים הנובעים מכוח השכל הישר, מצויה גם בחז"ל. מופע מובהק לכך הוא הדיון על מקור הכלל "המוציא מחברו עליו הראיה":</w:t>
      </w:r>
    </w:p>
    <w:p w14:paraId="7D2E93FA" w14:textId="77777777" w:rsidR="002218EC" w:rsidRPr="002218EC" w:rsidRDefault="002218EC" w:rsidP="00D87FF9">
      <w:pPr>
        <w:pStyle w:val="Quote"/>
        <w:rPr>
          <w:rtl/>
          <w:lang w:val="en-IL"/>
        </w:rPr>
      </w:pPr>
      <w:proofErr w:type="spellStart"/>
      <w:r w:rsidRPr="002218EC">
        <w:rPr>
          <w:rFonts w:hint="cs"/>
          <w:rtl/>
          <w:lang w:val="en-IL"/>
        </w:rPr>
        <w:t>א"ר</w:t>
      </w:r>
      <w:proofErr w:type="spellEnd"/>
      <w:r w:rsidRPr="002218EC">
        <w:rPr>
          <w:rFonts w:hint="cs"/>
          <w:rtl/>
          <w:lang w:val="en-IL"/>
        </w:rPr>
        <w:t xml:space="preserve"> שמואל בר נחמני: מניין </w:t>
      </w:r>
      <w:proofErr w:type="spellStart"/>
      <w:r w:rsidRPr="002218EC">
        <w:rPr>
          <w:rFonts w:hint="cs"/>
          <w:rtl/>
          <w:lang w:val="en-IL"/>
        </w:rPr>
        <w:t>להמוציא</w:t>
      </w:r>
      <w:proofErr w:type="spellEnd"/>
      <w:r w:rsidRPr="002218EC">
        <w:rPr>
          <w:rFonts w:hint="cs"/>
          <w:rtl/>
          <w:lang w:val="en-IL"/>
        </w:rPr>
        <w:t xml:space="preserve"> </w:t>
      </w:r>
      <w:proofErr w:type="spellStart"/>
      <w:r w:rsidRPr="002218EC">
        <w:rPr>
          <w:rFonts w:hint="cs"/>
          <w:rtl/>
          <w:lang w:val="en-IL"/>
        </w:rPr>
        <w:t>מחבירו</w:t>
      </w:r>
      <w:proofErr w:type="spellEnd"/>
      <w:r w:rsidRPr="002218EC">
        <w:rPr>
          <w:rFonts w:hint="cs"/>
          <w:rtl/>
          <w:lang w:val="en-IL"/>
        </w:rPr>
        <w:t xml:space="preserve"> עליו הראיה?</w:t>
      </w:r>
    </w:p>
    <w:p w14:paraId="7EEFC631" w14:textId="77777777" w:rsidR="002218EC" w:rsidRPr="002218EC" w:rsidRDefault="002218EC" w:rsidP="00D87FF9">
      <w:pPr>
        <w:pStyle w:val="Quote"/>
        <w:rPr>
          <w:rtl/>
          <w:lang w:val="en-IL"/>
        </w:rPr>
      </w:pPr>
      <w:r w:rsidRPr="002218EC">
        <w:rPr>
          <w:rFonts w:hint="cs"/>
          <w:rtl/>
          <w:lang w:val="en-IL"/>
        </w:rPr>
        <w:t xml:space="preserve">שנאמר "מי בעל דברים </w:t>
      </w:r>
      <w:proofErr w:type="spellStart"/>
      <w:r w:rsidRPr="002218EC">
        <w:rPr>
          <w:rFonts w:hint="cs"/>
          <w:rtl/>
          <w:lang w:val="en-IL"/>
        </w:rPr>
        <w:t>יגש</w:t>
      </w:r>
      <w:proofErr w:type="spellEnd"/>
      <w:r w:rsidRPr="002218EC">
        <w:rPr>
          <w:rFonts w:hint="cs"/>
          <w:rtl/>
          <w:lang w:val="en-IL"/>
        </w:rPr>
        <w:t xml:space="preserve"> אליהם" - יגיש ראיה אליהם.</w:t>
      </w:r>
    </w:p>
    <w:p w14:paraId="4F93470D" w14:textId="773D103F" w:rsidR="002218EC" w:rsidRPr="002218EC" w:rsidRDefault="002218EC" w:rsidP="00D87FF9">
      <w:pPr>
        <w:pStyle w:val="Quote"/>
        <w:rPr>
          <w:rtl/>
          <w:lang w:val="en-IL"/>
        </w:rPr>
      </w:pPr>
      <w:r w:rsidRPr="002218EC">
        <w:rPr>
          <w:rFonts w:hint="cs"/>
          <w:rtl/>
          <w:lang w:val="en-IL"/>
        </w:rPr>
        <w:t xml:space="preserve">מתקיף לה רב אשי: הא למה לי קרא? סברא הוא! </w:t>
      </w:r>
      <w:proofErr w:type="spellStart"/>
      <w:r w:rsidRPr="002218EC">
        <w:rPr>
          <w:rFonts w:hint="cs"/>
          <w:rtl/>
          <w:lang w:val="en-IL"/>
        </w:rPr>
        <w:t>דכאיב</w:t>
      </w:r>
      <w:proofErr w:type="spellEnd"/>
      <w:r w:rsidRPr="002218EC">
        <w:rPr>
          <w:rFonts w:hint="cs"/>
          <w:rtl/>
          <w:lang w:val="en-IL"/>
        </w:rPr>
        <w:t xml:space="preserve"> ליה </w:t>
      </w:r>
      <w:proofErr w:type="spellStart"/>
      <w:r w:rsidRPr="002218EC">
        <w:rPr>
          <w:rFonts w:hint="cs"/>
          <w:rtl/>
          <w:lang w:val="en-IL"/>
        </w:rPr>
        <w:t>כאיבא</w:t>
      </w:r>
      <w:proofErr w:type="spellEnd"/>
      <w:r w:rsidRPr="002218EC">
        <w:rPr>
          <w:rFonts w:hint="cs"/>
          <w:rtl/>
          <w:lang w:val="en-IL"/>
        </w:rPr>
        <w:t xml:space="preserve"> אזיל לבי </w:t>
      </w:r>
      <w:proofErr w:type="spellStart"/>
      <w:r w:rsidRPr="002218EC">
        <w:rPr>
          <w:rFonts w:hint="cs"/>
          <w:rtl/>
          <w:lang w:val="en-IL"/>
        </w:rPr>
        <w:t>אסיא</w:t>
      </w:r>
      <w:proofErr w:type="spellEnd"/>
      <w:r w:rsidRPr="002218EC">
        <w:rPr>
          <w:rFonts w:hint="cs"/>
          <w:rtl/>
          <w:lang w:val="en-IL"/>
        </w:rPr>
        <w:t>.</w:t>
      </w:r>
      <w:r w:rsidR="00FD7330">
        <w:rPr>
          <w:rStyle w:val="FootnoteReference"/>
          <w:rtl/>
          <w:lang w:val="en-IL"/>
        </w:rPr>
        <w:footnoteReference w:id="30"/>
      </w:r>
    </w:p>
    <w:p w14:paraId="6019A44C" w14:textId="4584E1A8" w:rsidR="002218EC" w:rsidRPr="002218EC" w:rsidRDefault="002218EC" w:rsidP="00F818BB">
      <w:pPr>
        <w:ind w:firstLine="0"/>
        <w:rPr>
          <w:rtl/>
          <w:lang w:val="en-IL"/>
        </w:rPr>
      </w:pPr>
      <w:r w:rsidRPr="002218EC">
        <w:rPr>
          <w:rFonts w:hint="cs"/>
          <w:rtl/>
          <w:lang w:val="en-IL"/>
        </w:rPr>
        <w:t>מבחינת רב אשי "המוציא מחברו עליו הראיה" הוא כלל ברור וטבעי: מי שכואב לו הוא זה שצריך לדאוג לפתרון.</w:t>
      </w:r>
      <w:r w:rsidR="00892CD0">
        <w:rPr>
          <w:rStyle w:val="FootnoteReference"/>
          <w:rtl/>
          <w:lang w:val="en-IL"/>
        </w:rPr>
        <w:footnoteReference w:id="31"/>
      </w:r>
    </w:p>
    <w:p w14:paraId="52C0EB00" w14:textId="77777777" w:rsidR="002218EC" w:rsidRPr="002218EC" w:rsidRDefault="002218EC" w:rsidP="002218EC">
      <w:pPr>
        <w:rPr>
          <w:rtl/>
          <w:lang w:val="en-IL"/>
        </w:rPr>
      </w:pPr>
      <w:r w:rsidRPr="002218EC">
        <w:rPr>
          <w:rFonts w:hint="cs"/>
          <w:rtl/>
          <w:lang w:val="en-IL"/>
        </w:rPr>
        <w:t>מעבר לדוגמא פרטנית זו, אבקש להציע שרבים, אם לא כל כללי הממון בהלכה מקורם בשכל ובתפיסה האנושית הבסיסית של בעלות ושייכות, כפי שכתב רב שמעון שקאפ:</w:t>
      </w:r>
    </w:p>
    <w:p w14:paraId="4E042E59" w14:textId="62379C54" w:rsidR="002218EC" w:rsidRPr="002218EC" w:rsidRDefault="002218EC" w:rsidP="00315001">
      <w:pPr>
        <w:pStyle w:val="Quote"/>
        <w:rPr>
          <w:rtl/>
          <w:lang w:val="en-IL"/>
        </w:rPr>
      </w:pPr>
      <w:r w:rsidRPr="002218EC">
        <w:rPr>
          <w:rFonts w:hint="cs"/>
          <w:rtl/>
          <w:lang w:val="en-IL"/>
        </w:rPr>
        <w:t xml:space="preserve">ועוד כלל עיקרי בזה </w:t>
      </w:r>
      <w:proofErr w:type="spellStart"/>
      <w:r w:rsidRPr="002218EC">
        <w:rPr>
          <w:rFonts w:hint="cs"/>
          <w:rtl/>
          <w:lang w:val="en-IL"/>
        </w:rPr>
        <w:t>דהיכא</w:t>
      </w:r>
      <w:proofErr w:type="spellEnd"/>
      <w:r w:rsidRPr="002218EC">
        <w:rPr>
          <w:rFonts w:hint="cs"/>
          <w:rtl/>
          <w:lang w:val="en-IL"/>
        </w:rPr>
        <w:t xml:space="preserve"> שאנו דנים על איזה זכות וקנין של אדם באיזה חפץ או שעבוד ממון, אין אנו דנים כלל על ענין שמירת איזו מצוה, </w:t>
      </w:r>
      <w:r w:rsidRPr="002218EC">
        <w:rPr>
          <w:rFonts w:hint="cs"/>
          <w:b/>
          <w:bCs/>
          <w:rtl/>
          <w:lang w:val="en-IL"/>
        </w:rPr>
        <w:t>אלא ענין מציאות למי קנוי הדבר</w:t>
      </w:r>
      <w:r w:rsidRPr="002218EC">
        <w:rPr>
          <w:rFonts w:hint="cs"/>
          <w:rtl/>
          <w:lang w:val="en-IL"/>
        </w:rPr>
        <w:t xml:space="preserve">, ומי </w:t>
      </w:r>
      <w:proofErr w:type="spellStart"/>
      <w:r w:rsidRPr="002218EC">
        <w:rPr>
          <w:rFonts w:hint="cs"/>
          <w:rtl/>
          <w:lang w:val="en-IL"/>
        </w:rPr>
        <w:t>ומי</w:t>
      </w:r>
      <w:proofErr w:type="spellEnd"/>
      <w:r w:rsidRPr="002218EC">
        <w:rPr>
          <w:rFonts w:hint="cs"/>
          <w:rtl/>
          <w:lang w:val="en-IL"/>
        </w:rPr>
        <w:t xml:space="preserve"> ראוי עפ"י תורת המשפטים להחזיק את החפץ, </w:t>
      </w:r>
      <w:proofErr w:type="spellStart"/>
      <w:r w:rsidRPr="002218EC">
        <w:rPr>
          <w:rFonts w:hint="cs"/>
          <w:rtl/>
          <w:lang w:val="en-IL"/>
        </w:rPr>
        <w:t>ולפי"ז</w:t>
      </w:r>
      <w:proofErr w:type="spellEnd"/>
      <w:r w:rsidRPr="002218EC">
        <w:rPr>
          <w:rFonts w:hint="cs"/>
          <w:rtl/>
          <w:lang w:val="en-IL"/>
        </w:rPr>
        <w:t xml:space="preserve"> מה </w:t>
      </w:r>
      <w:proofErr w:type="spellStart"/>
      <w:r w:rsidRPr="002218EC">
        <w:rPr>
          <w:rFonts w:hint="cs"/>
          <w:rtl/>
          <w:lang w:val="en-IL"/>
        </w:rPr>
        <w:t>דאמרו</w:t>
      </w:r>
      <w:proofErr w:type="spellEnd"/>
      <w:r w:rsidRPr="002218EC">
        <w:rPr>
          <w:rFonts w:hint="cs"/>
          <w:rtl/>
          <w:lang w:val="en-IL"/>
        </w:rPr>
        <w:t xml:space="preserve"> חז"ל כללי ההלכות </w:t>
      </w:r>
      <w:proofErr w:type="spellStart"/>
      <w:r w:rsidRPr="002218EC">
        <w:rPr>
          <w:rFonts w:hint="cs"/>
          <w:rtl/>
          <w:lang w:val="en-IL"/>
        </w:rPr>
        <w:t>בספיקו</w:t>
      </w:r>
      <w:proofErr w:type="spellEnd"/>
      <w:r w:rsidRPr="002218EC">
        <w:rPr>
          <w:rFonts w:hint="cs"/>
          <w:rtl/>
          <w:lang w:val="en-IL"/>
        </w:rPr>
        <w:t xml:space="preserve"> של ממון </w:t>
      </w:r>
      <w:r w:rsidRPr="002218EC">
        <w:rPr>
          <w:rFonts w:hint="cs"/>
          <w:b/>
          <w:bCs/>
          <w:rtl/>
          <w:lang w:val="en-IL"/>
        </w:rPr>
        <w:t>ודאי שמצאו כן עפ"י הכרעת השכל שעפ"י תורת המשפטים</w:t>
      </w:r>
      <w:r w:rsidRPr="002218EC">
        <w:rPr>
          <w:rFonts w:hint="cs"/>
          <w:rtl/>
          <w:lang w:val="en-IL"/>
        </w:rPr>
        <w:t xml:space="preserve"> הדין נותן כן שבמחליף פרה בחמור וילדה וספק מתי נולד דאם נמצא הולד בשעת לידת הספק ברשות של אחד מהם יהי' כן שיהי' ברשותו, ואם קיימא באגם </w:t>
      </w:r>
      <w:proofErr w:type="spellStart"/>
      <w:r w:rsidRPr="002218EC">
        <w:rPr>
          <w:rFonts w:hint="cs"/>
          <w:rtl/>
          <w:lang w:val="en-IL"/>
        </w:rPr>
        <w:t>אזלינן</w:t>
      </w:r>
      <w:proofErr w:type="spellEnd"/>
      <w:r w:rsidRPr="002218EC">
        <w:rPr>
          <w:rFonts w:hint="cs"/>
          <w:rtl/>
          <w:lang w:val="en-IL"/>
        </w:rPr>
        <w:t xml:space="preserve"> בתר מרא קמא והנה הלאו של איסור גזל הוא שלא יגזול איש </w:t>
      </w:r>
      <w:proofErr w:type="spellStart"/>
      <w:r w:rsidRPr="002218EC">
        <w:rPr>
          <w:rFonts w:hint="cs"/>
          <w:rtl/>
          <w:lang w:val="en-IL"/>
        </w:rPr>
        <w:t>מחבירו</w:t>
      </w:r>
      <w:proofErr w:type="spellEnd"/>
      <w:r w:rsidRPr="002218EC">
        <w:rPr>
          <w:rFonts w:hint="cs"/>
          <w:rtl/>
          <w:lang w:val="en-IL"/>
        </w:rPr>
        <w:t xml:space="preserve"> דבר שעפ"י תורת המשפטים הוא של חבירו.</w:t>
      </w:r>
      <w:r w:rsidR="000F1586">
        <w:rPr>
          <w:rStyle w:val="FootnoteReference"/>
          <w:rtl/>
          <w:lang w:val="en-IL"/>
        </w:rPr>
        <w:footnoteReference w:id="32"/>
      </w:r>
    </w:p>
    <w:p w14:paraId="1172F3E3" w14:textId="77777777" w:rsidR="002218EC" w:rsidRPr="002218EC" w:rsidRDefault="002218EC" w:rsidP="00315001">
      <w:pPr>
        <w:ind w:firstLine="0"/>
        <w:rPr>
          <w:rtl/>
          <w:lang w:val="en-IL"/>
        </w:rPr>
      </w:pPr>
      <w:r w:rsidRPr="002218EC">
        <w:rPr>
          <w:rFonts w:hint="cs"/>
          <w:rtl/>
          <w:lang w:val="en-IL"/>
        </w:rPr>
        <w:t xml:space="preserve">רעיון תורת המשפטים שהגרש"ש מתאר פה, מזכירה את התפיסה של המחוקקים </w:t>
      </w:r>
      <w:r w:rsidRPr="002218EC">
        <w:rPr>
          <w:rFonts w:hint="cs"/>
          <w:rtl/>
          <w:lang w:val="en-IL"/>
        </w:rPr>
        <w:lastRenderedPageBreak/>
        <w:t>הרומיים של מעיין חוק טבעי, חיצוני ואובייקטיבי שתפקיד המחוקקים אינו ליצור אותו אלא לברר ולאכוף אותו.</w:t>
      </w:r>
    </w:p>
    <w:p w14:paraId="255DAC8D" w14:textId="003864E3" w:rsidR="00A32612" w:rsidRDefault="002218EC" w:rsidP="002218EC">
      <w:pPr>
        <w:rPr>
          <w:rtl/>
          <w:lang w:val="en-IL"/>
        </w:rPr>
      </w:pPr>
      <w:r w:rsidRPr="002218EC">
        <w:rPr>
          <w:rFonts w:hint="cs"/>
          <w:rtl/>
          <w:lang w:val="en-IL"/>
        </w:rPr>
        <w:t xml:space="preserve">אמנם יש אחרונים שחלקו על הגרש"ש בעניין מקורם של דיני הממונות, </w:t>
      </w:r>
      <w:r w:rsidR="00BC5CFA">
        <w:rPr>
          <w:rFonts w:hint="cs"/>
          <w:rtl/>
          <w:lang w:val="en-IL"/>
        </w:rPr>
        <w:t>אך</w:t>
      </w:r>
      <w:r w:rsidRPr="002218EC">
        <w:rPr>
          <w:rFonts w:hint="cs"/>
          <w:rtl/>
          <w:lang w:val="en-IL"/>
        </w:rPr>
        <w:t xml:space="preserve"> עיקר המחלוקת בסיסה בפלפול בדינים שלכאורה סותרים את הסברה הזאת מבחינה משפטית</w:t>
      </w:r>
      <w:r w:rsidR="00F95718">
        <w:rPr>
          <w:rFonts w:hint="cs"/>
          <w:rtl/>
          <w:lang w:val="en-IL"/>
        </w:rPr>
        <w:t xml:space="preserve"> של </w:t>
      </w:r>
      <w:r w:rsidR="00D94758">
        <w:rPr>
          <w:rFonts w:hint="cs"/>
          <w:rtl/>
          <w:lang w:val="en-IL"/>
        </w:rPr>
        <w:t>דאוריית</w:t>
      </w:r>
      <w:r w:rsidR="00D94758">
        <w:rPr>
          <w:rFonts w:hint="eastAsia"/>
          <w:rtl/>
          <w:lang w:val="en-IL"/>
        </w:rPr>
        <w:t>א</w:t>
      </w:r>
      <w:r w:rsidR="00F95718">
        <w:rPr>
          <w:rFonts w:hint="cs"/>
          <w:rtl/>
          <w:lang w:val="en-IL"/>
        </w:rPr>
        <w:t>-דרבנן</w:t>
      </w:r>
      <w:r w:rsidRPr="002218EC">
        <w:rPr>
          <w:rFonts w:hint="cs"/>
          <w:rtl/>
          <w:lang w:val="en-IL"/>
        </w:rPr>
        <w:t xml:space="preserve">. מבחינה </w:t>
      </w:r>
      <w:r w:rsidR="00D94758" w:rsidRPr="002218EC">
        <w:rPr>
          <w:rFonts w:hint="cs"/>
          <w:rtl/>
          <w:lang w:val="en-IL"/>
        </w:rPr>
        <w:t>אנתרופולוגי</w:t>
      </w:r>
      <w:r w:rsidR="00D94758" w:rsidRPr="002218EC">
        <w:rPr>
          <w:rFonts w:hint="eastAsia"/>
          <w:rtl/>
          <w:lang w:val="en-IL"/>
        </w:rPr>
        <w:t>ת</w:t>
      </w:r>
      <w:r w:rsidRPr="002218EC">
        <w:rPr>
          <w:rFonts w:hint="cs"/>
          <w:rtl/>
          <w:lang w:val="en-IL"/>
        </w:rPr>
        <w:t>-היסטורית, ולאור העובדה שוודאי שדינים אלו אינם באים מפשט פסוקי התורה שבכתב, טענתו של הגרש"ש מחזיקה מעמד.</w:t>
      </w:r>
    </w:p>
    <w:p w14:paraId="0202FFFE" w14:textId="0240280D" w:rsidR="002218EC" w:rsidRPr="002218EC" w:rsidRDefault="002218EC" w:rsidP="002218EC">
      <w:pPr>
        <w:rPr>
          <w:rtl/>
          <w:lang w:val="en-IL"/>
        </w:rPr>
      </w:pPr>
      <w:r w:rsidRPr="002218EC">
        <w:rPr>
          <w:rFonts w:hint="cs"/>
          <w:rtl/>
          <w:lang w:val="en-IL"/>
        </w:rPr>
        <w:t>ככלל, התורה שבכתב עוסקת בדיני ממון בעיקר בענייני אכיפה, ענישה וצדק חברתי, ולא במעשי קניין ובירורי בעלות, מתוך נקודת מוצא שהקורא יודע מה נחשב רכושו של אדם. חז"ל לומדים מעשי קניין מסיפורים מקראיים ולא מחוקים מקראיים, שהרי אין חוקים מקראיים העוסקים בזה בהדיא. לדעתי, הלימוד מהסיפורים הוא בעצם ביטוי של הגדרת חוקים על בסיס הנוהג הקיים</w:t>
      </w:r>
      <w:r w:rsidR="00FE5F2B">
        <w:rPr>
          <w:rFonts w:hint="cs"/>
          <w:rtl/>
          <w:lang w:val="en-IL"/>
        </w:rPr>
        <w:t>, והסיפור המקראי מהווה תקדים ספרותי-היסטורי</w:t>
      </w:r>
      <w:r w:rsidRPr="002218EC">
        <w:rPr>
          <w:rFonts w:hint="cs"/>
          <w:rtl/>
          <w:lang w:val="en-IL"/>
        </w:rPr>
        <w:t>:</w:t>
      </w:r>
    </w:p>
    <w:p w14:paraId="48237369" w14:textId="3C94C7C6" w:rsidR="002218EC" w:rsidRDefault="002218EC" w:rsidP="00FE5F2B">
      <w:pPr>
        <w:pStyle w:val="Quote"/>
        <w:rPr>
          <w:rtl/>
          <w:lang w:val="en-IL"/>
        </w:rPr>
      </w:pPr>
      <w:r w:rsidRPr="002218EC">
        <w:rPr>
          <w:rFonts w:hint="cs"/>
          <w:rtl/>
          <w:lang w:val="en-IL"/>
        </w:rPr>
        <w:t>וכסף מנא לן – גמר ״</w:t>
      </w:r>
      <w:proofErr w:type="spellStart"/>
      <w:r w:rsidRPr="002218EC">
        <w:rPr>
          <w:rFonts w:hint="cs"/>
          <w:rtl/>
          <w:lang w:val="en-IL"/>
        </w:rPr>
        <w:t>קיחה</w:t>
      </w:r>
      <w:proofErr w:type="spellEnd"/>
      <w:r w:rsidRPr="002218EC">
        <w:rPr>
          <w:rFonts w:hint="cs"/>
          <w:rtl/>
          <w:lang w:val="en-IL"/>
        </w:rPr>
        <w:t>״ ״</w:t>
      </w:r>
      <w:proofErr w:type="spellStart"/>
      <w:r w:rsidRPr="002218EC">
        <w:rPr>
          <w:rFonts w:hint="cs"/>
          <w:rtl/>
          <w:lang w:val="en-IL"/>
        </w:rPr>
        <w:t>קיחה</w:t>
      </w:r>
      <w:proofErr w:type="spellEnd"/>
      <w:r w:rsidRPr="002218EC">
        <w:rPr>
          <w:rFonts w:hint="cs"/>
          <w:rtl/>
          <w:lang w:val="en-IL"/>
        </w:rPr>
        <w:t xml:space="preserve">״ משדה עפרון. כתיב הכא: ״כי </w:t>
      </w:r>
      <w:proofErr w:type="spellStart"/>
      <w:r w:rsidRPr="002218EC">
        <w:rPr>
          <w:rFonts w:hint="cs"/>
          <w:rtl/>
          <w:lang w:val="en-IL"/>
        </w:rPr>
        <w:t>יקח</w:t>
      </w:r>
      <w:proofErr w:type="spellEnd"/>
      <w:r w:rsidRPr="002218EC">
        <w:rPr>
          <w:rFonts w:hint="cs"/>
          <w:rtl/>
          <w:lang w:val="en-IL"/>
        </w:rPr>
        <w:t xml:space="preserve"> איש </w:t>
      </w:r>
      <w:proofErr w:type="spellStart"/>
      <w:r w:rsidRPr="002218EC">
        <w:rPr>
          <w:rFonts w:hint="cs"/>
          <w:rtl/>
          <w:lang w:val="en-IL"/>
        </w:rPr>
        <w:t>אשה</w:t>
      </w:r>
      <w:proofErr w:type="spellEnd"/>
      <w:r w:rsidRPr="002218EC">
        <w:rPr>
          <w:rFonts w:hint="cs"/>
          <w:rtl/>
          <w:lang w:val="en-IL"/>
        </w:rPr>
        <w:t xml:space="preserve">״, וכתיב התם: ״נתתי כסף השדה קח ממני״, </w:t>
      </w:r>
      <w:proofErr w:type="spellStart"/>
      <w:r w:rsidRPr="002218EC">
        <w:rPr>
          <w:rFonts w:hint="cs"/>
          <w:rtl/>
          <w:lang w:val="en-IL"/>
        </w:rPr>
        <w:t>וקיחה</w:t>
      </w:r>
      <w:proofErr w:type="spellEnd"/>
      <w:r w:rsidRPr="002218EC">
        <w:rPr>
          <w:rFonts w:hint="cs"/>
          <w:rtl/>
          <w:lang w:val="en-IL"/>
        </w:rPr>
        <w:t xml:space="preserve"> </w:t>
      </w:r>
      <w:proofErr w:type="spellStart"/>
      <w:r w:rsidRPr="002218EC">
        <w:rPr>
          <w:rFonts w:hint="cs"/>
          <w:rtl/>
          <w:lang w:val="en-IL"/>
        </w:rPr>
        <w:t>איקרי</w:t>
      </w:r>
      <w:proofErr w:type="spellEnd"/>
      <w:r w:rsidRPr="002218EC">
        <w:rPr>
          <w:rFonts w:hint="cs"/>
          <w:rtl/>
          <w:lang w:val="en-IL"/>
        </w:rPr>
        <w:t xml:space="preserve"> ״קנין״, </w:t>
      </w:r>
      <w:proofErr w:type="spellStart"/>
      <w:r w:rsidRPr="002218EC">
        <w:rPr>
          <w:rFonts w:hint="cs"/>
          <w:rtl/>
          <w:lang w:val="en-IL"/>
        </w:rPr>
        <w:t>דכתיב</w:t>
      </w:r>
      <w:proofErr w:type="spellEnd"/>
      <w:r w:rsidRPr="002218EC">
        <w:rPr>
          <w:rFonts w:hint="cs"/>
          <w:rtl/>
          <w:lang w:val="en-IL"/>
        </w:rPr>
        <w:t>: ״השדה אשר קנה אברהם״.</w:t>
      </w:r>
      <w:r w:rsidR="00F61C73">
        <w:rPr>
          <w:rStyle w:val="FootnoteReference"/>
          <w:rtl/>
          <w:lang w:val="en-IL"/>
        </w:rPr>
        <w:footnoteReference w:id="33"/>
      </w:r>
    </w:p>
    <w:p w14:paraId="5B499CC0" w14:textId="766A745E" w:rsidR="00497873" w:rsidRPr="00497873" w:rsidRDefault="00E80DF9" w:rsidP="00497873">
      <w:pPr>
        <w:ind w:firstLine="0"/>
        <w:rPr>
          <w:rtl/>
          <w:lang w:val="en-IL"/>
        </w:rPr>
      </w:pPr>
      <w:r>
        <w:rPr>
          <w:rFonts w:hint="cs"/>
          <w:rtl/>
          <w:lang w:val="en-IL"/>
        </w:rPr>
        <w:t xml:space="preserve">הגזרה השווה פה בעצם מהווה פרשנות </w:t>
      </w:r>
      <w:r w:rsidR="00614058">
        <w:rPr>
          <w:rFonts w:hint="cs"/>
          <w:rtl/>
          <w:lang w:val="en-IL"/>
        </w:rPr>
        <w:t>פשוטה</w:t>
      </w:r>
      <w:r>
        <w:rPr>
          <w:rFonts w:hint="cs"/>
          <w:rtl/>
          <w:lang w:val="en-IL"/>
        </w:rPr>
        <w:t xml:space="preserve"> של המקראות</w:t>
      </w:r>
      <w:r w:rsidR="0093736F">
        <w:rPr>
          <w:rFonts w:hint="cs"/>
          <w:rtl/>
          <w:lang w:val="en-IL"/>
        </w:rPr>
        <w:t>: הוכחה לשונית שלקיחה משמעותה רכישה</w:t>
      </w:r>
      <w:r w:rsidR="00A84B4F">
        <w:rPr>
          <w:rFonts w:hint="cs"/>
          <w:rtl/>
          <w:lang w:val="en-IL"/>
        </w:rPr>
        <w:t xml:space="preserve"> מעיד</w:t>
      </w:r>
      <w:r w:rsidR="00733334">
        <w:rPr>
          <w:rFonts w:hint="cs"/>
          <w:rtl/>
          <w:lang w:val="en-IL"/>
        </w:rPr>
        <w:t>ה</w:t>
      </w:r>
      <w:r w:rsidR="00A84B4F">
        <w:rPr>
          <w:rFonts w:hint="cs"/>
          <w:rtl/>
          <w:lang w:val="en-IL"/>
        </w:rPr>
        <w:t xml:space="preserve"> שהאישה נקנית כמו </w:t>
      </w:r>
      <w:r w:rsidR="00A87A0D">
        <w:rPr>
          <w:rFonts w:hint="cs"/>
          <w:rtl/>
          <w:lang w:val="en-IL"/>
        </w:rPr>
        <w:t>ששדה נקנה</w:t>
      </w:r>
      <w:r w:rsidR="00213ED0">
        <w:rPr>
          <w:rFonts w:hint="cs"/>
          <w:rtl/>
          <w:lang w:val="en-IL"/>
        </w:rPr>
        <w:t xml:space="preserve"> ו</w:t>
      </w:r>
      <w:r w:rsidR="00B71688">
        <w:rPr>
          <w:rFonts w:hint="cs"/>
          <w:rtl/>
          <w:lang w:val="en-IL"/>
        </w:rPr>
        <w:t>תקדים היסטורי לרכיש</w:t>
      </w:r>
      <w:r w:rsidR="00DD7142">
        <w:rPr>
          <w:rFonts w:hint="cs"/>
          <w:rtl/>
          <w:lang w:val="en-IL"/>
        </w:rPr>
        <w:t>ת</w:t>
      </w:r>
      <w:r w:rsidR="00B71688">
        <w:rPr>
          <w:rFonts w:hint="cs"/>
          <w:rtl/>
          <w:lang w:val="en-IL"/>
        </w:rPr>
        <w:t xml:space="preserve"> </w:t>
      </w:r>
      <w:r w:rsidR="00DD7142">
        <w:rPr>
          <w:rFonts w:hint="cs"/>
          <w:rtl/>
          <w:lang w:val="en-IL"/>
        </w:rPr>
        <w:t xml:space="preserve">שדה </w:t>
      </w:r>
      <w:r w:rsidR="00B71688">
        <w:rPr>
          <w:rFonts w:hint="cs"/>
          <w:rtl/>
          <w:lang w:val="en-IL"/>
        </w:rPr>
        <w:t>בכסף</w:t>
      </w:r>
      <w:r w:rsidR="00606A0C">
        <w:rPr>
          <w:rFonts w:hint="cs"/>
          <w:rtl/>
          <w:lang w:val="en-IL"/>
        </w:rPr>
        <w:t xml:space="preserve"> מהווה ראיה לנוהג</w:t>
      </w:r>
      <w:r w:rsidR="001B7F4C">
        <w:rPr>
          <w:rFonts w:hint="cs"/>
          <w:rtl/>
          <w:lang w:val="en-IL"/>
        </w:rPr>
        <w:t xml:space="preserve"> קיים</w:t>
      </w:r>
      <w:r w:rsidR="00BE3A15">
        <w:rPr>
          <w:rFonts w:hint="cs"/>
          <w:rtl/>
          <w:lang w:val="en-IL"/>
        </w:rPr>
        <w:t>.</w:t>
      </w:r>
    </w:p>
    <w:p w14:paraId="130F6F92" w14:textId="6422B4F7" w:rsidR="002218EC" w:rsidRPr="002218EC" w:rsidRDefault="002218EC" w:rsidP="002218EC">
      <w:pPr>
        <w:rPr>
          <w:rtl/>
          <w:lang w:val="en-IL"/>
        </w:rPr>
      </w:pPr>
      <w:r w:rsidRPr="002218EC">
        <w:rPr>
          <w:rFonts w:hint="cs"/>
          <w:rtl/>
          <w:lang w:val="en-IL"/>
        </w:rPr>
        <w:t>לאור הנח</w:t>
      </w:r>
      <w:r w:rsidR="00215C2F">
        <w:rPr>
          <w:rFonts w:hint="cs"/>
          <w:rtl/>
          <w:lang w:val="en-IL"/>
        </w:rPr>
        <w:t>ות</w:t>
      </w:r>
      <w:r w:rsidRPr="002218EC">
        <w:rPr>
          <w:rFonts w:hint="cs"/>
          <w:rtl/>
          <w:lang w:val="en-IL"/>
        </w:rPr>
        <w:t xml:space="preserve"> </w:t>
      </w:r>
      <w:r w:rsidR="00215C2F">
        <w:rPr>
          <w:rFonts w:hint="cs"/>
          <w:rtl/>
          <w:lang w:val="en-IL"/>
        </w:rPr>
        <w:t>אלו</w:t>
      </w:r>
      <w:r w:rsidRPr="002218EC">
        <w:rPr>
          <w:rFonts w:hint="cs"/>
          <w:rtl/>
          <w:lang w:val="en-IL"/>
        </w:rPr>
        <w:t xml:space="preserve"> ניתן להסביר איך הצליח הקניין הרוחני לחדור לתוך ההלכה, עד למצב שהשואל ומשיב תופס אותו כמובן מאליו:</w:t>
      </w:r>
    </w:p>
    <w:p w14:paraId="3AAC8A6C" w14:textId="77777777" w:rsidR="009B7331" w:rsidRPr="009B7331" w:rsidRDefault="009B7331" w:rsidP="009B7331">
      <w:pPr>
        <w:pStyle w:val="Heading2"/>
        <w:rPr>
          <w:lang w:val="en-IL"/>
        </w:rPr>
      </w:pPr>
      <w:r w:rsidRPr="009B7331">
        <w:rPr>
          <w:rFonts w:hint="cs"/>
          <w:rtl/>
          <w:lang w:val="en-IL"/>
        </w:rPr>
        <w:t>ההיסטוריה חוזרת על עצמה</w:t>
      </w:r>
    </w:p>
    <w:p w14:paraId="1EB7A590" w14:textId="77777777" w:rsidR="005A4E5D" w:rsidRPr="005A4E5D" w:rsidRDefault="005A4E5D" w:rsidP="005A4E5D">
      <w:pPr>
        <w:ind w:firstLine="0"/>
        <w:rPr>
          <w:lang w:val="en-IL"/>
        </w:rPr>
      </w:pPr>
      <w:r w:rsidRPr="005A4E5D">
        <w:rPr>
          <w:rFonts w:hint="cs"/>
          <w:rtl/>
          <w:lang w:val="en-IL"/>
        </w:rPr>
        <w:t xml:space="preserve">אמנם בפילוסופיה של החוק מגדירים הבדל ברור בין תפיסת הממון החפצית לזכויותית, אך בחיי היום-יום אין אנו חווים הבדל משמעותי בתודעתנו. בפועל, הדרך בה מתבטא ממון, אפילו בשיטה חפצית, הוא באמצעות הזכויות שיש לאדם בממונו. ובפועל, גם אצל אנשים שחוק מדינתם מגדיר ממון בצורה זכויותית, קיימת מעין תודעה חפצית של ממון - של זיקה מהותית בין האדם לרכושו. </w:t>
      </w:r>
      <w:r w:rsidRPr="005A4E5D">
        <w:rPr>
          <w:rFonts w:hint="cs"/>
          <w:rtl/>
          <w:lang w:val="en-IL"/>
        </w:rPr>
        <w:lastRenderedPageBreak/>
        <w:t>כשאדם מסתכל על רכושו הוא אינו חושב לעצמו "זה הבית שהסכמנו מאינטרס החברה שרק לי מותר להשתמש בו", אלא הוא פשוט חושב "זה הבית שלי" בצורה הרבה יותר יסודית ומהותית.</w:t>
      </w:r>
    </w:p>
    <w:p w14:paraId="06573F76" w14:textId="77777777" w:rsidR="005A4E5D" w:rsidRPr="005A4E5D" w:rsidRDefault="005A4E5D" w:rsidP="005A4E5D">
      <w:pPr>
        <w:rPr>
          <w:rtl/>
          <w:lang w:val="en-IL"/>
        </w:rPr>
      </w:pPr>
      <w:r w:rsidRPr="005A4E5D">
        <w:rPr>
          <w:rFonts w:hint="cs"/>
          <w:rtl/>
          <w:lang w:val="en-IL"/>
        </w:rPr>
        <w:t>בעקבות זאת, אפשר שנוהג ישנה תפיסה. בראשית מהפכת זכויות היוצרים, הזכויות היו פריבילגיות אשר ניתנו במקרים מאוד מסוימים מתוך הסכמים. אך ככל שהתופעה התרחבה כך התעוררה התודעה שיש זיקה בין יוצר ליצירתו. במערכות משפט של קניין זכויותי זה יצר תודעה של זכויות יוצרים כזכויות טבעיות שכל יוצר רשאי לדרוש (אם כי, מוגבלות בזמן בעקבות אינטרס החברה שהיצירה תהיה רכוש ציבורי לאחר מספר שנים). במערכות משפט של קניין חפצי, אפשר שזה יצר את התודעה של בעלות ממשית ביצירה. אם כל כך נפוץ ונהוג לתת בלעדיות ליוצר על יצירתו, טבעי שעם הזמן תתפתח תודעה של בעלות על יצירה באופן שמרגיש אותנטי וטבעי. ניתן לאמר שהקניין הרוחני משקף שחזור של התפתחות כלל דיני הממון: מוסכמות חברתיות ומנהג ההופכים לאורך מספר שנים לתודעה מופשטת המרגישה גולמית, טבעית ומובנת מאליה.</w:t>
      </w:r>
    </w:p>
    <w:p w14:paraId="5C2A438B" w14:textId="77777777" w:rsidR="005A4E5D" w:rsidRPr="005A4E5D" w:rsidRDefault="005A4E5D" w:rsidP="005A4E5D">
      <w:pPr>
        <w:rPr>
          <w:rtl/>
          <w:lang w:val="en-IL"/>
        </w:rPr>
      </w:pPr>
      <w:r w:rsidRPr="005A4E5D">
        <w:rPr>
          <w:rFonts w:hint="cs"/>
          <w:rtl/>
          <w:lang w:val="en-IL"/>
        </w:rPr>
        <w:t>כפי שכבר כתבתי, גם היהודים אימצו את הרעיון של זכויות יוצרים, וכתבו גזירות וחרמות על מנת להגן על הסופרים. בנוסף, הם חיו בגלות; מעורבים ומושפעים, ברמות שונות, בדיני העולם שהנהיג תקנות כאלו ואחרות על הדפסת ספרים. אמנם, בהנחות המוצא והמנגנונים הבסיסיים של קניין בהלכה, הקניין הרוחני אינו אפשרי. אך אפשר שלאחר שנים של הנהגת זכויות יוצרים, התפתחה תודעה של קניין רוחני כקניין ממשי הלכתי - למרות חוסר ההתאמה המנגנוני. חוסר ההתאמה כל כך גדול, כך שהחדירה של הקניין הרוחני להלכה משנה אותו עצמו - לשיטת השואל ומשיב, ההלכה היא המערכת המשפטית שהכי מחמירה בקניין רוחני - כי היא היחידה בעולם שמכירה בקניין רוחני כקניין חפצי מוחלט, ללא הגבלת זמן.</w:t>
      </w:r>
    </w:p>
    <w:p w14:paraId="5C6E15BE" w14:textId="77777777" w:rsidR="005A4E5D" w:rsidRPr="005A4E5D" w:rsidRDefault="005A4E5D" w:rsidP="005A4E5D">
      <w:pPr>
        <w:rPr>
          <w:rtl/>
          <w:lang w:val="en-IL"/>
        </w:rPr>
      </w:pPr>
      <w:r w:rsidRPr="005A4E5D">
        <w:rPr>
          <w:rFonts w:hint="cs"/>
          <w:rtl/>
          <w:lang w:val="en-IL"/>
        </w:rPr>
        <w:t>אז נראה שהרב מונק צדק! אכן הרעיון של בעלות על יצירה הינו טעות הנוצרה בעקבות הרגל בדיני אומות העולם, ואין לתפיסה זו שום עיגון במנגנוני ההלכה! בנוסף, אפילו בדיני אומות העולם אין מופע של בעלות על יצירה כפי שהשואל ומשיב מציג. אם כך, מאי סבר השואל ומשיב?</w:t>
      </w:r>
    </w:p>
    <w:p w14:paraId="0660925D" w14:textId="77777777" w:rsidR="00BF35D6" w:rsidRPr="00BF35D6" w:rsidRDefault="00BF35D6" w:rsidP="00BF35D6">
      <w:pPr>
        <w:pStyle w:val="Heading2"/>
        <w:rPr>
          <w:lang w:val="en-IL"/>
        </w:rPr>
      </w:pPr>
      <w:r w:rsidRPr="00BF35D6">
        <w:rPr>
          <w:rFonts w:hint="cs"/>
          <w:rtl/>
          <w:lang w:val="en-IL"/>
        </w:rPr>
        <w:lastRenderedPageBreak/>
        <w:t>סברת השואל ומשיב</w:t>
      </w:r>
    </w:p>
    <w:p w14:paraId="30B2E5E4" w14:textId="77777777" w:rsidR="00605184" w:rsidRPr="00605184" w:rsidRDefault="00605184" w:rsidP="00605184">
      <w:pPr>
        <w:ind w:firstLine="0"/>
        <w:rPr>
          <w:lang w:val="en-IL"/>
        </w:rPr>
      </w:pPr>
      <w:r w:rsidRPr="00605184">
        <w:rPr>
          <w:rFonts w:hint="cs"/>
          <w:rtl/>
          <w:lang w:val="en-IL"/>
        </w:rPr>
        <w:t>לדעתי, שורש המחלוקת הינו פער בגישות הפוסקים לדיני הממון בהלכה. כפי שראינו, תפיסת הממון בהלכה היא תפיסה חפצית, המבקשת לחקור מהם דיני הממון ולא לקבוע אותם. אך נראה שעם השתלשלות הדורות נוצרו שתי תפיסות בנוגע למקור שעל פיו אנו קובעים את דיני הממון, שיכולות להצביע על פער של תפיסת ההלכה ככלל.</w:t>
      </w:r>
    </w:p>
    <w:p w14:paraId="5A2A2CF9" w14:textId="102804A6" w:rsidR="00605184" w:rsidRPr="00605184" w:rsidRDefault="00605184" w:rsidP="00605184">
      <w:pPr>
        <w:rPr>
          <w:rtl/>
          <w:lang w:val="en-IL"/>
        </w:rPr>
      </w:pPr>
      <w:r w:rsidRPr="00605184">
        <w:rPr>
          <w:rFonts w:hint="cs"/>
          <w:rtl/>
          <w:lang w:val="en-IL"/>
        </w:rPr>
        <w:t>הפוסקים שחלקו על השואל ומשיב לא הקשו עליו שהשכל לא תופס קניין רוחני, אלא שאין מקורות לכך בהלכה.</w:t>
      </w:r>
      <w:r w:rsidR="00CF4A63">
        <w:rPr>
          <w:rStyle w:val="FootnoteReference"/>
          <w:rtl/>
          <w:lang w:val="en-IL"/>
        </w:rPr>
        <w:footnoteReference w:id="34"/>
      </w:r>
      <w:r w:rsidRPr="00605184">
        <w:rPr>
          <w:rFonts w:hint="cs"/>
          <w:rtl/>
          <w:lang w:val="en-IL"/>
        </w:rPr>
        <w:t xml:space="preserve"> פוסקים מאסכולה זו שרצו בכל זאת להגן על זכויות יוצרים נקטו בשיטות שונות, כמו הכרה ב"טובת הנאה" טבעית של האדם ביצירתו שאינה קניין ממש, או פשוט יצרו תקנות לפנים משורת הדין.</w:t>
      </w:r>
    </w:p>
    <w:p w14:paraId="1F0C41CC" w14:textId="3D45E6F9" w:rsidR="00605184" w:rsidRPr="00605184" w:rsidRDefault="00605184" w:rsidP="00605184">
      <w:pPr>
        <w:rPr>
          <w:rtl/>
          <w:lang w:val="en-IL"/>
        </w:rPr>
      </w:pPr>
      <w:r w:rsidRPr="00605184">
        <w:rPr>
          <w:rFonts w:hint="cs"/>
          <w:rtl/>
          <w:lang w:val="en-IL"/>
        </w:rPr>
        <w:t>תפיסת הממון החפצי של פוסקים אלו סוברת שדיני הממון אינם נקבעים לפי הסברה בלבד, אלא הם חייבים להיות מבוססים על דיני הממון שנוסחו על ידי חז"ל. התפיסה עודנה חפצית, ועדיין חוקרת "האם יש קניין רוחני" (לעומת "האם אנו רוצים קניין רוחני"), אך המקור שלאורו פועלים שונה. הפוסקים אינם סוברים שיש להם את הסמכות לעסוק בדיני ממון על פי כ</w:t>
      </w:r>
      <w:r w:rsidR="000E4489">
        <w:rPr>
          <w:rFonts w:hint="cs"/>
          <w:rtl/>
          <w:lang w:val="en-IL"/>
        </w:rPr>
        <w:t>ו</w:t>
      </w:r>
      <w:r w:rsidRPr="00605184">
        <w:rPr>
          <w:rFonts w:hint="cs"/>
          <w:rtl/>
          <w:lang w:val="en-IL"/>
        </w:rPr>
        <w:t>ח הסברה בלבד. לקניין רוחני צריך להיות מנגנון קיים בהלכה, ואם לא - אינו קיים.</w:t>
      </w:r>
    </w:p>
    <w:p w14:paraId="3444F3D2" w14:textId="77777777" w:rsidR="00605184" w:rsidRPr="00605184" w:rsidRDefault="00605184" w:rsidP="00605184">
      <w:pPr>
        <w:rPr>
          <w:rtl/>
          <w:lang w:val="en-IL"/>
        </w:rPr>
      </w:pPr>
      <w:r w:rsidRPr="00605184">
        <w:rPr>
          <w:rFonts w:hint="cs"/>
          <w:rtl/>
          <w:lang w:val="en-IL"/>
        </w:rPr>
        <w:t>לאור תפיסה זו, יכול להיות שכללי הממון החז"ליים נקבעו לפי מה שהשכל תופס מתורת המשפטים - אך זה לא משנה. מהרגע שהם נוסחו הם עברו קנוניזציה. כעת אנו מחויבים וצמודים לכללי הממון כפי שחז"ל ניסחו אותם, ואיננו יכולים ליצור מושג קנייני חדש שלא מתאים לתפיסה הקיימת - גם אם תפיסת הממון השכלית שלנו השתנתה.</w:t>
      </w:r>
    </w:p>
    <w:p w14:paraId="544A886B" w14:textId="6F137AA8" w:rsidR="00605184" w:rsidRPr="00605184" w:rsidRDefault="00605184" w:rsidP="00605184">
      <w:pPr>
        <w:rPr>
          <w:rtl/>
          <w:lang w:val="en-IL"/>
        </w:rPr>
      </w:pPr>
      <w:r w:rsidRPr="00605184">
        <w:rPr>
          <w:rFonts w:hint="cs"/>
          <w:rtl/>
          <w:lang w:val="en-IL"/>
        </w:rPr>
        <w:t xml:space="preserve">לעומת גישה זו, השואל ומשיב מקיים לדעתי את תפיסת הממון החפצית בצורתה היותר גולמית. ר' יוסף שאול נתנזון תפס קניין רוחני כדבר פשוט שכלית, מכיוון שכבר שנים לפניו הנהיגו זכויות יוצרים. בעקבות תודעה זו לא הייתה לו ברירה אלא להכיר בעובדה שיש קניין רוחני. לטעון אחרת היה הכחשת השכל </w:t>
      </w:r>
      <w:r w:rsidRPr="00605184">
        <w:rPr>
          <w:rFonts w:hint="cs"/>
          <w:rtl/>
          <w:lang w:val="en-IL"/>
        </w:rPr>
        <w:lastRenderedPageBreak/>
        <w:t xml:space="preserve">הטבעי שלו. המקור שאליו הוא פנה בפסיקתו לא היה רק הטקסט ההלכתי המופיע מולו, אלא התודעה האינטואיטיבית שלו המרגישה טבעית ואותנטית, אף על פי שהיא התפתחה בעקבות השפעה חיצונית. השואל ומשיב למעשה הגדיר כללים ממוניים חדשים, מתוך תודעתו השכלית, בדומה </w:t>
      </w:r>
      <w:r w:rsidR="000E4489">
        <w:rPr>
          <w:rFonts w:hint="cs"/>
          <w:rtl/>
          <w:lang w:val="en-IL"/>
        </w:rPr>
        <w:t>לשיטת</w:t>
      </w:r>
      <w:r w:rsidRPr="00605184">
        <w:rPr>
          <w:rFonts w:hint="cs"/>
          <w:rtl/>
          <w:lang w:val="en-IL"/>
        </w:rPr>
        <w:t xml:space="preserve"> חז"ל, בבחינת "הא למה לי קרא? סברא הוא". ניתן לקטלג תפיסה זו כיותר "חדשנית", אבל לדעתי זה לא יהיה מדויק. הרעיון של קניין רוחני הוא חדשני ומודרני, אך השיטה הפסיקתית שבאמצעותה הוא בקע איננה. </w:t>
      </w:r>
    </w:p>
    <w:p w14:paraId="4A605580" w14:textId="77777777" w:rsidR="00605184" w:rsidRPr="00605184" w:rsidRDefault="00605184" w:rsidP="003D1084">
      <w:pPr>
        <w:spacing w:before="240"/>
        <w:ind w:firstLine="0"/>
        <w:rPr>
          <w:rtl/>
          <w:lang w:val="en-IL"/>
        </w:rPr>
      </w:pPr>
      <w:r w:rsidRPr="00605184">
        <w:rPr>
          <w:rFonts w:hint="cs"/>
          <w:rtl/>
          <w:lang w:val="en-IL"/>
        </w:rPr>
        <w:t>המחלוקת בדבר קניין רוחני יכולה להעיד בנוסף על מחלוקת יותר עקרונית, בנוגע לתפיסת ההלכה ככלל. נביט שוב בחלק מדברי השואל ומשיב:</w:t>
      </w:r>
    </w:p>
    <w:p w14:paraId="6CBCE72A" w14:textId="77777777" w:rsidR="00605184" w:rsidRPr="00605184" w:rsidRDefault="00605184" w:rsidP="00D17B25">
      <w:pPr>
        <w:pStyle w:val="Quote"/>
        <w:rPr>
          <w:rtl/>
          <w:lang w:val="en-IL"/>
        </w:rPr>
      </w:pPr>
      <w:r w:rsidRPr="00605184">
        <w:rPr>
          <w:rFonts w:hint="cs"/>
          <w:rtl/>
          <w:lang w:val="en-IL"/>
        </w:rPr>
        <w:t>והרי נודע שר' אברהם יעקב מהרובשוב שעשה החשבון במאשין כל ימיו קבל שכרו מהקיסר ירום הודו בווארשא, ולא יהא תורה שלימה שלנו כשיחה בטילה שלהם וזה דבר שהשכל מכחישו ומעשים בכל יום שהמדפיס חיבור יש לו ולבאי כוחו זכות.</w:t>
      </w:r>
    </w:p>
    <w:p w14:paraId="38A0069E" w14:textId="77777777" w:rsidR="008E4A42" w:rsidRDefault="00605184" w:rsidP="008E4A42">
      <w:pPr>
        <w:ind w:firstLine="0"/>
        <w:rPr>
          <w:rtl/>
          <w:lang w:val="en-IL"/>
        </w:rPr>
      </w:pPr>
      <w:r w:rsidRPr="00605184">
        <w:rPr>
          <w:rFonts w:hint="cs"/>
          <w:rtl/>
          <w:lang w:val="en-IL"/>
        </w:rPr>
        <w:t xml:space="preserve">יש פה אמירה עקרונית. תורה שמתירה מעשים אשר באופן אינטואיטיבי אנו תופסים כפשע (לא מבחינה מוסרית-אידיאולוגית בלבד, דבר שהיחס בינו לבין ההלכה הוא סוגיה בפני עצמה, אלא מבחינה משפטית ממש), היא תורה מנותקת שלא ניתנת למימוש אמיתי בחיינו. אמנם פסיקה המאפשרת זו היא פסיקה שנעשית מתוך תודעה של מחויבות להלכה כמות שהיא, אך היא נוחה רק במציאות בה דיני הממון בהלכה אינם </w:t>
      </w:r>
      <w:r w:rsidR="00341F7E" w:rsidRPr="00605184">
        <w:rPr>
          <w:rFonts w:hint="cs"/>
          <w:rtl/>
          <w:lang w:val="en-IL"/>
        </w:rPr>
        <w:t>רלוונטיי</w:t>
      </w:r>
      <w:r w:rsidR="00341F7E" w:rsidRPr="00605184">
        <w:rPr>
          <w:rFonts w:hint="eastAsia"/>
          <w:rtl/>
          <w:lang w:val="en-IL"/>
        </w:rPr>
        <w:t>ם</w:t>
      </w:r>
      <w:r w:rsidRPr="00605184">
        <w:rPr>
          <w:rFonts w:hint="cs"/>
          <w:rtl/>
          <w:lang w:val="en-IL"/>
        </w:rPr>
        <w:t xml:space="preserve"> באמת.</w:t>
      </w:r>
    </w:p>
    <w:p w14:paraId="25FD2408" w14:textId="006187B6" w:rsidR="00605184" w:rsidRPr="00605184" w:rsidRDefault="00605184" w:rsidP="008E4A42">
      <w:pPr>
        <w:ind w:firstLine="567"/>
        <w:rPr>
          <w:rtl/>
          <w:lang w:val="en-IL"/>
        </w:rPr>
      </w:pPr>
      <w:r w:rsidRPr="00605184">
        <w:rPr>
          <w:rFonts w:hint="cs"/>
          <w:rtl/>
          <w:lang w:val="en-IL"/>
        </w:rPr>
        <w:t>בספרות השו"ת לרוחבה אנו רואים פוסקים ששוקלים בפסיקתם את ההשלכות המעשיות של דבריהם, אך בתחום הממוני-משפטי העיסוק מועט, שהרי אין השלכות מהלכה למעשה. אנו חיים תחת מערכת משפט שאינה הלכתית. לאחר שנים של גלות ושיתוק ההלכה, מעטים המדמיינים חיים תחת דיני הממון כפי שהם מופיעים בטור חושן משפט. אולי הרב יוסף שאול נתנזון רצה לדון ולפתח את המשפט העברי בצורה שתאפשר, ביום מן הימים, להנהיגו בפועל ובאופן שתואם את תודעת הממון הבסיסית שלנו, ולא יהא תורה שלימה שלנו כשיחה בטילה שלנו.</w:t>
      </w:r>
    </w:p>
    <w:p w14:paraId="47F4A1D2" w14:textId="77777777" w:rsidR="000D7285" w:rsidRPr="000D7285" w:rsidRDefault="000D7285" w:rsidP="000D7285">
      <w:pPr>
        <w:pStyle w:val="Heading1"/>
        <w:rPr>
          <w:lang w:val="en-IL"/>
        </w:rPr>
      </w:pPr>
      <w:r w:rsidRPr="000D7285">
        <w:rPr>
          <w:rtl/>
          <w:lang w:val="en-IL"/>
        </w:rPr>
        <w:lastRenderedPageBreak/>
        <w:t>נספח - שיטת הנצי"ב</w:t>
      </w:r>
    </w:p>
    <w:p w14:paraId="5AFF007C" w14:textId="3C22AEDD" w:rsidR="0003757A" w:rsidRPr="0003757A" w:rsidRDefault="0003757A" w:rsidP="004A0D38">
      <w:pPr>
        <w:bidi w:val="0"/>
        <w:ind w:firstLine="0"/>
        <w:rPr>
          <w:lang w:val="en-IL"/>
        </w:rPr>
      </w:pPr>
      <w:r w:rsidRPr="0003757A">
        <w:rPr>
          <w:rtl/>
          <w:lang w:val="en-IL"/>
        </w:rPr>
        <w:t xml:space="preserve">בסוגיה ההלכתית של קניין רוחני קיימות דעות וגישות רבות ומגוונות. ברצוני להציג אחת שמצאתי מעניינת, במיוחד לאור הצעתי לעיל, והיא שיטת הנצי"ב. בשו"ת </w:t>
      </w:r>
      <w:r w:rsidR="00B35623">
        <w:rPr>
          <w:rFonts w:hint="cs"/>
          <w:rtl/>
          <w:lang w:val="en-IL"/>
        </w:rPr>
        <w:t>להלן</w:t>
      </w:r>
      <w:r w:rsidRPr="0003757A">
        <w:rPr>
          <w:rtl/>
          <w:lang w:val="en-IL"/>
        </w:rPr>
        <w:t xml:space="preserve"> הנצי"ב עוסק בפוסק שכתב תשובה לשאלה הלכתית שקיבל, אך אסר להפיץ התשובה מכיוון שהוא לא רצה שעוד ינהגו אותה. עיסוקו של הנצי"ב בנושא מרתק, והדיון מגיע לשאלות של מה היחס בין הלכה "רשמית" לשו"ת. לקראת הסוף, עוסק הנצי"ב בעניין מנקודת מבט יותר טכנית, הנוגעת לענייננו:</w:t>
      </w:r>
    </w:p>
    <w:p w14:paraId="03C281FF" w14:textId="281EE145" w:rsidR="0003757A" w:rsidRPr="0003757A" w:rsidRDefault="0003757A" w:rsidP="00C40AAF">
      <w:pPr>
        <w:pStyle w:val="Quote"/>
        <w:rPr>
          <w:rtl/>
          <w:lang w:val="en-IL"/>
        </w:rPr>
      </w:pPr>
      <w:r w:rsidRPr="0003757A">
        <w:rPr>
          <w:rtl/>
          <w:lang w:val="en-IL"/>
        </w:rPr>
        <w:t xml:space="preserve">ואחר שכן יש לנו לחקור אם יש </w:t>
      </w:r>
      <w:proofErr w:type="spellStart"/>
      <w:r w:rsidRPr="0003757A">
        <w:rPr>
          <w:rtl/>
          <w:lang w:val="en-IL"/>
        </w:rPr>
        <w:t>בכח</w:t>
      </w:r>
      <w:proofErr w:type="spellEnd"/>
      <w:r w:rsidRPr="0003757A">
        <w:rPr>
          <w:rtl/>
          <w:lang w:val="en-IL"/>
        </w:rPr>
        <w:t xml:space="preserve"> המצוה להזהיר שלא ללמד לאחרים תורתו והוראותיו או לא, ובזה </w:t>
      </w:r>
      <w:proofErr w:type="spellStart"/>
      <w:r w:rsidRPr="0003757A">
        <w:rPr>
          <w:rtl/>
          <w:lang w:val="en-IL"/>
        </w:rPr>
        <w:t>תליא</w:t>
      </w:r>
      <w:proofErr w:type="spellEnd"/>
      <w:r w:rsidRPr="0003757A">
        <w:rPr>
          <w:rtl/>
          <w:lang w:val="en-IL"/>
        </w:rPr>
        <w:t xml:space="preserve"> הזהרת אביהם ז"ל </w:t>
      </w:r>
      <w:proofErr w:type="spellStart"/>
      <w:r w:rsidRPr="0003757A">
        <w:rPr>
          <w:rtl/>
          <w:lang w:val="en-IL"/>
        </w:rPr>
        <w:t>לענין</w:t>
      </w:r>
      <w:proofErr w:type="spellEnd"/>
      <w:r w:rsidRPr="0003757A">
        <w:rPr>
          <w:rtl/>
          <w:lang w:val="en-IL"/>
        </w:rPr>
        <w:t xml:space="preserve"> ההדפסה, </w:t>
      </w:r>
      <w:r w:rsidRPr="0003757A">
        <w:rPr>
          <w:b/>
          <w:bCs/>
          <w:rtl/>
          <w:lang w:val="en-IL"/>
        </w:rPr>
        <w:t>ולכאורה היה נראה שיכול האדם לעשות בהוראותיו כאדם העושה בתוך שלו</w:t>
      </w:r>
      <w:r w:rsidRPr="0003757A">
        <w:rPr>
          <w:rtl/>
          <w:lang w:val="en-IL"/>
        </w:rPr>
        <w:t xml:space="preserve">, </w:t>
      </w:r>
      <w:proofErr w:type="spellStart"/>
      <w:r w:rsidRPr="0003757A">
        <w:rPr>
          <w:rtl/>
          <w:lang w:val="en-IL"/>
        </w:rPr>
        <w:t>וכדאיתא</w:t>
      </w:r>
      <w:proofErr w:type="spellEnd"/>
      <w:r w:rsidRPr="0003757A">
        <w:rPr>
          <w:rtl/>
          <w:lang w:val="en-IL"/>
        </w:rPr>
        <w:t xml:space="preserve"> בע"ז (דף יט א') שלבסוף נקראת על שמו שנאמר ובתורתו יהגה וגו' והיינו </w:t>
      </w:r>
      <w:proofErr w:type="spellStart"/>
      <w:r w:rsidRPr="0003757A">
        <w:rPr>
          <w:rtl/>
          <w:lang w:val="en-IL"/>
        </w:rPr>
        <w:t>דאיתא</w:t>
      </w:r>
      <w:proofErr w:type="spellEnd"/>
      <w:r w:rsidRPr="0003757A">
        <w:rPr>
          <w:rtl/>
          <w:lang w:val="en-IL"/>
        </w:rPr>
        <w:t xml:space="preserve"> בעירובין (דף נד א') וכיון </w:t>
      </w:r>
      <w:proofErr w:type="spellStart"/>
      <w:r w:rsidRPr="0003757A">
        <w:rPr>
          <w:rtl/>
          <w:lang w:val="en-IL"/>
        </w:rPr>
        <w:t>דניתן</w:t>
      </w:r>
      <w:proofErr w:type="spellEnd"/>
      <w:r w:rsidRPr="0003757A">
        <w:rPr>
          <w:rtl/>
          <w:lang w:val="en-IL"/>
        </w:rPr>
        <w:t xml:space="preserve"> לו במתנה נחלו אל שנאמר וממתנה </w:t>
      </w:r>
      <w:proofErr w:type="spellStart"/>
      <w:r w:rsidRPr="0003757A">
        <w:rPr>
          <w:rtl/>
          <w:lang w:val="en-IL"/>
        </w:rPr>
        <w:t>נחליאל</w:t>
      </w:r>
      <w:proofErr w:type="spellEnd"/>
      <w:r w:rsidRPr="0003757A">
        <w:rPr>
          <w:rtl/>
          <w:lang w:val="en-IL"/>
        </w:rPr>
        <w:t xml:space="preserve"> פי' מתחלה ניתנה לו התורה במתנה שלא ישכח מה שלמד תורת ה' וזה נקרא מתנה </w:t>
      </w:r>
      <w:proofErr w:type="spellStart"/>
      <w:r w:rsidRPr="0003757A">
        <w:rPr>
          <w:rtl/>
          <w:lang w:val="en-IL"/>
        </w:rPr>
        <w:t>כדאיתא</w:t>
      </w:r>
      <w:proofErr w:type="spellEnd"/>
      <w:r w:rsidRPr="0003757A">
        <w:rPr>
          <w:rtl/>
          <w:lang w:val="en-IL"/>
        </w:rPr>
        <w:t xml:space="preserve"> בנדרים (דף לח א') מתחלה היה משה למד תורה ומשכחה עד שנתנה לו במתנה </w:t>
      </w:r>
      <w:proofErr w:type="spellStart"/>
      <w:r w:rsidRPr="0003757A">
        <w:rPr>
          <w:rtl/>
          <w:lang w:val="en-IL"/>
        </w:rPr>
        <w:t>כו</w:t>
      </w:r>
      <w:proofErr w:type="spellEnd"/>
      <w:r w:rsidRPr="0003757A">
        <w:rPr>
          <w:rtl/>
          <w:lang w:val="en-IL"/>
        </w:rPr>
        <w:t xml:space="preserve">' ואח"כ נחלו אל היינו שמסייעים אותו לחדש בתורה שהוא נחלה שלו, שאין לו הפסק </w:t>
      </w:r>
      <w:proofErr w:type="spellStart"/>
      <w:r w:rsidRPr="0003757A">
        <w:rPr>
          <w:rtl/>
          <w:lang w:val="en-IL"/>
        </w:rPr>
        <w:t>כדאיתא</w:t>
      </w:r>
      <w:proofErr w:type="spellEnd"/>
      <w:r w:rsidRPr="0003757A">
        <w:rPr>
          <w:rtl/>
          <w:lang w:val="en-IL"/>
        </w:rPr>
        <w:t xml:space="preserve"> במס' ר"ה (דף יב ב') מה נחלה אין לה הפסק, </w:t>
      </w:r>
      <w:r w:rsidRPr="0003757A">
        <w:rPr>
          <w:b/>
          <w:bCs/>
          <w:rtl/>
          <w:lang w:val="en-IL"/>
        </w:rPr>
        <w:t xml:space="preserve">וא"כ יכול להוריש וליתן זכות חידושיו למי שירצה, </w:t>
      </w:r>
      <w:proofErr w:type="spellStart"/>
      <w:r w:rsidRPr="0003757A">
        <w:rPr>
          <w:b/>
          <w:bCs/>
          <w:rtl/>
          <w:lang w:val="en-IL"/>
        </w:rPr>
        <w:t>וה"נ</w:t>
      </w:r>
      <w:proofErr w:type="spellEnd"/>
      <w:r w:rsidRPr="0003757A">
        <w:rPr>
          <w:b/>
          <w:bCs/>
          <w:rtl/>
          <w:lang w:val="en-IL"/>
        </w:rPr>
        <w:t xml:space="preserve"> יכול לאבדם לגמרי כאדם העושה בתוך שלו.</w:t>
      </w:r>
      <w:r w:rsidR="00ED72AB">
        <w:rPr>
          <w:rStyle w:val="FootnoteReference"/>
          <w:rtl/>
          <w:lang w:val="en-IL"/>
        </w:rPr>
        <w:footnoteReference w:id="35"/>
      </w:r>
    </w:p>
    <w:p w14:paraId="5801CB28" w14:textId="77777777" w:rsidR="0003757A" w:rsidRPr="0003757A" w:rsidRDefault="0003757A" w:rsidP="00C40AAF">
      <w:pPr>
        <w:ind w:firstLine="0"/>
        <w:rPr>
          <w:rtl/>
          <w:lang w:val="en-IL"/>
        </w:rPr>
      </w:pPr>
      <w:r w:rsidRPr="0003757A">
        <w:rPr>
          <w:rtl/>
          <w:lang w:val="en-IL"/>
        </w:rPr>
        <w:t>הנצי"ב סובר שמבחינה טכנית-משפטית, אדם יכול לאסור הפצה של חידושי תורתו מתוקף בעלותו בהם. את הביסוס שלו לבעלות על חידושי תורה הוא עושה מתוך שילוב של דברי אגדה והלכה מהגמרא. הוא מבסס בעלות על חידושי תורה מדברי רבא במסכת עבודה זרה:</w:t>
      </w:r>
    </w:p>
    <w:p w14:paraId="57DBAE39" w14:textId="2C86FB4A" w:rsidR="0003757A" w:rsidRPr="0003757A" w:rsidRDefault="0003757A" w:rsidP="00A72866">
      <w:pPr>
        <w:pStyle w:val="Quote"/>
        <w:rPr>
          <w:rtl/>
          <w:lang w:val="en-IL"/>
        </w:rPr>
      </w:pPr>
      <w:r w:rsidRPr="0003757A">
        <w:rPr>
          <w:rtl/>
          <w:lang w:val="en-IL"/>
        </w:rPr>
        <w:t>ואמר רבא: בתחילה נקראת על שמו של הקדוש ברוך הוא ולבסוף נקראת על שמו, שנאמר: בתורת ה' חפצו ובתורתו יהגה יומם ולילה.</w:t>
      </w:r>
      <w:r w:rsidR="00245D85">
        <w:rPr>
          <w:rStyle w:val="FootnoteReference"/>
          <w:rtl/>
          <w:lang w:val="en-IL"/>
        </w:rPr>
        <w:footnoteReference w:id="36"/>
      </w:r>
    </w:p>
    <w:p w14:paraId="21B7A1BE" w14:textId="77777777" w:rsidR="0003757A" w:rsidRPr="0003757A" w:rsidRDefault="0003757A" w:rsidP="00A72866">
      <w:pPr>
        <w:ind w:firstLine="0"/>
        <w:rPr>
          <w:rtl/>
          <w:lang w:val="en-IL"/>
        </w:rPr>
      </w:pPr>
      <w:r w:rsidRPr="0003757A">
        <w:rPr>
          <w:rtl/>
          <w:lang w:val="en-IL"/>
        </w:rPr>
        <w:t>וכן מדבריו במסכת עירובין:</w:t>
      </w:r>
    </w:p>
    <w:p w14:paraId="1CC4B21E" w14:textId="22117ADB" w:rsidR="0003757A" w:rsidRPr="0003757A" w:rsidRDefault="0003757A" w:rsidP="00A72866">
      <w:pPr>
        <w:pStyle w:val="Quote"/>
        <w:rPr>
          <w:rtl/>
          <w:lang w:val="en-IL"/>
        </w:rPr>
      </w:pPr>
      <w:r w:rsidRPr="0003757A">
        <w:rPr>
          <w:rtl/>
          <w:lang w:val="en-IL"/>
        </w:rPr>
        <w:t xml:space="preserve">אמר ליה: לא </w:t>
      </w:r>
      <w:proofErr w:type="spellStart"/>
      <w:r w:rsidRPr="0003757A">
        <w:rPr>
          <w:rtl/>
          <w:lang w:val="en-IL"/>
        </w:rPr>
        <w:t>תתיב</w:t>
      </w:r>
      <w:proofErr w:type="spellEnd"/>
      <w:r w:rsidRPr="0003757A">
        <w:rPr>
          <w:rtl/>
          <w:lang w:val="en-IL"/>
        </w:rPr>
        <w:t xml:space="preserve"> </w:t>
      </w:r>
      <w:proofErr w:type="spellStart"/>
      <w:r w:rsidRPr="0003757A">
        <w:rPr>
          <w:rtl/>
          <w:lang w:val="en-IL"/>
        </w:rPr>
        <w:t>אכרעיך</w:t>
      </w:r>
      <w:proofErr w:type="spellEnd"/>
      <w:r w:rsidRPr="0003757A">
        <w:rPr>
          <w:rtl/>
          <w:lang w:val="en-IL"/>
        </w:rPr>
        <w:t xml:space="preserve"> עד </w:t>
      </w:r>
      <w:proofErr w:type="spellStart"/>
      <w:r w:rsidRPr="0003757A">
        <w:rPr>
          <w:rtl/>
          <w:lang w:val="en-IL"/>
        </w:rPr>
        <w:t>דמפרשת</w:t>
      </w:r>
      <w:proofErr w:type="spellEnd"/>
      <w:r w:rsidRPr="0003757A">
        <w:rPr>
          <w:rtl/>
          <w:lang w:val="en-IL"/>
        </w:rPr>
        <w:t xml:space="preserve"> לי הני קראי, מאי </w:t>
      </w:r>
      <w:proofErr w:type="spellStart"/>
      <w:r w:rsidRPr="0003757A">
        <w:rPr>
          <w:rtl/>
          <w:lang w:val="en-IL"/>
        </w:rPr>
        <w:t>דכתיב</w:t>
      </w:r>
      <w:proofErr w:type="spellEnd"/>
      <w:r w:rsidRPr="0003757A">
        <w:rPr>
          <w:rtl/>
          <w:lang w:val="en-IL"/>
        </w:rPr>
        <w:t xml:space="preserve"> +במדבר כ"א+ וממדבר מתנה וממתנה </w:t>
      </w:r>
      <w:proofErr w:type="spellStart"/>
      <w:r w:rsidRPr="0003757A">
        <w:rPr>
          <w:rtl/>
          <w:lang w:val="en-IL"/>
        </w:rPr>
        <w:t>נחליאל</w:t>
      </w:r>
      <w:proofErr w:type="spellEnd"/>
      <w:r w:rsidRPr="0003757A">
        <w:rPr>
          <w:rtl/>
          <w:lang w:val="en-IL"/>
        </w:rPr>
        <w:t xml:space="preserve"> </w:t>
      </w:r>
      <w:proofErr w:type="spellStart"/>
      <w:r w:rsidRPr="0003757A">
        <w:rPr>
          <w:rtl/>
          <w:lang w:val="en-IL"/>
        </w:rPr>
        <w:t>ומנחליאל</w:t>
      </w:r>
      <w:proofErr w:type="spellEnd"/>
      <w:r w:rsidRPr="0003757A">
        <w:rPr>
          <w:rtl/>
          <w:lang w:val="en-IL"/>
        </w:rPr>
        <w:t xml:space="preserve"> במות ומבמות הגיא. - אמר </w:t>
      </w:r>
      <w:r w:rsidRPr="0003757A">
        <w:rPr>
          <w:rtl/>
          <w:lang w:val="en-IL"/>
        </w:rPr>
        <w:lastRenderedPageBreak/>
        <w:t xml:space="preserve">ליה: אם אדם משים עצמו כמדבר זה </w:t>
      </w:r>
      <w:proofErr w:type="spellStart"/>
      <w:r w:rsidRPr="0003757A">
        <w:rPr>
          <w:rtl/>
          <w:lang w:val="en-IL"/>
        </w:rPr>
        <w:t>שהכל</w:t>
      </w:r>
      <w:proofErr w:type="spellEnd"/>
      <w:r w:rsidRPr="0003757A">
        <w:rPr>
          <w:rtl/>
          <w:lang w:val="en-IL"/>
        </w:rPr>
        <w:t xml:space="preserve"> </w:t>
      </w:r>
      <w:proofErr w:type="spellStart"/>
      <w:r w:rsidRPr="0003757A">
        <w:rPr>
          <w:rtl/>
          <w:lang w:val="en-IL"/>
        </w:rPr>
        <w:t>דשין</w:t>
      </w:r>
      <w:proofErr w:type="spellEnd"/>
      <w:r w:rsidRPr="0003757A">
        <w:rPr>
          <w:rtl/>
          <w:lang w:val="en-IL"/>
        </w:rPr>
        <w:t xml:space="preserve"> בו - תורה ניתנה לו במתנה, וכיון שניתנה לו במתנה - נחלו אל, שנאמר וממתנה </w:t>
      </w:r>
      <w:proofErr w:type="spellStart"/>
      <w:r w:rsidRPr="0003757A">
        <w:rPr>
          <w:rtl/>
          <w:lang w:val="en-IL"/>
        </w:rPr>
        <w:t>נחליאל</w:t>
      </w:r>
      <w:proofErr w:type="spellEnd"/>
      <w:r w:rsidRPr="0003757A">
        <w:rPr>
          <w:rtl/>
          <w:lang w:val="en-IL"/>
        </w:rPr>
        <w:t xml:space="preserve">. וכיון שנחלו אל - עולה לגדולה, שנאמר </w:t>
      </w:r>
      <w:proofErr w:type="spellStart"/>
      <w:r w:rsidRPr="0003757A">
        <w:rPr>
          <w:rtl/>
          <w:lang w:val="en-IL"/>
        </w:rPr>
        <w:t>ומנחליאל</w:t>
      </w:r>
      <w:proofErr w:type="spellEnd"/>
      <w:r w:rsidRPr="0003757A">
        <w:rPr>
          <w:rtl/>
          <w:lang w:val="en-IL"/>
        </w:rPr>
        <w:t xml:space="preserve"> במות. ואם מגיס לבו - הקדוש ברוך הוא משפילו, שנאמר ומבמות הגיא. ואם חוזר בו - הקדוש ברוך הוא מגביהו, שנאמר +ישעיהו מ'+ כל גיא </w:t>
      </w:r>
      <w:proofErr w:type="spellStart"/>
      <w:r w:rsidRPr="0003757A">
        <w:rPr>
          <w:rtl/>
          <w:lang w:val="en-IL"/>
        </w:rPr>
        <w:t>ינשא</w:t>
      </w:r>
      <w:proofErr w:type="spellEnd"/>
      <w:r w:rsidRPr="0003757A">
        <w:rPr>
          <w:rtl/>
          <w:lang w:val="en-IL"/>
        </w:rPr>
        <w:t>.</w:t>
      </w:r>
      <w:r w:rsidR="00CA1DD7">
        <w:rPr>
          <w:rStyle w:val="FootnoteReference"/>
          <w:rtl/>
          <w:lang w:val="en-IL"/>
        </w:rPr>
        <w:footnoteReference w:id="37"/>
      </w:r>
    </w:p>
    <w:p w14:paraId="40F1F64D" w14:textId="77777777" w:rsidR="0003757A" w:rsidRPr="0003757A" w:rsidRDefault="0003757A" w:rsidP="008142D8">
      <w:pPr>
        <w:ind w:firstLine="0"/>
        <w:rPr>
          <w:rtl/>
          <w:lang w:val="en-IL"/>
        </w:rPr>
      </w:pPr>
      <w:r w:rsidRPr="0003757A">
        <w:rPr>
          <w:rtl/>
          <w:lang w:val="en-IL"/>
        </w:rPr>
        <w:t xml:space="preserve">הגישה של הנצי"ב מפליאה. הוא סובר שיש בעלות על יצירה, אבל מרגיש מחויבות להוכיח זאת מתוך דברי חז"ל. הוא מביא רק </w:t>
      </w:r>
      <w:proofErr w:type="spellStart"/>
      <w:r w:rsidRPr="0003757A">
        <w:rPr>
          <w:rtl/>
          <w:lang w:val="en-IL"/>
        </w:rPr>
        <w:t>אגדתות</w:t>
      </w:r>
      <w:proofErr w:type="spellEnd"/>
      <w:r w:rsidRPr="0003757A">
        <w:rPr>
          <w:rtl/>
          <w:lang w:val="en-IL"/>
        </w:rPr>
        <w:t xml:space="preserve"> ולא דברי הלכה משפטיים, אך יכול להיות שהוא סבר שהן בכל זאת יכולות להעיד על תפיסה של בעלות על יצירה. אעז לאמר שלדעתי הנצי"ב לא באמת סבר שרבא הכיר בקניין רוחני של ממש, אלא </w:t>
      </w:r>
      <w:proofErr w:type="spellStart"/>
      <w:r w:rsidRPr="0003757A">
        <w:rPr>
          <w:rtl/>
          <w:lang w:val="en-IL"/>
        </w:rPr>
        <w:t>שהנצי"ב</w:t>
      </w:r>
      <w:proofErr w:type="spellEnd"/>
      <w:r w:rsidRPr="0003757A">
        <w:rPr>
          <w:rtl/>
          <w:lang w:val="en-IL"/>
        </w:rPr>
        <w:t xml:space="preserve"> סבר שיש קניין רוחני, בדומה לשואל ומשיב לעיל, ודרש את דברי רבא על מנת לבסס זאת. בכך הנצי"ב מהווה מעין גישת אמצע בין הגישות שראינו לעיל.</w:t>
      </w:r>
    </w:p>
    <w:p w14:paraId="1D82B3CD" w14:textId="77777777" w:rsidR="0003757A" w:rsidRPr="0003757A" w:rsidRDefault="0003757A" w:rsidP="0003757A">
      <w:pPr>
        <w:rPr>
          <w:rtl/>
          <w:lang w:val="en-IL"/>
        </w:rPr>
      </w:pPr>
      <w:r w:rsidRPr="0003757A">
        <w:rPr>
          <w:rtl/>
          <w:lang w:val="en-IL"/>
        </w:rPr>
        <w:t xml:space="preserve">ראוי לציין </w:t>
      </w:r>
      <w:proofErr w:type="spellStart"/>
      <w:r w:rsidRPr="0003757A">
        <w:rPr>
          <w:rtl/>
          <w:lang w:val="en-IL"/>
        </w:rPr>
        <w:t>שהנצי"ב</w:t>
      </w:r>
      <w:proofErr w:type="spellEnd"/>
      <w:r w:rsidRPr="0003757A">
        <w:rPr>
          <w:rtl/>
          <w:lang w:val="en-IL"/>
        </w:rPr>
        <w:t xml:space="preserve"> מסתייג מדבריו, ואומר שאין זכות לאדם לאבד חידושי תורתו, למרות שהם קניינו: </w:t>
      </w:r>
    </w:p>
    <w:p w14:paraId="3A38926B" w14:textId="77777777" w:rsidR="0003757A" w:rsidRPr="0003757A" w:rsidRDefault="0003757A" w:rsidP="00B51643">
      <w:pPr>
        <w:pStyle w:val="Quote"/>
        <w:rPr>
          <w:rtl/>
          <w:lang w:val="en-IL"/>
        </w:rPr>
      </w:pPr>
      <w:r w:rsidRPr="000E3E9C">
        <w:rPr>
          <w:b/>
          <w:bCs/>
          <w:rtl/>
          <w:lang w:val="en-IL"/>
        </w:rPr>
        <w:t xml:space="preserve">אבל לאחר העיון אינו כן, ואינה נקראת שלו אלא </w:t>
      </w:r>
      <w:proofErr w:type="spellStart"/>
      <w:r w:rsidRPr="000E3E9C">
        <w:rPr>
          <w:b/>
          <w:bCs/>
          <w:rtl/>
          <w:lang w:val="en-IL"/>
        </w:rPr>
        <w:t>ליתנם</w:t>
      </w:r>
      <w:proofErr w:type="spellEnd"/>
      <w:r w:rsidRPr="000E3E9C">
        <w:rPr>
          <w:b/>
          <w:bCs/>
          <w:rtl/>
          <w:lang w:val="en-IL"/>
        </w:rPr>
        <w:t xml:space="preserve"> למי שירצה, אבל מ"מ אין </w:t>
      </w:r>
      <w:proofErr w:type="spellStart"/>
      <w:r w:rsidRPr="000E3E9C">
        <w:rPr>
          <w:b/>
          <w:bCs/>
          <w:rtl/>
          <w:lang w:val="en-IL"/>
        </w:rPr>
        <w:t>בכחו</w:t>
      </w:r>
      <w:proofErr w:type="spellEnd"/>
      <w:r w:rsidRPr="000E3E9C">
        <w:rPr>
          <w:b/>
          <w:bCs/>
          <w:rtl/>
          <w:lang w:val="en-IL"/>
        </w:rPr>
        <w:t xml:space="preserve"> ורשותו לאבד אותם לגמרי שהרי מצוה הוא ללמוד וללמד לאחרים, ולא לכבשם לעצמו, </w:t>
      </w:r>
      <w:proofErr w:type="spellStart"/>
      <w:r w:rsidRPr="000E3E9C">
        <w:rPr>
          <w:b/>
          <w:bCs/>
          <w:rtl/>
          <w:lang w:val="en-IL"/>
        </w:rPr>
        <w:t>וה"ז</w:t>
      </w:r>
      <w:proofErr w:type="spellEnd"/>
      <w:r w:rsidRPr="000E3E9C">
        <w:rPr>
          <w:b/>
          <w:bCs/>
          <w:rtl/>
          <w:lang w:val="en-IL"/>
        </w:rPr>
        <w:t xml:space="preserve"> דומה לתרומה של בעלים שהן שלו ליתן לכל כהן שירצה ומ"מ לאבד לגמרי אין לו רשות,</w:t>
      </w:r>
      <w:r w:rsidRPr="0003757A">
        <w:rPr>
          <w:rtl/>
          <w:lang w:val="en-IL"/>
        </w:rPr>
        <w:t xml:space="preserve"> ורבינו </w:t>
      </w:r>
      <w:proofErr w:type="spellStart"/>
      <w:r w:rsidRPr="0003757A">
        <w:rPr>
          <w:rtl/>
          <w:lang w:val="en-IL"/>
        </w:rPr>
        <w:t>השאלתות</w:t>
      </w:r>
      <w:proofErr w:type="spellEnd"/>
      <w:r w:rsidRPr="0003757A">
        <w:rPr>
          <w:rtl/>
          <w:lang w:val="en-IL"/>
        </w:rPr>
        <w:t xml:space="preserve"> פ' קרח (סי' קל"ב) מפרש הא </w:t>
      </w:r>
      <w:proofErr w:type="spellStart"/>
      <w:r w:rsidRPr="0003757A">
        <w:rPr>
          <w:rtl/>
          <w:lang w:val="en-IL"/>
        </w:rPr>
        <w:t>דאיתא</w:t>
      </w:r>
      <w:proofErr w:type="spellEnd"/>
      <w:r w:rsidRPr="0003757A">
        <w:rPr>
          <w:rtl/>
          <w:lang w:val="en-IL"/>
        </w:rPr>
        <w:t xml:space="preserve"> בנדרים (דף פד א') וכיון </w:t>
      </w:r>
      <w:proofErr w:type="spellStart"/>
      <w:r w:rsidRPr="0003757A">
        <w:rPr>
          <w:rtl/>
          <w:lang w:val="en-IL"/>
        </w:rPr>
        <w:t>דקא</w:t>
      </w:r>
      <w:proofErr w:type="spellEnd"/>
      <w:r w:rsidRPr="0003757A">
        <w:rPr>
          <w:rtl/>
          <w:lang w:val="en-IL"/>
        </w:rPr>
        <w:t xml:space="preserve"> אתי </w:t>
      </w:r>
      <w:proofErr w:type="spellStart"/>
      <w:r w:rsidRPr="0003757A">
        <w:rPr>
          <w:rtl/>
          <w:lang w:val="en-IL"/>
        </w:rPr>
        <w:t>למיסרא</w:t>
      </w:r>
      <w:proofErr w:type="spellEnd"/>
      <w:r w:rsidRPr="0003757A">
        <w:rPr>
          <w:rtl/>
          <w:lang w:val="en-IL"/>
        </w:rPr>
        <w:t xml:space="preserve"> </w:t>
      </w:r>
      <w:proofErr w:type="spellStart"/>
      <w:r w:rsidRPr="0003757A">
        <w:rPr>
          <w:rtl/>
          <w:lang w:val="en-IL"/>
        </w:rPr>
        <w:t>עלייהו</w:t>
      </w:r>
      <w:proofErr w:type="spellEnd"/>
      <w:r w:rsidRPr="0003757A">
        <w:rPr>
          <w:rtl/>
          <w:lang w:val="en-IL"/>
        </w:rPr>
        <w:t xml:space="preserve"> </w:t>
      </w:r>
      <w:proofErr w:type="spellStart"/>
      <w:r w:rsidRPr="0003757A">
        <w:rPr>
          <w:rtl/>
          <w:lang w:val="en-IL"/>
        </w:rPr>
        <w:t>שויא</w:t>
      </w:r>
      <w:proofErr w:type="spellEnd"/>
      <w:r w:rsidRPr="0003757A">
        <w:rPr>
          <w:rtl/>
          <w:lang w:val="en-IL"/>
        </w:rPr>
        <w:t xml:space="preserve"> כעפרא בעלמא, לא כפי' </w:t>
      </w:r>
      <w:proofErr w:type="spellStart"/>
      <w:r w:rsidRPr="0003757A">
        <w:rPr>
          <w:rtl/>
          <w:lang w:val="en-IL"/>
        </w:rPr>
        <w:t>הרשב"א</w:t>
      </w:r>
      <w:proofErr w:type="spellEnd"/>
      <w:r w:rsidRPr="0003757A">
        <w:rPr>
          <w:rtl/>
          <w:lang w:val="en-IL"/>
        </w:rPr>
        <w:t xml:space="preserve"> </w:t>
      </w:r>
      <w:proofErr w:type="spellStart"/>
      <w:r w:rsidRPr="0003757A">
        <w:rPr>
          <w:rtl/>
          <w:lang w:val="en-IL"/>
        </w:rPr>
        <w:t>והר"ן</w:t>
      </w:r>
      <w:proofErr w:type="spellEnd"/>
      <w:r w:rsidRPr="0003757A">
        <w:rPr>
          <w:rtl/>
          <w:lang w:val="en-IL"/>
        </w:rPr>
        <w:t xml:space="preserve"> שעליו הם כעפרא בעלמא אלא </w:t>
      </w:r>
      <w:proofErr w:type="spellStart"/>
      <w:r w:rsidRPr="0003757A">
        <w:rPr>
          <w:rtl/>
          <w:lang w:val="en-IL"/>
        </w:rPr>
        <w:t>שויא</w:t>
      </w:r>
      <w:proofErr w:type="spellEnd"/>
      <w:r w:rsidRPr="0003757A">
        <w:rPr>
          <w:rtl/>
          <w:lang w:val="en-IL"/>
        </w:rPr>
        <w:t xml:space="preserve"> על הכהנים </w:t>
      </w:r>
      <w:proofErr w:type="spellStart"/>
      <w:r w:rsidRPr="0003757A">
        <w:rPr>
          <w:rtl/>
          <w:lang w:val="en-IL"/>
        </w:rPr>
        <w:t>עפרא</w:t>
      </w:r>
      <w:proofErr w:type="spellEnd"/>
      <w:r w:rsidRPr="0003757A">
        <w:rPr>
          <w:rtl/>
          <w:lang w:val="en-IL"/>
        </w:rPr>
        <w:t xml:space="preserve">, </w:t>
      </w:r>
      <w:proofErr w:type="spellStart"/>
      <w:r w:rsidRPr="0003757A">
        <w:rPr>
          <w:rtl/>
          <w:lang w:val="en-IL"/>
        </w:rPr>
        <w:t>ולישויא</w:t>
      </w:r>
      <w:proofErr w:type="spellEnd"/>
      <w:r w:rsidRPr="0003757A">
        <w:rPr>
          <w:rtl/>
          <w:lang w:val="en-IL"/>
        </w:rPr>
        <w:t xml:space="preserve"> </w:t>
      </w:r>
      <w:proofErr w:type="spellStart"/>
      <w:r w:rsidRPr="0003757A">
        <w:rPr>
          <w:rtl/>
          <w:lang w:val="en-IL"/>
        </w:rPr>
        <w:t>עפרא</w:t>
      </w:r>
      <w:proofErr w:type="spellEnd"/>
      <w:r w:rsidRPr="0003757A">
        <w:rPr>
          <w:rtl/>
          <w:lang w:val="en-IL"/>
        </w:rPr>
        <w:t xml:space="preserve"> לא קני ליה, פי' התורה לא נתנה לבעלים התרומה אלא ליתן לכל כהן שירצה, אבל לא לאסור על כל הכהנים </w:t>
      </w:r>
      <w:proofErr w:type="spellStart"/>
      <w:r w:rsidRPr="0003757A">
        <w:rPr>
          <w:rtl/>
          <w:lang w:val="en-IL"/>
        </w:rPr>
        <w:t>דלזה</w:t>
      </w:r>
      <w:proofErr w:type="spellEnd"/>
      <w:r w:rsidRPr="0003757A">
        <w:rPr>
          <w:rtl/>
          <w:lang w:val="en-IL"/>
        </w:rPr>
        <w:t xml:space="preserve"> אין התרומה של בעלים (ע"ש </w:t>
      </w:r>
      <w:proofErr w:type="spellStart"/>
      <w:r w:rsidRPr="0003757A">
        <w:rPr>
          <w:rtl/>
          <w:lang w:val="en-IL"/>
        </w:rPr>
        <w:t>בהע"ש</w:t>
      </w:r>
      <w:proofErr w:type="spellEnd"/>
      <w:r w:rsidRPr="0003757A">
        <w:rPr>
          <w:rtl/>
          <w:lang w:val="en-IL"/>
        </w:rPr>
        <w:t xml:space="preserve"> אות י')</w:t>
      </w:r>
      <w:r w:rsidRPr="00C65A73">
        <w:rPr>
          <w:b/>
          <w:bCs/>
          <w:rtl/>
          <w:lang w:val="en-IL"/>
        </w:rPr>
        <w:t xml:space="preserve"> </w:t>
      </w:r>
      <w:proofErr w:type="spellStart"/>
      <w:r w:rsidRPr="00C65A73">
        <w:rPr>
          <w:b/>
          <w:bCs/>
          <w:rtl/>
          <w:lang w:val="en-IL"/>
        </w:rPr>
        <w:t>וה"נ</w:t>
      </w:r>
      <w:proofErr w:type="spellEnd"/>
      <w:r w:rsidRPr="00C65A73">
        <w:rPr>
          <w:b/>
          <w:bCs/>
          <w:rtl/>
          <w:lang w:val="en-IL"/>
        </w:rPr>
        <w:t xml:space="preserve"> קדושת התורה </w:t>
      </w:r>
      <w:proofErr w:type="spellStart"/>
      <w:r w:rsidRPr="00C65A73">
        <w:rPr>
          <w:b/>
          <w:bCs/>
          <w:rtl/>
          <w:lang w:val="en-IL"/>
        </w:rPr>
        <w:t>דאע"ג</w:t>
      </w:r>
      <w:proofErr w:type="spellEnd"/>
      <w:r w:rsidRPr="00C65A73">
        <w:rPr>
          <w:b/>
          <w:bCs/>
          <w:rtl/>
          <w:lang w:val="en-IL"/>
        </w:rPr>
        <w:t xml:space="preserve"> </w:t>
      </w:r>
      <w:proofErr w:type="spellStart"/>
      <w:r w:rsidRPr="00C65A73">
        <w:rPr>
          <w:b/>
          <w:bCs/>
          <w:rtl/>
          <w:lang w:val="en-IL"/>
        </w:rPr>
        <w:t>דנקראת</w:t>
      </w:r>
      <w:proofErr w:type="spellEnd"/>
      <w:r w:rsidRPr="00C65A73">
        <w:rPr>
          <w:b/>
          <w:bCs/>
          <w:rtl/>
          <w:lang w:val="en-IL"/>
        </w:rPr>
        <w:t xml:space="preserve"> על שמו של המחדש והיא נחלתו להנחיל לכל מי שירצה, אבל </w:t>
      </w:r>
      <w:proofErr w:type="spellStart"/>
      <w:r w:rsidRPr="00C65A73">
        <w:rPr>
          <w:b/>
          <w:bCs/>
          <w:rtl/>
          <w:lang w:val="en-IL"/>
        </w:rPr>
        <w:t>דוקא</w:t>
      </w:r>
      <w:proofErr w:type="spellEnd"/>
      <w:r w:rsidRPr="00C65A73">
        <w:rPr>
          <w:b/>
          <w:bCs/>
          <w:rtl/>
          <w:lang w:val="en-IL"/>
        </w:rPr>
        <w:t xml:space="preserve"> שלא ילכו לאיבוד ולא יהיה בטל חלק הקדושה שבהם ואם רוצה שיאבדו לגמרי אין לו רשות, שהוא נגד דעת התורה ללמד לאחרים.</w:t>
      </w:r>
      <w:r w:rsidRPr="0003757A">
        <w:rPr>
          <w:rtl/>
          <w:lang w:val="en-IL"/>
        </w:rPr>
        <w:t xml:space="preserve"> ואף שהרבה חידושי תורה מגאוני הדור נאבדים מן העולם הוא משום שלא זכו שילמדו מהם הלכה לדורות, והרי אפילו נביאים איתא במגלה (דף יד א') </w:t>
      </w:r>
      <w:proofErr w:type="spellStart"/>
      <w:r w:rsidRPr="0003757A">
        <w:rPr>
          <w:rtl/>
          <w:lang w:val="en-IL"/>
        </w:rPr>
        <w:t>דהרבה</w:t>
      </w:r>
      <w:proofErr w:type="spellEnd"/>
      <w:r w:rsidRPr="0003757A">
        <w:rPr>
          <w:rtl/>
          <w:lang w:val="en-IL"/>
        </w:rPr>
        <w:t xml:space="preserve"> נביאים לא זכו שיאמרו מנבואתם ענין לדורות, </w:t>
      </w:r>
      <w:proofErr w:type="spellStart"/>
      <w:r w:rsidRPr="0003757A">
        <w:rPr>
          <w:rtl/>
          <w:lang w:val="en-IL"/>
        </w:rPr>
        <w:t>וה"נ</w:t>
      </w:r>
      <w:proofErr w:type="spellEnd"/>
      <w:r w:rsidRPr="0003757A">
        <w:rPr>
          <w:rtl/>
          <w:lang w:val="en-IL"/>
        </w:rPr>
        <w:t xml:space="preserve"> כמה תנאים ואמוראים שלא זכו שיהא נקבע משמם הלכה לדורות, אבל שיהא האדם רשאי לצוות לאבד את </w:t>
      </w:r>
      <w:r w:rsidRPr="0003757A">
        <w:rPr>
          <w:rtl/>
          <w:lang w:val="en-IL"/>
        </w:rPr>
        <w:lastRenderedPageBreak/>
        <w:t>הוראותיו וחידושיו אין לנו:</w:t>
      </w:r>
    </w:p>
    <w:p w14:paraId="2755EFA2" w14:textId="0E9E9B46" w:rsidR="0003757A" w:rsidRPr="0003757A" w:rsidRDefault="0003757A" w:rsidP="00B73E51">
      <w:pPr>
        <w:pStyle w:val="Quote"/>
        <w:rPr>
          <w:rtl/>
          <w:lang w:val="en-IL"/>
        </w:rPr>
      </w:pPr>
      <w:r w:rsidRPr="0003757A">
        <w:rPr>
          <w:rtl/>
          <w:lang w:val="en-IL"/>
        </w:rPr>
        <w:t xml:space="preserve">זאת </w:t>
      </w:r>
      <w:proofErr w:type="spellStart"/>
      <w:r w:rsidRPr="0003757A">
        <w:rPr>
          <w:rtl/>
          <w:lang w:val="en-IL"/>
        </w:rPr>
        <w:t>הנלענ"ד</w:t>
      </w:r>
      <w:proofErr w:type="spellEnd"/>
      <w:r w:rsidRPr="0003757A">
        <w:rPr>
          <w:rtl/>
          <w:lang w:val="en-IL"/>
        </w:rPr>
        <w:t xml:space="preserve">, ודעתי שיהיה מע"כ ואחיו יעמיסו על עצמם עסק ההדפסה של שו"ת אביהם, והמקום </w:t>
      </w:r>
      <w:proofErr w:type="spellStart"/>
      <w:r w:rsidRPr="0003757A">
        <w:rPr>
          <w:rtl/>
          <w:lang w:val="en-IL"/>
        </w:rPr>
        <w:t>ית</w:t>
      </w:r>
      <w:proofErr w:type="spellEnd"/>
      <w:r w:rsidRPr="0003757A">
        <w:rPr>
          <w:rtl/>
          <w:lang w:val="en-IL"/>
        </w:rPr>
        <w:t>' יהיה בעזרם. דברי העמוס בעבודה:</w:t>
      </w:r>
      <w:r w:rsidR="00163695">
        <w:rPr>
          <w:rStyle w:val="FootnoteReference"/>
          <w:rtl/>
          <w:lang w:val="en-IL"/>
        </w:rPr>
        <w:footnoteReference w:id="38"/>
      </w:r>
    </w:p>
    <w:p w14:paraId="26D6EEBF" w14:textId="77777777" w:rsidR="0003757A" w:rsidRPr="0003757A" w:rsidRDefault="0003757A" w:rsidP="00B73E51">
      <w:pPr>
        <w:ind w:firstLine="0"/>
        <w:rPr>
          <w:rtl/>
          <w:lang w:val="en-IL"/>
        </w:rPr>
      </w:pPr>
      <w:r w:rsidRPr="0003757A">
        <w:rPr>
          <w:rtl/>
          <w:lang w:val="en-IL"/>
        </w:rPr>
        <w:t>לאור זאת, אדם אינו רשאי לאבד חידושי תורתו אף על פי שהם שלו. בכל אופן, ניתן לדייק מדברי הנצי"ב ולאמר שעל יצירות וחידושים בדברי חול יש בעלות מלאה, כמו שכתב הרב יעקב אברהם כהן:</w:t>
      </w:r>
    </w:p>
    <w:p w14:paraId="1E91E783" w14:textId="4D65676E" w:rsidR="0003757A" w:rsidRPr="0003757A" w:rsidRDefault="0003757A" w:rsidP="00844A52">
      <w:pPr>
        <w:pStyle w:val="Quote"/>
        <w:rPr>
          <w:rtl/>
          <w:lang w:val="en-IL"/>
        </w:rPr>
      </w:pPr>
      <w:r w:rsidRPr="0003757A">
        <w:rPr>
          <w:rtl/>
          <w:lang w:val="en-IL"/>
        </w:rPr>
        <w:t>עוד מדוקדק למעיין בנצי"ב שעל שאר יצירות של חולין יש לו זכות גמורה לצוות לאבדם ולהשמידם, ורק בדברי תורה אין לו זכות ודו"ק. וא"כ כל שכן שלדעתו יש לו זכות להחליט על הפסקת הפצת היצירה - גם בלי שום סיבה הנראית לעין - משום שהוא הוא הבעלים, ולאחר אסור להפיץ את היצירה.</w:t>
      </w:r>
      <w:r w:rsidR="00787C78">
        <w:rPr>
          <w:rStyle w:val="FootnoteReference"/>
          <w:rtl/>
          <w:lang w:val="en-IL"/>
        </w:rPr>
        <w:footnoteReference w:id="39"/>
      </w:r>
    </w:p>
    <w:p w14:paraId="5E6B4310" w14:textId="17FCC208" w:rsidR="0003757A" w:rsidRPr="0003757A" w:rsidRDefault="0003757A" w:rsidP="00844A52">
      <w:pPr>
        <w:ind w:firstLine="0"/>
        <w:rPr>
          <w:rtl/>
          <w:lang w:val="en-IL"/>
        </w:rPr>
      </w:pPr>
      <w:r w:rsidRPr="0003757A">
        <w:rPr>
          <w:rtl/>
          <w:lang w:val="en-IL"/>
        </w:rPr>
        <w:t>לרוחב הדיון ההלכתי בקניין רוחני וזכויות יוצרים, דברי תורה תמיד דורשים התייחסות נפרדת בעקבות איסור לאבדם ואיסור לקבל עליהם כסף. יוצא מזה דבר מדהים, שלמרות שיש הכרה בבעלות על יצירה, הבעלות על חידושי תורה נשארת חלקית ומוגבלת יותר מתוקף מעמדם הייחודי.</w:t>
      </w:r>
      <w:r w:rsidR="0094162C">
        <w:rPr>
          <w:rStyle w:val="FootnoteReference"/>
          <w:rtl/>
          <w:lang w:val="en-IL"/>
        </w:rPr>
        <w:footnoteReference w:id="40"/>
      </w:r>
      <w:r w:rsidRPr="0003757A">
        <w:rPr>
          <w:rtl/>
          <w:lang w:val="en-IL"/>
        </w:rPr>
        <w:t xml:space="preserve"> פסיקות בנושא זה הן הזדמנות נהדרת לעסוק ביחס בין אדם לחידושיו ותורתו ואני ממליץ בחום על עיון בנושא.</w:t>
      </w:r>
    </w:p>
    <w:p w14:paraId="70F7EDA9" w14:textId="77777777" w:rsidR="00926B32" w:rsidRPr="0045067F" w:rsidRDefault="00926B32" w:rsidP="0003757A">
      <w:pPr>
        <w:rPr>
          <w:rFonts w:hint="cs"/>
          <w:lang w:val="en-IL"/>
        </w:rPr>
      </w:pPr>
    </w:p>
    <w:sectPr w:rsidR="00926B32" w:rsidRPr="0045067F" w:rsidSect="00C87786">
      <w:headerReference w:type="even" r:id="rId8"/>
      <w:headerReference w:type="default" r:id="rId9"/>
      <w:headerReference w:type="first" r:id="rId10"/>
      <w:footerReference w:type="first" r:id="rId11"/>
      <w:footnotePr>
        <w:numRestart w:val="eachSect"/>
      </w:footnotePr>
      <w:pgSz w:w="9356" w:h="13325"/>
      <w:pgMar w:top="1134" w:right="1134" w:bottom="1134" w:left="1134" w:header="709" w:footer="709" w:gutter="284"/>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F42553" w14:textId="77777777" w:rsidR="00F9606A" w:rsidRDefault="00F9606A" w:rsidP="00612B20">
      <w:pPr>
        <w:spacing w:line="240" w:lineRule="auto"/>
      </w:pPr>
      <w:r>
        <w:separator/>
      </w:r>
    </w:p>
  </w:endnote>
  <w:endnote w:type="continuationSeparator" w:id="0">
    <w:p w14:paraId="578D2227" w14:textId="77777777" w:rsidR="00F9606A" w:rsidRDefault="00F9606A" w:rsidP="00612B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arkisim">
    <w:panose1 w:val="020E05020501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Gentium">
    <w:altName w:val="Calibri"/>
    <w:charset w:val="00"/>
    <w:family w:val="auto"/>
    <w:pitch w:val="variable"/>
    <w:sig w:usb0="E00000FF" w:usb1="00000003" w:usb2="00000000" w:usb3="00000000" w:csb0="0000001B" w:csb1="00000000"/>
  </w:font>
  <w:font w:name="Arial">
    <w:panose1 w:val="020B0604020202020204"/>
    <w:charset w:val="00"/>
    <w:family w:val="swiss"/>
    <w:pitch w:val="variable"/>
    <w:sig w:usb0="E0002EFF" w:usb1="C000785B" w:usb2="00000009" w:usb3="00000000" w:csb0="000001FF" w:csb1="00000000"/>
  </w:font>
  <w:font w:name="Heebo Black">
    <w:charset w:val="B1"/>
    <w:family w:val="auto"/>
    <w:pitch w:val="variable"/>
    <w:sig w:usb0="A00008E7" w:usb1="40000043" w:usb2="00000000" w:usb3="00000000" w:csb0="00000021" w:csb1="00000000"/>
  </w:font>
  <w:font w:name="Heebo Medium">
    <w:charset w:val="B1"/>
    <w:family w:val="auto"/>
    <w:pitch w:val="variable"/>
    <w:sig w:usb0="A00008E7" w:usb1="40000043" w:usb2="00000000" w:usb3="00000000" w:csb0="00000021" w:csb1="00000000"/>
  </w:font>
  <w:font w:name="Heebo Light">
    <w:charset w:val="B1"/>
    <w:family w:val="auto"/>
    <w:pitch w:val="variable"/>
    <w:sig w:usb0="A00008E7" w:usb1="40000043" w:usb2="00000000" w:usb3="00000000" w:csb0="0000002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E8858" w14:textId="77777777" w:rsidR="007A671B" w:rsidRPr="00987353" w:rsidRDefault="007A671B" w:rsidP="000A2278">
    <w:pPr>
      <w:pStyle w:val="Footer"/>
      <w:tabs>
        <w:tab w:val="clear" w:pos="4153"/>
        <w:tab w:val="clear" w:pos="8306"/>
      </w:tabs>
      <w:ind w:firstLine="0"/>
      <w:jc w:val="center"/>
      <w:rPr>
        <w:sz w:val="18"/>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816604" w14:textId="77777777" w:rsidR="00F9606A" w:rsidRDefault="00F9606A" w:rsidP="008D6718">
      <w:pPr>
        <w:spacing w:line="240" w:lineRule="auto"/>
        <w:ind w:firstLine="0"/>
        <w:rPr>
          <w:rtl/>
        </w:rPr>
      </w:pPr>
    </w:p>
  </w:footnote>
  <w:footnote w:type="continuationSeparator" w:id="0">
    <w:p w14:paraId="4A2577C2" w14:textId="77777777" w:rsidR="00F9606A" w:rsidRPr="00187664" w:rsidRDefault="00F9606A" w:rsidP="00187664">
      <w:pPr>
        <w:pStyle w:val="Footer"/>
        <w:rPr>
          <w:szCs w:val="22"/>
          <w:rtl/>
        </w:rPr>
      </w:pPr>
    </w:p>
  </w:footnote>
  <w:footnote w:id="1">
    <w:p w14:paraId="0283AC94" w14:textId="0B22FB6B" w:rsidR="00E35134" w:rsidRDefault="001805FE" w:rsidP="001805FE">
      <w:pPr>
        <w:pStyle w:val="FootnoteText"/>
        <w:rPr>
          <w:rFonts w:hint="cs"/>
          <w:rtl/>
          <w:lang w:val="en-GB"/>
        </w:rPr>
      </w:pPr>
      <w:r w:rsidRPr="001805FE">
        <w:rPr>
          <w:rFonts w:hint="cs"/>
          <w:rtl/>
          <w:lang w:val="en-GB"/>
        </w:rPr>
        <w:t>*</w:t>
      </w:r>
      <w:r>
        <w:rPr>
          <w:rFonts w:hint="cs"/>
          <w:rtl/>
          <w:lang w:val="en-GB"/>
        </w:rPr>
        <w:tab/>
      </w:r>
      <w:r w:rsidR="00E35134">
        <w:rPr>
          <w:rFonts w:hint="cs"/>
          <w:rtl/>
          <w:lang w:val="en-GB"/>
        </w:rPr>
        <w:t xml:space="preserve">תודה רבה </w:t>
      </w:r>
      <w:r w:rsidR="00BD2355">
        <w:rPr>
          <w:rFonts w:hint="cs"/>
          <w:rtl/>
          <w:lang w:val="en-GB"/>
        </w:rPr>
        <w:t xml:space="preserve">למורי ורבי מהישיבה על </w:t>
      </w:r>
      <w:r w:rsidR="0022592B">
        <w:rPr>
          <w:rFonts w:hint="cs"/>
          <w:rtl/>
          <w:lang w:val="en-GB"/>
        </w:rPr>
        <w:t xml:space="preserve">שנה וחצי </w:t>
      </w:r>
      <w:r w:rsidR="00627966">
        <w:rPr>
          <w:rFonts w:hint="cs"/>
          <w:rtl/>
          <w:lang w:val="en-GB"/>
        </w:rPr>
        <w:t xml:space="preserve">של </w:t>
      </w:r>
      <w:r w:rsidR="003A1731">
        <w:rPr>
          <w:rFonts w:hint="cs"/>
          <w:rtl/>
          <w:lang w:val="en-GB"/>
        </w:rPr>
        <w:t xml:space="preserve">תורה, </w:t>
      </w:r>
      <w:r w:rsidR="0022592B">
        <w:rPr>
          <w:rFonts w:hint="cs"/>
          <w:rtl/>
          <w:lang w:val="en-GB"/>
        </w:rPr>
        <w:t>הדרכה ו</w:t>
      </w:r>
      <w:r w:rsidR="00BD2355">
        <w:rPr>
          <w:rFonts w:hint="cs"/>
          <w:rtl/>
          <w:lang w:val="en-GB"/>
        </w:rPr>
        <w:t>ייעוץ.</w:t>
      </w:r>
      <w:r w:rsidR="00BD2355">
        <w:rPr>
          <w:rFonts w:hint="cs"/>
          <w:rtl/>
          <w:lang w:val="en-GB"/>
        </w:rPr>
        <w:t xml:space="preserve"> </w:t>
      </w:r>
      <w:r w:rsidR="00C13B66">
        <w:rPr>
          <w:rFonts w:hint="cs"/>
          <w:rtl/>
          <w:lang w:val="en-GB"/>
        </w:rPr>
        <w:t xml:space="preserve">תודה </w:t>
      </w:r>
      <w:r w:rsidR="007117F7">
        <w:rPr>
          <w:rFonts w:hint="cs"/>
          <w:rtl/>
          <w:lang w:val="en-GB"/>
        </w:rPr>
        <w:t>לארבל עופרן על הלימוד בחברותה</w:t>
      </w:r>
      <w:r w:rsidR="0003758B">
        <w:rPr>
          <w:rFonts w:hint="cs"/>
          <w:rtl/>
          <w:lang w:val="en-GB"/>
        </w:rPr>
        <w:t xml:space="preserve"> על קניין רוחני</w:t>
      </w:r>
      <w:r w:rsidR="007117F7">
        <w:rPr>
          <w:rFonts w:hint="cs"/>
          <w:rtl/>
          <w:lang w:val="en-GB"/>
        </w:rPr>
        <w:t xml:space="preserve"> שהוביל לכתיבת המאמר</w:t>
      </w:r>
      <w:r w:rsidR="0092563C">
        <w:rPr>
          <w:rFonts w:hint="cs"/>
          <w:rtl/>
          <w:lang w:val="en-GB"/>
        </w:rPr>
        <w:t xml:space="preserve">, </w:t>
      </w:r>
      <w:r w:rsidR="00C66F1F">
        <w:rPr>
          <w:rFonts w:hint="cs"/>
          <w:rtl/>
          <w:lang w:val="en-GB"/>
        </w:rPr>
        <w:t xml:space="preserve">ולשאר </w:t>
      </w:r>
      <w:r w:rsidR="0092563C">
        <w:rPr>
          <w:rFonts w:hint="cs"/>
          <w:rtl/>
          <w:lang w:val="en-GB"/>
        </w:rPr>
        <w:t xml:space="preserve">חברי לבית המדרש אשר אזנם הקשבת אפשרה לי לעבד את </w:t>
      </w:r>
      <w:r w:rsidR="00237734">
        <w:rPr>
          <w:rFonts w:hint="cs"/>
          <w:rtl/>
          <w:lang w:val="en-GB"/>
        </w:rPr>
        <w:t>עיוני</w:t>
      </w:r>
      <w:r w:rsidR="001D446E">
        <w:rPr>
          <w:rFonts w:hint="cs"/>
          <w:rtl/>
          <w:lang w:val="en-GB"/>
        </w:rPr>
        <w:t xml:space="preserve"> למילים</w:t>
      </w:r>
      <w:r w:rsidR="00BD2355">
        <w:rPr>
          <w:rFonts w:hint="cs"/>
          <w:rtl/>
          <w:lang w:val="en-GB"/>
        </w:rPr>
        <w:t>.</w:t>
      </w:r>
    </w:p>
    <w:p w14:paraId="558511BC" w14:textId="00C5703E" w:rsidR="005750FF" w:rsidRPr="005750FF" w:rsidRDefault="005750FF" w:rsidP="005750FF">
      <w:pPr>
        <w:pStyle w:val="FootnoteText"/>
        <w:rPr>
          <w:rFonts w:hint="cs"/>
          <w:rtl/>
          <w:lang w:val="en-IL"/>
        </w:rPr>
      </w:pPr>
      <w:r>
        <w:rPr>
          <w:rStyle w:val="FootnoteReference"/>
        </w:rPr>
        <w:footnoteRef/>
      </w:r>
      <w:r w:rsidR="00046612">
        <w:rPr>
          <w:rtl/>
        </w:rPr>
        <w:t xml:space="preserve"> </w:t>
      </w:r>
      <w:r w:rsidR="00046612">
        <w:rPr>
          <w:rtl/>
        </w:rPr>
        <w:tab/>
      </w:r>
      <w:r w:rsidRPr="005750FF">
        <w:rPr>
          <w:rtl/>
        </w:rPr>
        <w:t>עיקר עניין המאמר הוא עיסוק בדעות מסוימות בתוך הדיון ההלכתי</w:t>
      </w:r>
      <w:r w:rsidR="00003CAB">
        <w:rPr>
          <w:rFonts w:hint="cs"/>
          <w:rtl/>
        </w:rPr>
        <w:t>.</w:t>
      </w:r>
      <w:r w:rsidRPr="005750FF">
        <w:rPr>
          <w:rtl/>
        </w:rPr>
        <w:t xml:space="preserve"> לא בסקירת המחלוקת במלואה ובוודאי שלא פסיקת הלכה למעשה. להכרת </w:t>
      </w:r>
      <w:r w:rsidR="004E1C32" w:rsidRPr="005750FF">
        <w:rPr>
          <w:rFonts w:hint="cs"/>
          <w:rtl/>
        </w:rPr>
        <w:t>הסוגיי</w:t>
      </w:r>
      <w:r w:rsidR="004E1C32" w:rsidRPr="005750FF">
        <w:rPr>
          <w:rFonts w:hint="eastAsia"/>
          <w:rtl/>
        </w:rPr>
        <w:t>ה</w:t>
      </w:r>
      <w:r w:rsidRPr="005750FF">
        <w:rPr>
          <w:rtl/>
        </w:rPr>
        <w:t xml:space="preserve"> לרוחב, כולל הלכה למעשה, אני ממליץ בחום על שו"ת עמק המשפט חלק ד, שם כתב הרב יעקב אברהם כהן שני קונטרסים מלאים הסוקרים את המחלוקת ומביאים תשובות בהתאם לשיטות השונות.</w:t>
      </w:r>
    </w:p>
  </w:footnote>
  <w:footnote w:id="2">
    <w:p w14:paraId="4EE7329D" w14:textId="67CF16ED" w:rsidR="00006E3D" w:rsidRPr="00006E3D" w:rsidRDefault="00006E3D" w:rsidP="00006E3D">
      <w:pPr>
        <w:pStyle w:val="FootnoteText"/>
        <w:rPr>
          <w:rFonts w:hint="cs"/>
          <w:rtl/>
        </w:rPr>
      </w:pPr>
      <w:r>
        <w:rPr>
          <w:rStyle w:val="FootnoteReference"/>
        </w:rPr>
        <w:footnoteRef/>
      </w:r>
      <w:r w:rsidR="00046612">
        <w:rPr>
          <w:rtl/>
        </w:rPr>
        <w:t xml:space="preserve"> </w:t>
      </w:r>
      <w:r w:rsidR="00046612">
        <w:rPr>
          <w:rtl/>
        </w:rPr>
        <w:tab/>
      </w:r>
      <w:r w:rsidRPr="00006E3D">
        <w:rPr>
          <w:rtl/>
        </w:rPr>
        <w:t>בשפה ההלכתית-למדנית משמעות המילה קניין הינה מעשה המעביר בעלות על רכוש, אך בעברית מודרנית היא משמשת באופן יותר רחב כ'רכוש'. במאמרי החלטתי לשמר את המושג 'קניין רוחני' ולא להחליפו ב'רכוש רוחני', וככלל להשתמש במילה קניין במשמעותה המודרנית הרחבה יותר, ולהשתמש בצירוף 'מעשה קניין' על מנת להבדילה מהמושג ההלכתי</w:t>
      </w:r>
      <w:r w:rsidRPr="00006E3D">
        <w:t>.</w:t>
      </w:r>
    </w:p>
  </w:footnote>
  <w:footnote w:id="3">
    <w:p w14:paraId="4CB9CB81" w14:textId="6CEDB78E" w:rsidR="00D40EE6" w:rsidRPr="00D40EE6" w:rsidRDefault="00D40EE6" w:rsidP="00D40EE6">
      <w:pPr>
        <w:pStyle w:val="FootnoteText"/>
        <w:rPr>
          <w:rFonts w:hint="cs"/>
          <w:rtl/>
          <w:lang w:val="en-IL"/>
        </w:rPr>
      </w:pPr>
      <w:r>
        <w:rPr>
          <w:rStyle w:val="FootnoteReference"/>
        </w:rPr>
        <w:footnoteRef/>
      </w:r>
      <w:r w:rsidR="00046612">
        <w:rPr>
          <w:rtl/>
        </w:rPr>
        <w:t xml:space="preserve"> </w:t>
      </w:r>
      <w:r w:rsidR="00046612">
        <w:rPr>
          <w:rtl/>
        </w:rPr>
        <w:tab/>
      </w:r>
      <w:r w:rsidRPr="00D40EE6">
        <w:rPr>
          <w:rtl/>
        </w:rPr>
        <w:t xml:space="preserve">את חלוקה זו לקחתי מתוך המאמר של מרלין סטרת'רן: </w:t>
      </w:r>
      <w:r w:rsidRPr="00D40EE6">
        <w:rPr>
          <w:lang w:val="en-IL"/>
        </w:rPr>
        <w:t>Marilyn Strathern, 'Multiple perspectives on intellectual property', K. Whimp</w:t>
      </w:r>
      <w:r w:rsidRPr="00D40EE6">
        <w:rPr>
          <w:rtl/>
        </w:rPr>
        <w:t xml:space="preserve"> &amp; </w:t>
      </w:r>
      <w:r w:rsidRPr="00D40EE6">
        <w:rPr>
          <w:lang w:val="en-IL"/>
        </w:rPr>
        <w:t>M. Busse (Eds.)</w:t>
      </w:r>
      <w:r w:rsidRPr="00D40EE6">
        <w:rPr>
          <w:rtl/>
        </w:rPr>
        <w:t xml:space="preserve">, </w:t>
      </w:r>
      <w:r w:rsidRPr="00D40EE6">
        <w:rPr>
          <w:i/>
          <w:iCs/>
          <w:lang w:val="en-IL"/>
        </w:rPr>
        <w:t>Protection of Intellectual, Biological</w:t>
      </w:r>
      <w:r w:rsidRPr="00D40EE6">
        <w:rPr>
          <w:i/>
          <w:iCs/>
          <w:rtl/>
        </w:rPr>
        <w:t xml:space="preserve"> &amp; </w:t>
      </w:r>
      <w:r w:rsidRPr="00D40EE6">
        <w:rPr>
          <w:i/>
          <w:iCs/>
          <w:lang w:val="en-IL"/>
        </w:rPr>
        <w:t>Cultural Property in Papua New Guinea</w:t>
      </w:r>
      <w:r w:rsidRPr="00D40EE6">
        <w:rPr>
          <w:rtl/>
        </w:rPr>
        <w:t xml:space="preserve">, </w:t>
      </w:r>
      <w:r w:rsidRPr="00D40EE6">
        <w:rPr>
          <w:lang w:val="en-IL"/>
        </w:rPr>
        <w:t>ANU Press, 2013, pp. 47–61</w:t>
      </w:r>
      <w:r w:rsidRPr="00D40EE6">
        <w:rPr>
          <w:rtl/>
        </w:rPr>
        <w:t>. במאמר, סטרת'רן עושה חלוקה בין קניין יחסי לקני</w:t>
      </w:r>
      <w:r w:rsidR="00CC1EE6">
        <w:rPr>
          <w:rFonts w:hint="cs"/>
          <w:rtl/>
        </w:rPr>
        <w:t>י</w:t>
      </w:r>
      <w:r w:rsidRPr="00D40EE6">
        <w:rPr>
          <w:rtl/>
        </w:rPr>
        <w:t>ן מוחלט. בחרתי בחלוקה יותר שורשית של קניין זכויותי וקניין חפצי, בעקבות העובדה שההלכה דומה לקניין הרומי בעניין הזה, אך אינה מכירה בבעלות מוחלטת.</w:t>
      </w:r>
    </w:p>
  </w:footnote>
  <w:footnote w:id="4">
    <w:p w14:paraId="4F1EC735" w14:textId="314488CA" w:rsidR="002B1491" w:rsidRPr="002B1491" w:rsidRDefault="002B1491" w:rsidP="002B1491">
      <w:pPr>
        <w:pStyle w:val="FootnoteText"/>
        <w:rPr>
          <w:rFonts w:hint="cs"/>
          <w:lang w:val="en-IL"/>
        </w:rPr>
      </w:pPr>
      <w:r>
        <w:rPr>
          <w:rStyle w:val="FootnoteReference"/>
        </w:rPr>
        <w:footnoteRef/>
      </w:r>
      <w:r w:rsidR="00046612">
        <w:rPr>
          <w:rtl/>
        </w:rPr>
        <w:t xml:space="preserve"> </w:t>
      </w:r>
      <w:r w:rsidR="00046612">
        <w:rPr>
          <w:rtl/>
        </w:rPr>
        <w:tab/>
      </w:r>
      <w:r w:rsidRPr="002B1491">
        <w:rPr>
          <w:rtl/>
        </w:rPr>
        <w:t>מבחינה תפיסתית, בעקבות התפיסה שקניין מעורר שינוי במציאות, ניתן לדמות</w:t>
      </w:r>
      <w:r w:rsidR="004A5EA6">
        <w:rPr>
          <w:rFonts w:hint="cs"/>
          <w:rtl/>
        </w:rPr>
        <w:t xml:space="preserve"> רעיונית</w:t>
      </w:r>
      <w:r w:rsidRPr="002B1491">
        <w:rPr>
          <w:rtl/>
        </w:rPr>
        <w:t xml:space="preserve"> את כללי הקניין לכללי מתמטיקה. כללים הטוענים לתיאור המציאות, ושבני האדם מגלים אותם אך אינם יוצרים אותם.</w:t>
      </w:r>
    </w:p>
  </w:footnote>
  <w:footnote w:id="5">
    <w:p w14:paraId="58F8AAB2" w14:textId="5715CAE0" w:rsidR="00C76D62" w:rsidRPr="00C76D62" w:rsidRDefault="00C76D62" w:rsidP="00C76D62">
      <w:pPr>
        <w:pStyle w:val="FootnoteText"/>
        <w:rPr>
          <w:rFonts w:hint="cs"/>
          <w:rtl/>
          <w:lang w:val="en-IL"/>
        </w:rPr>
      </w:pPr>
      <w:r>
        <w:rPr>
          <w:rStyle w:val="FootnoteReference"/>
        </w:rPr>
        <w:footnoteRef/>
      </w:r>
      <w:r w:rsidR="00046612">
        <w:rPr>
          <w:rtl/>
        </w:rPr>
        <w:t xml:space="preserve"> </w:t>
      </w:r>
      <w:r w:rsidR="00046612">
        <w:rPr>
          <w:rtl/>
        </w:rPr>
        <w:tab/>
      </w:r>
      <w:r w:rsidRPr="00C76D62">
        <w:rPr>
          <w:rtl/>
        </w:rPr>
        <w:t>ישנה מחלוקת בין הגרש"ש (שערי יושר ג-</w:t>
      </w:r>
      <w:proofErr w:type="spellStart"/>
      <w:r w:rsidRPr="00C76D62">
        <w:rPr>
          <w:rtl/>
        </w:rPr>
        <w:t>כג</w:t>
      </w:r>
      <w:proofErr w:type="spellEnd"/>
      <w:r w:rsidRPr="00C76D62">
        <w:rPr>
          <w:rtl/>
        </w:rPr>
        <w:t xml:space="preserve">, בבא </w:t>
      </w:r>
      <w:proofErr w:type="spellStart"/>
      <w:r w:rsidRPr="00C76D62">
        <w:rPr>
          <w:rtl/>
        </w:rPr>
        <w:t>בתרא</w:t>
      </w:r>
      <w:proofErr w:type="spellEnd"/>
      <w:r w:rsidRPr="00C76D62">
        <w:rPr>
          <w:rtl/>
        </w:rPr>
        <w:t xml:space="preserve"> כה) ובין ר' חיים </w:t>
      </w:r>
      <w:proofErr w:type="spellStart"/>
      <w:r w:rsidRPr="00C76D62">
        <w:rPr>
          <w:rtl/>
        </w:rPr>
        <w:t>מטעלז</w:t>
      </w:r>
      <w:proofErr w:type="spellEnd"/>
      <w:r w:rsidRPr="00C76D62">
        <w:rPr>
          <w:rtl/>
        </w:rPr>
        <w:t xml:space="preserve"> (בבא </w:t>
      </w:r>
      <w:proofErr w:type="spellStart"/>
      <w:r w:rsidRPr="00C76D62">
        <w:rPr>
          <w:rtl/>
        </w:rPr>
        <w:t>בתרא</w:t>
      </w:r>
      <w:proofErr w:type="spellEnd"/>
      <w:r w:rsidRPr="00C76D62">
        <w:rPr>
          <w:rtl/>
        </w:rPr>
        <w:t xml:space="preserve"> יט עמוד </w:t>
      </w:r>
      <w:proofErr w:type="spellStart"/>
      <w:r w:rsidRPr="00C76D62">
        <w:rPr>
          <w:rtl/>
        </w:rPr>
        <w:t>רמג</w:t>
      </w:r>
      <w:proofErr w:type="spellEnd"/>
      <w:r w:rsidRPr="00C76D62">
        <w:rPr>
          <w:rtl/>
        </w:rPr>
        <w:t xml:space="preserve">) האם הבעלות חלה על החפץ או הבעלים. אך כוונתי כאן בשימושי בביטוי </w:t>
      </w:r>
      <w:r w:rsidRPr="00A079EB">
        <w:rPr>
          <w:i/>
          <w:iCs/>
          <w:rtl/>
        </w:rPr>
        <w:t>חפצא</w:t>
      </w:r>
      <w:r w:rsidRPr="00C76D62">
        <w:rPr>
          <w:rtl/>
        </w:rPr>
        <w:t xml:space="preserve"> היא שהבעלות חלה על גוף במציאות</w:t>
      </w:r>
      <w:r w:rsidR="00046612">
        <w:rPr>
          <w:rtl/>
        </w:rPr>
        <w:t xml:space="preserve"> </w:t>
      </w:r>
      <w:r w:rsidRPr="00C76D62">
        <w:rPr>
          <w:rtl/>
        </w:rPr>
        <w:t xml:space="preserve">- שיכול להיות האדם, לשיטת ר' חיים </w:t>
      </w:r>
      <w:proofErr w:type="spellStart"/>
      <w:r w:rsidRPr="00C76D62">
        <w:rPr>
          <w:rtl/>
        </w:rPr>
        <w:t>מטעלז</w:t>
      </w:r>
      <w:proofErr w:type="spellEnd"/>
      <w:r w:rsidRPr="00C76D62">
        <w:rPr>
          <w:rtl/>
        </w:rPr>
        <w:t xml:space="preserve"> שסבר שהבעלות היא "חלק מגופו של הבעלים", וכמובן גם על החפץ לשיטת הגרש"ש שסובר ששינוי בעלים הוא כשינוי החפץ. זאת לעומת קניין זכויותי, שם בעלות הינה על "זכויות" ואינה משנה דבר מהותי בגוף הבעלים או החפץ. עם זאת, אציין שבמשפט הרומי הבעלות </w:t>
      </w:r>
      <w:proofErr w:type="spellStart"/>
      <w:r w:rsidRPr="00C76D62">
        <w:rPr>
          <w:rtl/>
        </w:rPr>
        <w:t>היתה</w:t>
      </w:r>
      <w:proofErr w:type="spellEnd"/>
      <w:r w:rsidRPr="00C76D62">
        <w:rPr>
          <w:rtl/>
        </w:rPr>
        <w:t xml:space="preserve"> בחפץ, בדומה לשיטת הגרש"ש. בכל אופן, עצם המחלוקת על מה מוסבת הבעלות מעידה על קניין חפצי </w:t>
      </w:r>
      <w:proofErr w:type="spellStart"/>
      <w:r w:rsidRPr="00C76D62">
        <w:rPr>
          <w:rtl/>
        </w:rPr>
        <w:t>דייקא</w:t>
      </w:r>
      <w:proofErr w:type="spellEnd"/>
      <w:r w:rsidRPr="00C76D62">
        <w:rPr>
          <w:rtl/>
        </w:rPr>
        <w:t>, שהרי הבעלות נתפסת כחלות על דבר במציאות, ולא מערך זכויות בעלמא.</w:t>
      </w:r>
    </w:p>
  </w:footnote>
  <w:footnote w:id="6">
    <w:p w14:paraId="583203C6" w14:textId="7BB2A1BF" w:rsidR="006732DA" w:rsidRPr="006732DA" w:rsidRDefault="006732DA" w:rsidP="006732DA">
      <w:pPr>
        <w:pStyle w:val="FootnoteText"/>
        <w:rPr>
          <w:rFonts w:hint="cs"/>
          <w:rtl/>
          <w:lang w:val="en-IL"/>
        </w:rPr>
      </w:pPr>
      <w:r>
        <w:rPr>
          <w:rStyle w:val="FootnoteReference"/>
        </w:rPr>
        <w:footnoteRef/>
      </w:r>
      <w:r w:rsidR="00046612">
        <w:rPr>
          <w:rtl/>
        </w:rPr>
        <w:t xml:space="preserve"> </w:t>
      </w:r>
      <w:r w:rsidR="00046612">
        <w:rPr>
          <w:rtl/>
        </w:rPr>
        <w:tab/>
      </w:r>
      <w:r w:rsidRPr="006732DA">
        <w:rPr>
          <w:rtl/>
        </w:rPr>
        <w:t xml:space="preserve">יאיר פורסטנברג, 'קניין וחזקה: ההלכה התנאית בין הקשרים משפטיים משתנים', </w:t>
      </w:r>
      <w:r w:rsidRPr="006732DA">
        <w:rPr>
          <w:i/>
          <w:iCs/>
          <w:rtl/>
        </w:rPr>
        <w:t>שנתון המשפט העברי</w:t>
      </w:r>
      <w:r w:rsidRPr="006732DA">
        <w:rPr>
          <w:rtl/>
        </w:rPr>
        <w:t>, כרך לג (תשפ"ה), עמ' 387-386 הערה 11.</w:t>
      </w:r>
    </w:p>
  </w:footnote>
  <w:footnote w:id="7">
    <w:p w14:paraId="73BEE1B8" w14:textId="04ED3CD2" w:rsidR="003845C1" w:rsidRDefault="003845C1">
      <w:pPr>
        <w:pStyle w:val="FootnoteText"/>
        <w:rPr>
          <w:rFonts w:hint="cs"/>
          <w:rtl/>
        </w:rPr>
      </w:pPr>
      <w:r>
        <w:rPr>
          <w:rStyle w:val="FootnoteReference"/>
        </w:rPr>
        <w:footnoteRef/>
      </w:r>
      <w:r>
        <w:rPr>
          <w:rtl/>
        </w:rPr>
        <w:t xml:space="preserve"> </w:t>
      </w:r>
      <w:r w:rsidR="00046612">
        <w:rPr>
          <w:rtl/>
        </w:rPr>
        <w:tab/>
      </w:r>
      <w:r w:rsidRPr="00E125F0">
        <w:rPr>
          <w:rFonts w:hint="cs"/>
          <w:rtl/>
          <w:lang w:val="en-GB"/>
        </w:rPr>
        <w:t>שערי יושר, שער ה, פרק ב</w:t>
      </w:r>
    </w:p>
  </w:footnote>
  <w:footnote w:id="8">
    <w:p w14:paraId="4CC3B338" w14:textId="2EE708AA" w:rsidR="00622199" w:rsidRPr="00622199" w:rsidRDefault="00622199" w:rsidP="00622199">
      <w:pPr>
        <w:pStyle w:val="FootnoteText"/>
        <w:rPr>
          <w:rFonts w:hint="cs"/>
          <w:lang w:val="en-IL"/>
        </w:rPr>
      </w:pPr>
      <w:r>
        <w:rPr>
          <w:rStyle w:val="FootnoteReference"/>
        </w:rPr>
        <w:footnoteRef/>
      </w:r>
      <w:r w:rsidR="00046612">
        <w:rPr>
          <w:rtl/>
        </w:rPr>
        <w:t xml:space="preserve"> </w:t>
      </w:r>
      <w:r w:rsidR="00046612">
        <w:rPr>
          <w:rtl/>
        </w:rPr>
        <w:tab/>
      </w:r>
      <w:r w:rsidRPr="00622199">
        <w:rPr>
          <w:rtl/>
        </w:rPr>
        <w:t xml:space="preserve">ההבחנה של הגרש"ש עוזרת להדגיש את אופי הממון ההלכתי, אך זה לא </w:t>
      </w:r>
      <w:r w:rsidR="00EA6211">
        <w:rPr>
          <w:rFonts w:hint="cs"/>
          <w:rtl/>
        </w:rPr>
        <w:t>ה</w:t>
      </w:r>
      <w:r w:rsidRPr="00622199">
        <w:rPr>
          <w:rtl/>
        </w:rPr>
        <w:t>ראיה</w:t>
      </w:r>
      <w:r w:rsidR="00EA6211">
        <w:rPr>
          <w:rFonts w:hint="cs"/>
          <w:rtl/>
        </w:rPr>
        <w:t xml:space="preserve"> לטענתי</w:t>
      </w:r>
      <w:r w:rsidRPr="00622199">
        <w:rPr>
          <w:rtl/>
        </w:rPr>
        <w:t>. עצם העובדה שהתלמוד עוסק בשאלות שונות על קניין, כגון דבר שלא בא לעולם, בשאלות של "האם אפשר" ולא "האם זה טוב" מעידה על תפיסה של קניין חפצי.</w:t>
      </w:r>
    </w:p>
  </w:footnote>
  <w:footnote w:id="9">
    <w:p w14:paraId="6D04C381" w14:textId="691A46C1" w:rsidR="007A1300" w:rsidRPr="007A1300" w:rsidRDefault="007A1300" w:rsidP="007A1300">
      <w:pPr>
        <w:pStyle w:val="FootnoteText"/>
        <w:rPr>
          <w:rFonts w:hint="cs"/>
          <w:rtl/>
          <w:lang w:val="en-IL"/>
        </w:rPr>
      </w:pPr>
      <w:r>
        <w:rPr>
          <w:rStyle w:val="FootnoteReference"/>
        </w:rPr>
        <w:footnoteRef/>
      </w:r>
      <w:r w:rsidR="00046612">
        <w:rPr>
          <w:rtl/>
        </w:rPr>
        <w:t xml:space="preserve"> </w:t>
      </w:r>
      <w:r w:rsidR="00046612">
        <w:rPr>
          <w:rtl/>
        </w:rPr>
        <w:tab/>
      </w:r>
      <w:r w:rsidRPr="007A1300">
        <w:rPr>
          <w:rtl/>
        </w:rPr>
        <w:t>איסור הגזל החל על שמעון הינו זכות הקניין שיש לראובן.</w:t>
      </w:r>
    </w:p>
  </w:footnote>
  <w:footnote w:id="10">
    <w:p w14:paraId="273CB637" w14:textId="555F985E" w:rsidR="00366FEF" w:rsidRPr="00366FEF" w:rsidRDefault="00366FEF" w:rsidP="00366FEF">
      <w:pPr>
        <w:pStyle w:val="FootnoteText"/>
        <w:rPr>
          <w:rFonts w:hint="cs"/>
          <w:lang w:val="en-IL"/>
        </w:rPr>
      </w:pPr>
      <w:r>
        <w:rPr>
          <w:rStyle w:val="FootnoteReference"/>
        </w:rPr>
        <w:footnoteRef/>
      </w:r>
      <w:r w:rsidR="00046612">
        <w:rPr>
          <w:rtl/>
        </w:rPr>
        <w:t xml:space="preserve"> </w:t>
      </w:r>
      <w:r w:rsidR="00046612">
        <w:rPr>
          <w:rtl/>
        </w:rPr>
        <w:tab/>
      </w:r>
      <w:r w:rsidRPr="00366FEF">
        <w:rPr>
          <w:rtl/>
        </w:rPr>
        <w:t>נחלקו האחרונים הבעלות היא דין בחפץ או באדם (</w:t>
      </w:r>
      <w:r w:rsidRPr="00923B3A">
        <w:rPr>
          <w:rtl/>
        </w:rPr>
        <w:t>עיין הערה 5),</w:t>
      </w:r>
      <w:r w:rsidRPr="00366FEF">
        <w:rPr>
          <w:rtl/>
        </w:rPr>
        <w:t xml:space="preserve"> אך לצורך העניין נקטתי בלשון ניטרלית שהבעלות היא זיקה בין החפץ לאדם. בכל אופן, היא דין נפרד מרשימת הזכויות הנובעות ממנה.</w:t>
      </w:r>
    </w:p>
  </w:footnote>
  <w:footnote w:id="11">
    <w:p w14:paraId="5204D9C9" w14:textId="7DD85515" w:rsidR="00A670C1" w:rsidRDefault="00A670C1" w:rsidP="00A670C1">
      <w:pPr>
        <w:pStyle w:val="FootnoteText"/>
        <w:rPr>
          <w:rFonts w:hint="cs"/>
          <w:rtl/>
        </w:rPr>
      </w:pPr>
      <w:r>
        <w:rPr>
          <w:rStyle w:val="FootnoteReference"/>
        </w:rPr>
        <w:footnoteRef/>
      </w:r>
      <w:r w:rsidR="00046612">
        <w:rPr>
          <w:rtl/>
        </w:rPr>
        <w:t xml:space="preserve"> </w:t>
      </w:r>
      <w:r w:rsidR="00046612">
        <w:rPr>
          <w:rtl/>
        </w:rPr>
        <w:tab/>
      </w:r>
      <w:r w:rsidRPr="00A670C1">
        <w:rPr>
          <w:rtl/>
        </w:rPr>
        <w:t xml:space="preserve">כך לדוגמא מגדיר מרפי הליברטון בספרו "הודו ומלחמות הפטנטים" את הפטנט כ"הסכם בין היוצר והחברה, שהחברה תיתן ליוצר בלעדיות בהנאה מיצירתו, בתמורה להסכמתו לפרסם את רזי יצירתו לאחר התקופה המוסכמת, על מנת לאפשר לו להרוויח מעבודתו, ולאפשר לחברה להרוויח מיצירתו". הגדרה זו תואמת לתפיסת קניין זכויותי. (למראה מקום עיין הערה </w:t>
      </w:r>
      <w:r w:rsidRPr="00923B3A">
        <w:rPr>
          <w:rtl/>
        </w:rPr>
        <w:t>1</w:t>
      </w:r>
      <w:r w:rsidR="00923B3A">
        <w:rPr>
          <w:rFonts w:hint="cs"/>
          <w:rtl/>
        </w:rPr>
        <w:t>5</w:t>
      </w:r>
      <w:r w:rsidRPr="00A670C1">
        <w:rPr>
          <w:rtl/>
        </w:rPr>
        <w:t>)</w:t>
      </w:r>
    </w:p>
  </w:footnote>
  <w:footnote w:id="12">
    <w:p w14:paraId="5A4FBBC3" w14:textId="55598FB6" w:rsidR="00BD3086" w:rsidRPr="00BD3086" w:rsidRDefault="00BD3086" w:rsidP="00BD3086">
      <w:pPr>
        <w:pStyle w:val="FootnoteText"/>
        <w:rPr>
          <w:rFonts w:hint="cs"/>
          <w:rtl/>
          <w:lang w:val="en-IL"/>
        </w:rPr>
      </w:pPr>
      <w:r>
        <w:rPr>
          <w:rStyle w:val="FootnoteReference"/>
        </w:rPr>
        <w:footnoteRef/>
      </w:r>
      <w:r w:rsidR="00046612">
        <w:rPr>
          <w:rtl/>
        </w:rPr>
        <w:t xml:space="preserve"> </w:t>
      </w:r>
      <w:r w:rsidR="00046612">
        <w:rPr>
          <w:rtl/>
        </w:rPr>
        <w:tab/>
      </w:r>
      <w:r w:rsidRPr="00BD3086">
        <w:rPr>
          <w:rtl/>
        </w:rPr>
        <w:t xml:space="preserve">אמנם, כיום רבים משתמשים במושג זכויות יוצרים בצורה מעט שונה, כסוג מסוים של קניין רוחני, המייצג זכויות ביצירה כמו ספר או ציור. המושג מקביל לסוגים אחרים של קניין רוחני כמו פטנט, שהוא זכויות בהמצאה או רעיון עסקי. שימוש זה נובע בגלל הקישור שלו למושג </w:t>
      </w:r>
      <w:r w:rsidRPr="00BD3086">
        <w:rPr>
          <w:lang w:val="en-IL"/>
        </w:rPr>
        <w:t>copyright</w:t>
      </w:r>
      <w:r w:rsidRPr="00BD3086">
        <w:rPr>
          <w:rtl/>
        </w:rPr>
        <w:t xml:space="preserve"> באנגלית, שאכן מצומצם רק לספרים ותמונות וכדומה, אך שתרגומו המדויק יותר הוא "זכויות העתקה" ולא "זכויות יוצרים". במאמרי אני בוחר להשתמש במושג "זכויות יוצרים" בצורה יותר רחבה, שיותר צמודה למשמעותו הלשונית - הזכויות שיש ליוצר ולבאי כוחו ביצירתו, כך שמושג זה כולל בתוכו כל יצירה רוחנית, בניגוד לשימוש הרווח במושג.</w:t>
      </w:r>
    </w:p>
  </w:footnote>
  <w:footnote w:id="13">
    <w:p w14:paraId="5B7F5B1D" w14:textId="1F810CB7" w:rsidR="00055219" w:rsidRPr="00055219" w:rsidRDefault="00055219" w:rsidP="00385ABF">
      <w:pPr>
        <w:pStyle w:val="FootnoteText"/>
        <w:rPr>
          <w:rFonts w:hint="cs"/>
          <w:rtl/>
          <w:lang w:val="en-IL"/>
        </w:rPr>
      </w:pPr>
      <w:r>
        <w:rPr>
          <w:rStyle w:val="FootnoteReference"/>
        </w:rPr>
        <w:footnoteRef/>
      </w:r>
      <w:r w:rsidR="00046612">
        <w:rPr>
          <w:rtl/>
        </w:rPr>
        <w:t xml:space="preserve"> </w:t>
      </w:r>
      <w:r w:rsidR="00046612">
        <w:rPr>
          <w:rtl/>
        </w:rPr>
        <w:tab/>
      </w:r>
      <w:r w:rsidRPr="00055219">
        <w:rPr>
          <w:rtl/>
        </w:rPr>
        <w:t>מבלי להשתמש במנגנונים מיוחדים כמו "הפקר בית דין הפקר" (מנגנון שלא קיים במערכות של ממון זכויותי מכיוון שהוא ברור מאליו במערכות כאלה. עצם קיום המושג בהלכה מעיד על תפיסה חפצית של ממון).</w:t>
      </w:r>
    </w:p>
  </w:footnote>
  <w:footnote w:id="14">
    <w:p w14:paraId="21B29066" w14:textId="05724C81" w:rsidR="00C81404" w:rsidRPr="00C81404" w:rsidRDefault="00C81404" w:rsidP="00C81404">
      <w:pPr>
        <w:pStyle w:val="FootnoteText"/>
        <w:rPr>
          <w:rFonts w:hint="cs"/>
          <w:rtl/>
          <w:lang w:val="en-IL"/>
        </w:rPr>
      </w:pPr>
      <w:r>
        <w:rPr>
          <w:rStyle w:val="FootnoteReference"/>
        </w:rPr>
        <w:footnoteRef/>
      </w:r>
      <w:r w:rsidR="00046612">
        <w:rPr>
          <w:rtl/>
        </w:rPr>
        <w:t xml:space="preserve"> </w:t>
      </w:r>
      <w:r w:rsidR="00046612">
        <w:rPr>
          <w:rtl/>
        </w:rPr>
        <w:tab/>
      </w:r>
      <w:r w:rsidRPr="00C81404">
        <w:rPr>
          <w:rtl/>
        </w:rPr>
        <w:t>קיימות מדינות מודרניות המכירות בקניין חפצי</w:t>
      </w:r>
      <w:r w:rsidR="008D211D">
        <w:rPr>
          <w:rFonts w:hint="cs"/>
          <w:rtl/>
        </w:rPr>
        <w:t xml:space="preserve"> מוחלט</w:t>
      </w:r>
      <w:r w:rsidRPr="00C81404">
        <w:rPr>
          <w:rtl/>
        </w:rPr>
        <w:t>, כגון צרפת וגרמניה. מדינות אלו מכירות בזכויות יוצרים אך אינן מכירות בבעלות חפצית על יצירה, באופן שמתאים לחלוקה שהצגנו.</w:t>
      </w:r>
    </w:p>
  </w:footnote>
  <w:footnote w:id="15">
    <w:p w14:paraId="019F742E" w14:textId="1C3E45AC" w:rsidR="001173BC" w:rsidRDefault="001173BC" w:rsidP="00454082">
      <w:pPr>
        <w:pStyle w:val="FootnoteText"/>
        <w:rPr>
          <w:rFonts w:hint="cs"/>
          <w:rtl/>
        </w:rPr>
      </w:pPr>
      <w:r>
        <w:rPr>
          <w:rStyle w:val="FootnoteReference"/>
        </w:rPr>
        <w:footnoteRef/>
      </w:r>
      <w:r w:rsidR="00046612">
        <w:rPr>
          <w:rtl/>
        </w:rPr>
        <w:t xml:space="preserve"> </w:t>
      </w:r>
      <w:r w:rsidRPr="001173BC">
        <w:rPr>
          <w:rtl/>
        </w:rPr>
        <w:t> </w:t>
      </w:r>
      <w:r w:rsidR="00046612">
        <w:rPr>
          <w:rtl/>
        </w:rPr>
        <w:tab/>
      </w:r>
      <w:r w:rsidRPr="001173BC">
        <w:rPr>
          <w:lang w:val="en-IL"/>
        </w:rPr>
        <w:t>Murphy Halliburton</w:t>
      </w:r>
      <w:r w:rsidRPr="001173BC">
        <w:rPr>
          <w:rtl/>
        </w:rPr>
        <w:t xml:space="preserve">. </w:t>
      </w:r>
      <w:r w:rsidRPr="001173BC">
        <w:rPr>
          <w:rtl/>
        </w:rPr>
        <w:t>“</w:t>
      </w:r>
      <w:r w:rsidRPr="001173BC">
        <w:rPr>
          <w:lang w:val="en-IL"/>
        </w:rPr>
        <w:t>The Invention and Expansion of Intellectual Property</w:t>
      </w:r>
      <w:r w:rsidRPr="001173BC">
        <w:rPr>
          <w:rtl/>
        </w:rPr>
        <w:t xml:space="preserve">.”, </w:t>
      </w:r>
      <w:r w:rsidRPr="001173BC">
        <w:rPr>
          <w:i/>
          <w:iCs/>
          <w:lang w:val="en-IL"/>
        </w:rPr>
        <w:t>India and the Patent Wars: Pharmaceuticals in the New Intellectual Property Regime</w:t>
      </w:r>
      <w:r w:rsidRPr="001173BC">
        <w:rPr>
          <w:rtl/>
        </w:rPr>
        <w:t xml:space="preserve">, </w:t>
      </w:r>
      <w:r w:rsidRPr="001173BC">
        <w:rPr>
          <w:lang w:val="en-IL"/>
        </w:rPr>
        <w:t>Cornell University Press, 2017, 21–35</w:t>
      </w:r>
      <w:r w:rsidRPr="001173BC">
        <w:rPr>
          <w:rtl/>
        </w:rPr>
        <w:t>.</w:t>
      </w:r>
    </w:p>
  </w:footnote>
  <w:footnote w:id="16">
    <w:p w14:paraId="6B0C8D9C" w14:textId="4003BA5A" w:rsidR="00E07CDF" w:rsidRPr="00E66F4F" w:rsidRDefault="00E07CDF" w:rsidP="00454082">
      <w:pPr>
        <w:pStyle w:val="FootnoteText"/>
        <w:rPr>
          <w:lang w:val="en-GB"/>
        </w:rPr>
      </w:pPr>
      <w:r>
        <w:rPr>
          <w:rStyle w:val="FootnoteReference"/>
        </w:rPr>
        <w:footnoteRef/>
      </w:r>
      <w:r w:rsidR="00046612">
        <w:t xml:space="preserve"> </w:t>
      </w:r>
      <w:r w:rsidR="00046612">
        <w:tab/>
      </w:r>
      <w:r w:rsidRPr="00E07CDF">
        <w:rPr>
          <w:lang w:val="en-IL"/>
        </w:rPr>
        <w:t>Eisenstein, Elizabeth L</w:t>
      </w:r>
      <w:r w:rsidRPr="00E07CDF">
        <w:rPr>
          <w:rtl/>
        </w:rPr>
        <w:t>: "</w:t>
      </w:r>
      <w:r w:rsidRPr="00E07CDF">
        <w:rPr>
          <w:lang w:val="en-IL"/>
        </w:rPr>
        <w:t>The Printing Revolution in Early Modern Europe</w:t>
      </w:r>
      <w:r w:rsidRPr="00E07CDF">
        <w:rPr>
          <w:rtl/>
        </w:rPr>
        <w:t xml:space="preserve">", </w:t>
      </w:r>
      <w:r w:rsidRPr="00E07CDF">
        <w:rPr>
          <w:lang w:val="en-IL"/>
        </w:rPr>
        <w:t>Cambridge, 1993</w:t>
      </w:r>
    </w:p>
  </w:footnote>
  <w:footnote w:id="17">
    <w:p w14:paraId="309F61F8" w14:textId="615545A2" w:rsidR="001E6B09" w:rsidRPr="001E6B09" w:rsidRDefault="001E6B09" w:rsidP="001E6B09">
      <w:pPr>
        <w:pStyle w:val="FootnoteText"/>
        <w:rPr>
          <w:rFonts w:hint="cs"/>
          <w:lang w:val="en-IL"/>
        </w:rPr>
      </w:pPr>
      <w:r>
        <w:rPr>
          <w:rStyle w:val="FootnoteReference"/>
        </w:rPr>
        <w:footnoteRef/>
      </w:r>
      <w:r w:rsidR="00046612">
        <w:rPr>
          <w:rtl/>
        </w:rPr>
        <w:t xml:space="preserve"> </w:t>
      </w:r>
      <w:r w:rsidR="00046612">
        <w:rPr>
          <w:rtl/>
        </w:rPr>
        <w:tab/>
      </w:r>
      <w:r w:rsidRPr="001E6B09">
        <w:rPr>
          <w:rtl/>
        </w:rPr>
        <w:t>הזכויות נחשבו טבעיות באופן ש"טבעי וראוי לספק אותן ליוצרים", אך עדיין היו כפופות לאינטרס השלטון והמדינה, בהתאם לתפיסה של קניין זכויותי. סימן לכך הוא שהן היו (ועודנה) מוגבלות בזמן.</w:t>
      </w:r>
    </w:p>
  </w:footnote>
  <w:footnote w:id="18">
    <w:p w14:paraId="51709C61" w14:textId="7108D0F2" w:rsidR="00F34EE0" w:rsidRPr="00F34EE0" w:rsidRDefault="00F34EE0" w:rsidP="00F34EE0">
      <w:pPr>
        <w:pStyle w:val="FootnoteText"/>
        <w:rPr>
          <w:rFonts w:hint="cs"/>
          <w:rtl/>
          <w:lang w:val="en-IL"/>
        </w:rPr>
      </w:pPr>
      <w:r>
        <w:rPr>
          <w:rStyle w:val="FootnoteReference"/>
        </w:rPr>
        <w:footnoteRef/>
      </w:r>
      <w:r w:rsidR="00046612">
        <w:rPr>
          <w:rtl/>
        </w:rPr>
        <w:t xml:space="preserve"> </w:t>
      </w:r>
      <w:r w:rsidR="00E66F4F">
        <w:rPr>
          <w:rtl/>
        </w:rPr>
        <w:tab/>
      </w:r>
      <w:r w:rsidRPr="00F34EE0">
        <w:rPr>
          <w:rtl/>
        </w:rPr>
        <w:t>נחום רקובר, זכות היוצרים במקורות היהודיים, ירושלים תשנ"א, עמ' 125.</w:t>
      </w:r>
    </w:p>
  </w:footnote>
  <w:footnote w:id="19">
    <w:p w14:paraId="7FFD4D14" w14:textId="2EBF8D8B" w:rsidR="00B52E5C" w:rsidRPr="00B52E5C" w:rsidRDefault="00B52E5C" w:rsidP="00B52E5C">
      <w:pPr>
        <w:pStyle w:val="FootnoteText"/>
        <w:rPr>
          <w:rFonts w:hint="cs"/>
          <w:rtl/>
          <w:lang w:val="en-IL"/>
        </w:rPr>
      </w:pPr>
      <w:r>
        <w:rPr>
          <w:rStyle w:val="FootnoteReference"/>
        </w:rPr>
        <w:footnoteRef/>
      </w:r>
      <w:r w:rsidR="00046612">
        <w:rPr>
          <w:rtl/>
        </w:rPr>
        <w:t xml:space="preserve"> </w:t>
      </w:r>
      <w:r w:rsidR="00E66F4F">
        <w:rPr>
          <w:rtl/>
        </w:rPr>
        <w:tab/>
      </w:r>
      <w:r w:rsidRPr="00B52E5C">
        <w:rPr>
          <w:rtl/>
        </w:rPr>
        <w:t>שואל ומשיב, מהדורה קמא, פרק א סימן מד.</w:t>
      </w:r>
    </w:p>
  </w:footnote>
  <w:footnote w:id="20">
    <w:p w14:paraId="4BCEA289" w14:textId="31EE3473" w:rsidR="006D0983" w:rsidRPr="006D0983" w:rsidRDefault="006D0983" w:rsidP="006D0983">
      <w:pPr>
        <w:pStyle w:val="FootnoteText"/>
        <w:rPr>
          <w:rFonts w:hint="cs"/>
          <w:rtl/>
          <w:lang w:val="en-IL"/>
        </w:rPr>
      </w:pPr>
      <w:r>
        <w:rPr>
          <w:rStyle w:val="FootnoteReference"/>
        </w:rPr>
        <w:footnoteRef/>
      </w:r>
      <w:r w:rsidR="00046612">
        <w:rPr>
          <w:rtl/>
        </w:rPr>
        <w:t xml:space="preserve"> </w:t>
      </w:r>
      <w:r w:rsidR="00E66F4F">
        <w:rPr>
          <w:rtl/>
        </w:rPr>
        <w:tab/>
      </w:r>
      <w:r w:rsidRPr="006D0983">
        <w:rPr>
          <w:rtl/>
        </w:rPr>
        <w:t>ניתן גם לקרוא את דבריו באופן שבו הוא מכיר רק בזכויות הנאה ולא בבעלות מלאה, אך רבים, כגון שו"ת עמק המשפט, שו"ת פאת שדך וקובץ יסודות וחקירות הבינו אותו כסובר שיש בעלות. ראיה אחת לכך היא שהדעה הסוברת שיש טובת זכויות הנאה נותנת בדרך כלל זכות מוגבלת בזמן, כי הגישה היא שזכות ההנאה נובעת רק מצורך בהגנה על פרנסת היוצרים. דעת השואל ומשיב היא שיש "זכות עולמית", שאף ניתן להוריש. פסיקה זו מעידה על בעלות.</w:t>
      </w:r>
    </w:p>
  </w:footnote>
  <w:footnote w:id="21">
    <w:p w14:paraId="229EA732" w14:textId="2ED80E32" w:rsidR="001815E7" w:rsidRPr="001815E7" w:rsidRDefault="001815E7" w:rsidP="001815E7">
      <w:pPr>
        <w:pStyle w:val="FootnoteText"/>
        <w:rPr>
          <w:rFonts w:hint="cs"/>
          <w:rtl/>
          <w:lang w:val="en-IL"/>
        </w:rPr>
      </w:pPr>
      <w:r>
        <w:rPr>
          <w:rStyle w:val="FootnoteReference"/>
        </w:rPr>
        <w:footnoteRef/>
      </w:r>
      <w:r w:rsidR="00046612">
        <w:rPr>
          <w:rtl/>
        </w:rPr>
        <w:t xml:space="preserve"> </w:t>
      </w:r>
      <w:r w:rsidR="00E66F4F">
        <w:rPr>
          <w:rtl/>
        </w:rPr>
        <w:tab/>
      </w:r>
      <w:r w:rsidRPr="001815E7">
        <w:rPr>
          <w:rtl/>
        </w:rPr>
        <w:t>סימן קנח, ומשם כל הציטוטים להלן עד שיצויין אחרת.</w:t>
      </w:r>
    </w:p>
  </w:footnote>
  <w:footnote w:id="22">
    <w:p w14:paraId="2E296C70" w14:textId="4668E2ED" w:rsidR="006B4C70" w:rsidRDefault="006B4C70" w:rsidP="006B4C70">
      <w:pPr>
        <w:pStyle w:val="FootnoteText"/>
        <w:rPr>
          <w:rFonts w:hint="cs"/>
        </w:rPr>
      </w:pPr>
      <w:r>
        <w:rPr>
          <w:rStyle w:val="FootnoteReference"/>
        </w:rPr>
        <w:footnoteRef/>
      </w:r>
      <w:r w:rsidR="00046612">
        <w:rPr>
          <w:rtl/>
        </w:rPr>
        <w:t xml:space="preserve"> </w:t>
      </w:r>
      <w:r w:rsidR="00E66F4F">
        <w:rPr>
          <w:rtl/>
        </w:rPr>
        <w:tab/>
      </w:r>
      <w:r w:rsidRPr="006B4C70">
        <w:rPr>
          <w:rtl/>
        </w:rPr>
        <w:t>רבי שמואל דוד הכהן מונק (תרפ"ד - תשמ"א) היה רבה של הקהילה החרדית בחיפה, מחבר ספרים בהלכה, אגדה והשקפה, ונחשב כאחד האידאולוגים של נטורי קרתא. (המכלול)</w:t>
      </w:r>
    </w:p>
  </w:footnote>
  <w:footnote w:id="23">
    <w:p w14:paraId="565C91DA" w14:textId="5A2A0EAD" w:rsidR="00092BDE" w:rsidRPr="00092BDE" w:rsidRDefault="00092BDE" w:rsidP="00092BDE">
      <w:pPr>
        <w:pStyle w:val="FootnoteText"/>
        <w:rPr>
          <w:rFonts w:hint="cs"/>
          <w:lang w:val="en-IL"/>
        </w:rPr>
      </w:pPr>
      <w:r>
        <w:rPr>
          <w:rStyle w:val="FootnoteReference"/>
        </w:rPr>
        <w:footnoteRef/>
      </w:r>
      <w:r w:rsidR="00046612">
        <w:rPr>
          <w:rtl/>
        </w:rPr>
        <w:t xml:space="preserve"> </w:t>
      </w:r>
      <w:r w:rsidR="00E66F4F">
        <w:rPr>
          <w:rtl/>
        </w:rPr>
        <w:tab/>
      </w:r>
      <w:r w:rsidRPr="00092BDE">
        <w:rPr>
          <w:rtl/>
        </w:rPr>
        <w:t>למרות הפער בדורות, בחרתי בדוגמא זו כי הוא מפרט מספר רחב של קושיות כלפי השואל ומשיב, ומבטא את עיקר טענות החולקים על השואל ומשיב.</w:t>
      </w:r>
    </w:p>
  </w:footnote>
  <w:footnote w:id="24">
    <w:p w14:paraId="392E8963" w14:textId="08FCF960" w:rsidR="00613455" w:rsidRPr="00613455" w:rsidRDefault="00613455" w:rsidP="00613455">
      <w:pPr>
        <w:pStyle w:val="FootnoteText"/>
        <w:rPr>
          <w:rFonts w:hint="cs"/>
          <w:lang w:val="en-IL"/>
        </w:rPr>
      </w:pPr>
      <w:r>
        <w:rPr>
          <w:rStyle w:val="FootnoteReference"/>
        </w:rPr>
        <w:footnoteRef/>
      </w:r>
      <w:r w:rsidR="00046612">
        <w:rPr>
          <w:rtl/>
        </w:rPr>
        <w:t xml:space="preserve"> </w:t>
      </w:r>
      <w:r w:rsidR="00E66F4F">
        <w:rPr>
          <w:rtl/>
        </w:rPr>
        <w:tab/>
      </w:r>
      <w:r w:rsidRPr="00613455">
        <w:rPr>
          <w:rtl/>
        </w:rPr>
        <w:t xml:space="preserve">אם כי לעניות דעתי לא מדובר בקושי גדול מדי, וניתן לטעון שמהשלב בו היורשים (ואף אדם אחר) לא מודעים בכלל לירושתם הרי זה נהיה הפקר כאבדה בים, ותיאורטית </w:t>
      </w:r>
      <w:r w:rsidR="00212080">
        <w:rPr>
          <w:rFonts w:hint="cs"/>
          <w:rtl/>
        </w:rPr>
        <w:t xml:space="preserve">במקרים יותר מסובכים </w:t>
      </w:r>
      <w:r w:rsidRPr="00613455">
        <w:rPr>
          <w:rtl/>
        </w:rPr>
        <w:t>ניתן אפילו להיעזר בהפקר בית דין.</w:t>
      </w:r>
    </w:p>
  </w:footnote>
  <w:footnote w:id="25">
    <w:p w14:paraId="44592DC3" w14:textId="5B7463F2" w:rsidR="00EE6137" w:rsidRPr="00EE6137" w:rsidRDefault="00EE6137" w:rsidP="00EE6137">
      <w:pPr>
        <w:pStyle w:val="FootnoteText"/>
        <w:rPr>
          <w:rFonts w:hint="cs"/>
          <w:rtl/>
          <w:lang w:val="en-IL"/>
        </w:rPr>
      </w:pPr>
      <w:r>
        <w:rPr>
          <w:rStyle w:val="FootnoteReference"/>
        </w:rPr>
        <w:footnoteRef/>
      </w:r>
      <w:r w:rsidR="00046612">
        <w:rPr>
          <w:rtl/>
        </w:rPr>
        <w:t xml:space="preserve"> </w:t>
      </w:r>
      <w:r w:rsidR="00E66F4F">
        <w:rPr>
          <w:rtl/>
        </w:rPr>
        <w:tab/>
      </w:r>
      <w:r w:rsidRPr="00EE6137">
        <w:rPr>
          <w:rtl/>
        </w:rPr>
        <w:t>ולעיון בסוגיה זו עיין בשו"ת עמק המשפט חלק ד סימנים ו, ח, יא, לט.</w:t>
      </w:r>
    </w:p>
  </w:footnote>
  <w:footnote w:id="26">
    <w:p w14:paraId="1A4E9FE6" w14:textId="62EC1333" w:rsidR="008C6584" w:rsidRPr="008C6584" w:rsidRDefault="008C6584" w:rsidP="008C6584">
      <w:pPr>
        <w:pStyle w:val="FootnoteText"/>
        <w:rPr>
          <w:rFonts w:hint="cs"/>
          <w:rtl/>
          <w:lang w:val="en-IL"/>
        </w:rPr>
      </w:pPr>
      <w:r>
        <w:rPr>
          <w:rStyle w:val="FootnoteReference"/>
        </w:rPr>
        <w:footnoteRef/>
      </w:r>
      <w:r w:rsidR="00046612">
        <w:rPr>
          <w:rtl/>
        </w:rPr>
        <w:t xml:space="preserve"> </w:t>
      </w:r>
      <w:r w:rsidR="00E66F4F">
        <w:rPr>
          <w:rtl/>
        </w:rPr>
        <w:tab/>
      </w:r>
      <w:r w:rsidR="00F13248" w:rsidRPr="008C6584">
        <w:rPr>
          <w:rFonts w:hint="cs"/>
          <w:rtl/>
        </w:rPr>
        <w:t>העלית</w:t>
      </w:r>
      <w:r w:rsidR="00F13248" w:rsidRPr="008C6584">
        <w:rPr>
          <w:rFonts w:hint="eastAsia"/>
          <w:rtl/>
        </w:rPr>
        <w:t>י</w:t>
      </w:r>
      <w:r w:rsidRPr="008C6584">
        <w:rPr>
          <w:rtl/>
        </w:rPr>
        <w:t xml:space="preserve"> על דעתי שתי סיבות אפשריות לכך. הראשונה היא שסיטומתא כמנגנון מאפשר ללמוד מעשה קניין מן המנהג, אבל לא בהכרח מושא קנייני חדש לגמרי כמו יצירה ספרותית. בנוסף, יכול להיות שהשואל ומשיב היה מודע לכך שהקניין הרוחני שהוא מתאר מחמיר יותר בפועל מזכויות היוצרים שנהגו בעולם, שכללו זכויות מוגבלות ולא היו בעלות חפצית מוחלטת.</w:t>
      </w:r>
    </w:p>
  </w:footnote>
  <w:footnote w:id="27">
    <w:p w14:paraId="77C81562" w14:textId="00890F77" w:rsidR="00C64CF2" w:rsidRPr="00C64CF2" w:rsidRDefault="00C64CF2" w:rsidP="00C64CF2">
      <w:pPr>
        <w:pStyle w:val="FootnoteText"/>
        <w:rPr>
          <w:rFonts w:hint="cs"/>
          <w:rtl/>
        </w:rPr>
      </w:pPr>
      <w:r>
        <w:rPr>
          <w:rStyle w:val="FootnoteReference"/>
        </w:rPr>
        <w:footnoteRef/>
      </w:r>
      <w:r w:rsidR="00046612">
        <w:rPr>
          <w:rtl/>
        </w:rPr>
        <w:t xml:space="preserve"> </w:t>
      </w:r>
      <w:r w:rsidR="00E66F4F">
        <w:rPr>
          <w:rtl/>
        </w:rPr>
        <w:tab/>
      </w:r>
      <w:r w:rsidRPr="00C64CF2">
        <w:rPr>
          <w:rtl/>
        </w:rPr>
        <w:t xml:space="preserve">אם כי </w:t>
      </w:r>
      <w:proofErr w:type="spellStart"/>
      <w:r w:rsidRPr="00C64CF2">
        <w:rPr>
          <w:rtl/>
        </w:rPr>
        <w:t>הנצי</w:t>
      </w:r>
      <w:proofErr w:type="spellEnd"/>
      <w:r w:rsidRPr="00C64CF2">
        <w:t>"</w:t>
      </w:r>
      <w:r w:rsidRPr="00C64CF2">
        <w:rPr>
          <w:rtl/>
        </w:rPr>
        <w:t xml:space="preserve">ב טען שניתן לבסס בעלות על יצירה על בסיס דברי </w:t>
      </w:r>
      <w:proofErr w:type="spellStart"/>
      <w:r w:rsidRPr="00C64CF2">
        <w:rPr>
          <w:rtl/>
        </w:rPr>
        <w:t>חז</w:t>
      </w:r>
      <w:proofErr w:type="spellEnd"/>
      <w:r w:rsidRPr="00C64CF2">
        <w:t>"</w:t>
      </w:r>
      <w:r w:rsidRPr="00C64CF2">
        <w:rPr>
          <w:rtl/>
        </w:rPr>
        <w:t>ל, ובשיטתו עסקתי מעט בנספח למאמר זה</w:t>
      </w:r>
      <w:r w:rsidRPr="00C64CF2">
        <w:t>.</w:t>
      </w:r>
    </w:p>
  </w:footnote>
  <w:footnote w:id="28">
    <w:p w14:paraId="3D9E6841" w14:textId="201B1677" w:rsidR="00A83498" w:rsidRPr="00A83498" w:rsidRDefault="00A83498" w:rsidP="00A83498">
      <w:pPr>
        <w:pStyle w:val="FootnoteText"/>
        <w:rPr>
          <w:rFonts w:hint="cs"/>
          <w:rtl/>
          <w:lang w:val="en-IL"/>
        </w:rPr>
      </w:pPr>
      <w:r>
        <w:rPr>
          <w:rStyle w:val="FootnoteReference"/>
        </w:rPr>
        <w:footnoteRef/>
      </w:r>
      <w:r w:rsidR="00046612">
        <w:rPr>
          <w:rtl/>
        </w:rPr>
        <w:t xml:space="preserve"> </w:t>
      </w:r>
      <w:r w:rsidR="00E66F4F">
        <w:rPr>
          <w:rtl/>
        </w:rPr>
        <w:tab/>
      </w:r>
      <w:r w:rsidRPr="00A83498">
        <w:rPr>
          <w:rtl/>
        </w:rPr>
        <w:t>יאיר פורסטנברג מציע שהשיח המשפטי הרומי סיפק רקע שאל מולו התארגנה ההלכה התנאית בדיני ממון (בין אם על מנת להציע מערכת אחרת, ובין אם לאמץ את המערכת הרומאית)</w:t>
      </w:r>
      <w:r w:rsidR="00D86053">
        <w:rPr>
          <w:rFonts w:hint="cs"/>
          <w:rtl/>
        </w:rPr>
        <w:t>.</w:t>
      </w:r>
      <w:r w:rsidRPr="00A83498">
        <w:rPr>
          <w:rtl/>
        </w:rPr>
        <w:t xml:space="preserve"> עיין: יאיר פורסטנברג, 'קניין וחזקה: ההלכה התנאית בין הקשרים משפטיים משתנים', </w:t>
      </w:r>
      <w:r w:rsidRPr="00A83498">
        <w:rPr>
          <w:i/>
          <w:iCs/>
          <w:rtl/>
        </w:rPr>
        <w:t>שנתון המשפט העברי</w:t>
      </w:r>
      <w:r w:rsidRPr="00A83498">
        <w:rPr>
          <w:rtl/>
        </w:rPr>
        <w:t>, כרך לג (תשפ"ה), עמ' 425-381.</w:t>
      </w:r>
    </w:p>
  </w:footnote>
  <w:footnote w:id="29">
    <w:p w14:paraId="78281111" w14:textId="091CC801" w:rsidR="00604A7C" w:rsidRPr="00604A7C" w:rsidRDefault="00604A7C" w:rsidP="00604A7C">
      <w:pPr>
        <w:pStyle w:val="FootnoteText"/>
        <w:rPr>
          <w:rFonts w:hint="cs"/>
          <w:rtl/>
          <w:lang w:val="en-IL"/>
        </w:rPr>
      </w:pPr>
      <w:r>
        <w:rPr>
          <w:rStyle w:val="FootnoteReference"/>
        </w:rPr>
        <w:footnoteRef/>
      </w:r>
      <w:r w:rsidR="00046612">
        <w:rPr>
          <w:rtl/>
        </w:rPr>
        <w:t xml:space="preserve"> </w:t>
      </w:r>
      <w:r w:rsidR="00E66F4F">
        <w:rPr>
          <w:rtl/>
        </w:rPr>
        <w:tab/>
      </w:r>
      <w:r w:rsidRPr="00604A7C">
        <w:rPr>
          <w:rtl/>
        </w:rPr>
        <w:t xml:space="preserve">הסכמה של שכל וחוש צדק, לא הסכמה אינטרסנטית </w:t>
      </w:r>
      <w:r w:rsidR="00075F83">
        <w:rPr>
          <w:rFonts w:hint="cs"/>
          <w:rtl/>
        </w:rPr>
        <w:t xml:space="preserve">בסגנון תורת המשחקים </w:t>
      </w:r>
      <w:r w:rsidR="00E80D84">
        <w:rPr>
          <w:rFonts w:hint="cs"/>
          <w:rtl/>
        </w:rPr>
        <w:t>המזוהה עם</w:t>
      </w:r>
      <w:r w:rsidRPr="00604A7C">
        <w:rPr>
          <w:rtl/>
        </w:rPr>
        <w:t xml:space="preserve"> קניין זכויותי.</w:t>
      </w:r>
    </w:p>
  </w:footnote>
  <w:footnote w:id="30">
    <w:p w14:paraId="7CA52D28" w14:textId="70F4F2A4" w:rsidR="00FD7330" w:rsidRPr="00FD7330" w:rsidRDefault="00FD7330" w:rsidP="00FD7330">
      <w:pPr>
        <w:pStyle w:val="FootnoteText"/>
        <w:rPr>
          <w:rFonts w:hint="cs"/>
          <w:rtl/>
          <w:lang w:val="en-IL"/>
        </w:rPr>
      </w:pPr>
      <w:r>
        <w:rPr>
          <w:rStyle w:val="FootnoteReference"/>
        </w:rPr>
        <w:footnoteRef/>
      </w:r>
      <w:r w:rsidR="00046612">
        <w:rPr>
          <w:rtl/>
        </w:rPr>
        <w:t xml:space="preserve"> </w:t>
      </w:r>
      <w:r w:rsidR="00E66F4F">
        <w:rPr>
          <w:rtl/>
        </w:rPr>
        <w:tab/>
      </w:r>
      <w:r w:rsidRPr="00FD7330">
        <w:rPr>
          <w:rtl/>
        </w:rPr>
        <w:t>תלמוד בבלי מסכת בבא קמא דף מו עמוד ב</w:t>
      </w:r>
    </w:p>
  </w:footnote>
  <w:footnote w:id="31">
    <w:p w14:paraId="15D1BE1B" w14:textId="4DB69A47" w:rsidR="00892CD0" w:rsidRPr="00892CD0" w:rsidRDefault="00892CD0" w:rsidP="00892CD0">
      <w:pPr>
        <w:pStyle w:val="FootnoteText"/>
        <w:rPr>
          <w:rFonts w:hint="cs"/>
          <w:rtl/>
          <w:lang w:val="en-IL"/>
        </w:rPr>
      </w:pPr>
      <w:r>
        <w:rPr>
          <w:rStyle w:val="FootnoteReference"/>
        </w:rPr>
        <w:footnoteRef/>
      </w:r>
      <w:r w:rsidR="00046612">
        <w:rPr>
          <w:rtl/>
        </w:rPr>
        <w:t xml:space="preserve"> </w:t>
      </w:r>
      <w:r w:rsidR="00E66F4F">
        <w:rPr>
          <w:rtl/>
        </w:rPr>
        <w:tab/>
      </w:r>
      <w:r w:rsidRPr="00892CD0">
        <w:rPr>
          <w:rtl/>
        </w:rPr>
        <w:t xml:space="preserve">אפשר לאמר שר' שמואל בר נחמני משקף פה תפיסה שבה המקור לכל דיני הממון הוא מהתורה, ולכן צריך להוכיח כל כלל ממוני מהתורה. עם זאת, ניתן גם לאמר שהוא מביא את הראיה מהתורה כדוגמא ספרותית לשימוש בכלל המהווה תקדים משפטי, כמו </w:t>
      </w:r>
      <w:r w:rsidR="00BB478A">
        <w:rPr>
          <w:rFonts w:hint="cs"/>
          <w:rtl/>
        </w:rPr>
        <w:t>השימוש ב</w:t>
      </w:r>
      <w:r w:rsidRPr="00892CD0">
        <w:rPr>
          <w:rtl/>
        </w:rPr>
        <w:t>שדה עפרון שאזכיר בהמשך.</w:t>
      </w:r>
    </w:p>
  </w:footnote>
  <w:footnote w:id="32">
    <w:p w14:paraId="0A75377B" w14:textId="046DF48D" w:rsidR="000F1586" w:rsidRPr="000F1586" w:rsidRDefault="000F1586" w:rsidP="000F1586">
      <w:pPr>
        <w:pStyle w:val="FootnoteText"/>
        <w:rPr>
          <w:rFonts w:hint="cs"/>
          <w:rtl/>
          <w:lang w:val="en-IL"/>
        </w:rPr>
      </w:pPr>
      <w:r>
        <w:rPr>
          <w:rStyle w:val="FootnoteReference"/>
        </w:rPr>
        <w:footnoteRef/>
      </w:r>
      <w:r w:rsidR="00046612">
        <w:rPr>
          <w:rtl/>
        </w:rPr>
        <w:t xml:space="preserve"> </w:t>
      </w:r>
      <w:r w:rsidR="00E66F4F">
        <w:rPr>
          <w:rtl/>
        </w:rPr>
        <w:tab/>
      </w:r>
      <w:r w:rsidRPr="000F1586">
        <w:rPr>
          <w:rtl/>
        </w:rPr>
        <w:t>שערי יושר, שער ה, פרק א</w:t>
      </w:r>
    </w:p>
  </w:footnote>
  <w:footnote w:id="33">
    <w:p w14:paraId="32C0CCB9" w14:textId="392C2F8B" w:rsidR="00F61C73" w:rsidRPr="00F61C73" w:rsidRDefault="00F61C73" w:rsidP="00F61C73">
      <w:pPr>
        <w:pStyle w:val="FootnoteText"/>
        <w:rPr>
          <w:rFonts w:hint="cs"/>
          <w:rtl/>
          <w:lang w:val="en-IL"/>
        </w:rPr>
      </w:pPr>
      <w:r>
        <w:rPr>
          <w:rStyle w:val="FootnoteReference"/>
        </w:rPr>
        <w:footnoteRef/>
      </w:r>
      <w:r w:rsidR="00046612">
        <w:rPr>
          <w:rtl/>
        </w:rPr>
        <w:t xml:space="preserve"> </w:t>
      </w:r>
      <w:r w:rsidR="00E66F4F">
        <w:rPr>
          <w:rtl/>
        </w:rPr>
        <w:tab/>
      </w:r>
      <w:r w:rsidRPr="00F61C73">
        <w:rPr>
          <w:rtl/>
        </w:rPr>
        <w:t>תלמוד בבלי מסכת קידושין דף ב עמוד א</w:t>
      </w:r>
    </w:p>
  </w:footnote>
  <w:footnote w:id="34">
    <w:p w14:paraId="6A4702D5" w14:textId="58DB9539" w:rsidR="00CF4A63" w:rsidRPr="00CF4A63" w:rsidRDefault="00CF4A63" w:rsidP="00CF4A63">
      <w:pPr>
        <w:pStyle w:val="FootnoteText"/>
        <w:rPr>
          <w:rFonts w:hint="cs"/>
          <w:rtl/>
        </w:rPr>
      </w:pPr>
      <w:r>
        <w:rPr>
          <w:rStyle w:val="FootnoteReference"/>
        </w:rPr>
        <w:footnoteRef/>
      </w:r>
      <w:r w:rsidR="00046612">
        <w:rPr>
          <w:rtl/>
        </w:rPr>
        <w:t xml:space="preserve"> </w:t>
      </w:r>
      <w:r w:rsidR="00E66F4F">
        <w:rPr>
          <w:rtl/>
        </w:rPr>
        <w:tab/>
      </w:r>
      <w:r w:rsidRPr="00CF4A63">
        <w:rPr>
          <w:rtl/>
        </w:rPr>
        <w:t xml:space="preserve">מלבד הרב יעקב אברהם כהן (עמק המשפט חלק ד סימן א) שטען שהעובדה שפוסקים מסוימים חולקים על השואל ומשיב מעידה שלא כל אחד אכן סובר בשכלו שיש קניין רוחני, ולאור זאת </w:t>
      </w:r>
      <w:r w:rsidR="00C1472B">
        <w:rPr>
          <w:rFonts w:hint="cs"/>
          <w:rtl/>
        </w:rPr>
        <w:t xml:space="preserve">הסברה השכלית </w:t>
      </w:r>
      <w:r w:rsidRPr="00CF4A63">
        <w:rPr>
          <w:rtl/>
        </w:rPr>
        <w:t>אינ</w:t>
      </w:r>
      <w:r w:rsidR="00C1472B">
        <w:rPr>
          <w:rFonts w:hint="cs"/>
          <w:rtl/>
        </w:rPr>
        <w:t>ה</w:t>
      </w:r>
      <w:r w:rsidRPr="00CF4A63">
        <w:rPr>
          <w:rtl/>
        </w:rPr>
        <w:t xml:space="preserve"> יכול</w:t>
      </w:r>
      <w:r w:rsidR="000500C9">
        <w:rPr>
          <w:rFonts w:hint="cs"/>
          <w:rtl/>
        </w:rPr>
        <w:t>ה</w:t>
      </w:r>
      <w:r w:rsidRPr="00CF4A63">
        <w:rPr>
          <w:rtl/>
        </w:rPr>
        <w:t xml:space="preserve"> לשמש כטיעון. אך לעניות דעתי התודעה של זיקה בין אדם ליצירתו, לפחות בדורות האחרונים, הינה תופעה </w:t>
      </w:r>
      <w:r w:rsidR="008A3F28">
        <w:rPr>
          <w:rFonts w:hint="cs"/>
          <w:rtl/>
        </w:rPr>
        <w:t>רחבה</w:t>
      </w:r>
      <w:r w:rsidRPr="00CF4A63">
        <w:rPr>
          <w:rtl/>
        </w:rPr>
        <w:t>, ונראה שהפוסקים חלקו על השואל ומשיב מסיבות אחרות, כמו שפירט הרב מונק</w:t>
      </w:r>
      <w:r w:rsidRPr="00CF4A63">
        <w:t>.</w:t>
      </w:r>
    </w:p>
  </w:footnote>
  <w:footnote w:id="35">
    <w:p w14:paraId="43B4E73D" w14:textId="31A43CB7" w:rsidR="00ED72AB" w:rsidRPr="00ED72AB" w:rsidRDefault="00ED72AB" w:rsidP="00ED72AB">
      <w:pPr>
        <w:pStyle w:val="FootnoteText"/>
        <w:rPr>
          <w:rFonts w:hint="cs"/>
          <w:rtl/>
          <w:lang w:val="en-IL"/>
        </w:rPr>
      </w:pPr>
      <w:r>
        <w:rPr>
          <w:rStyle w:val="FootnoteReference"/>
        </w:rPr>
        <w:footnoteRef/>
      </w:r>
      <w:r w:rsidR="00046612">
        <w:rPr>
          <w:rtl/>
        </w:rPr>
        <w:t xml:space="preserve"> </w:t>
      </w:r>
      <w:r w:rsidR="00E66F4F">
        <w:rPr>
          <w:rtl/>
        </w:rPr>
        <w:tab/>
      </w:r>
      <w:r w:rsidRPr="00ED72AB">
        <w:rPr>
          <w:rtl/>
        </w:rPr>
        <w:t>שו"ת משיב דבר חלק א סימן כד</w:t>
      </w:r>
    </w:p>
  </w:footnote>
  <w:footnote w:id="36">
    <w:p w14:paraId="51630007" w14:textId="2959B3B1" w:rsidR="00245D85" w:rsidRPr="00245D85" w:rsidRDefault="00245D85" w:rsidP="00245D85">
      <w:pPr>
        <w:pStyle w:val="FootnoteText"/>
        <w:rPr>
          <w:rFonts w:hint="cs"/>
          <w:rtl/>
          <w:lang w:val="en-IL"/>
        </w:rPr>
      </w:pPr>
      <w:r>
        <w:rPr>
          <w:rStyle w:val="FootnoteReference"/>
        </w:rPr>
        <w:footnoteRef/>
      </w:r>
      <w:r w:rsidR="00046612">
        <w:rPr>
          <w:rtl/>
        </w:rPr>
        <w:t xml:space="preserve"> </w:t>
      </w:r>
      <w:r w:rsidR="00E66F4F">
        <w:rPr>
          <w:rtl/>
        </w:rPr>
        <w:tab/>
      </w:r>
      <w:r w:rsidRPr="00245D85">
        <w:rPr>
          <w:rtl/>
        </w:rPr>
        <w:t>תלמוד בבלי מסכת עבודה זרה דף יט עמוד א </w:t>
      </w:r>
    </w:p>
  </w:footnote>
  <w:footnote w:id="37">
    <w:p w14:paraId="13A2D670" w14:textId="1EA6C46C" w:rsidR="00CA1DD7" w:rsidRPr="00CA1DD7" w:rsidRDefault="00CA1DD7" w:rsidP="00CA1DD7">
      <w:pPr>
        <w:pStyle w:val="FootnoteText"/>
        <w:rPr>
          <w:rFonts w:hint="cs"/>
          <w:rtl/>
          <w:lang w:val="en-IL"/>
        </w:rPr>
      </w:pPr>
      <w:r>
        <w:rPr>
          <w:rStyle w:val="FootnoteReference"/>
        </w:rPr>
        <w:footnoteRef/>
      </w:r>
      <w:r w:rsidR="00046612">
        <w:rPr>
          <w:rtl/>
        </w:rPr>
        <w:t xml:space="preserve"> </w:t>
      </w:r>
      <w:r w:rsidR="00E66F4F">
        <w:rPr>
          <w:rtl/>
        </w:rPr>
        <w:tab/>
      </w:r>
      <w:r w:rsidRPr="00CA1DD7">
        <w:rPr>
          <w:rtl/>
        </w:rPr>
        <w:t>תלמוד בבלי מסכת עירובין דף נד עמוד א</w:t>
      </w:r>
    </w:p>
  </w:footnote>
  <w:footnote w:id="38">
    <w:p w14:paraId="75B788E5" w14:textId="4513BAC3" w:rsidR="00163695" w:rsidRPr="00163695" w:rsidRDefault="00163695" w:rsidP="00163695">
      <w:pPr>
        <w:pStyle w:val="FootnoteText"/>
        <w:rPr>
          <w:rFonts w:hint="cs"/>
          <w:lang w:val="en-IL"/>
        </w:rPr>
      </w:pPr>
      <w:r>
        <w:rPr>
          <w:rStyle w:val="FootnoteReference"/>
        </w:rPr>
        <w:footnoteRef/>
      </w:r>
      <w:r w:rsidR="00046612">
        <w:rPr>
          <w:rtl/>
        </w:rPr>
        <w:t xml:space="preserve"> </w:t>
      </w:r>
      <w:r w:rsidRPr="00163695">
        <w:rPr>
          <w:rtl/>
        </w:rPr>
        <w:t> </w:t>
      </w:r>
      <w:r w:rsidR="00E66F4F">
        <w:rPr>
          <w:rtl/>
        </w:rPr>
        <w:tab/>
      </w:r>
      <w:r w:rsidRPr="00163695">
        <w:rPr>
          <w:rtl/>
        </w:rPr>
        <w:t>שו"ת משיב דבר חלק א סימן כד</w:t>
      </w:r>
    </w:p>
  </w:footnote>
  <w:footnote w:id="39">
    <w:p w14:paraId="463DCAC4" w14:textId="510ED543" w:rsidR="00787C78" w:rsidRPr="00787C78" w:rsidRDefault="00787C78" w:rsidP="00787C78">
      <w:pPr>
        <w:pStyle w:val="FootnoteText"/>
        <w:rPr>
          <w:rFonts w:hint="cs"/>
          <w:rtl/>
          <w:lang w:val="en-IL"/>
        </w:rPr>
      </w:pPr>
      <w:r>
        <w:rPr>
          <w:rStyle w:val="FootnoteReference"/>
        </w:rPr>
        <w:footnoteRef/>
      </w:r>
      <w:r w:rsidR="00046612">
        <w:rPr>
          <w:rtl/>
        </w:rPr>
        <w:t xml:space="preserve"> </w:t>
      </w:r>
      <w:r w:rsidR="00E66F4F">
        <w:rPr>
          <w:rtl/>
        </w:rPr>
        <w:tab/>
      </w:r>
      <w:r w:rsidRPr="00787C78">
        <w:rPr>
          <w:rtl/>
        </w:rPr>
        <w:t xml:space="preserve">הרב יעקב אברהם כהן, שו"ת עמק המשפט חלק ד: זכויות יוצרים, קונטרס "בעלות על יצירה", סימן ג, עמ' </w:t>
      </w:r>
      <w:proofErr w:type="spellStart"/>
      <w:r w:rsidRPr="00787C78">
        <w:rPr>
          <w:rtl/>
        </w:rPr>
        <w:t>יח</w:t>
      </w:r>
      <w:proofErr w:type="spellEnd"/>
    </w:p>
  </w:footnote>
  <w:footnote w:id="40">
    <w:p w14:paraId="56AC779C" w14:textId="66A949E2" w:rsidR="0094162C" w:rsidRPr="0094162C" w:rsidRDefault="0094162C" w:rsidP="0094162C">
      <w:pPr>
        <w:pStyle w:val="FootnoteText"/>
        <w:rPr>
          <w:rFonts w:hint="cs"/>
          <w:lang w:val="en-IL"/>
        </w:rPr>
      </w:pPr>
      <w:r>
        <w:rPr>
          <w:rStyle w:val="FootnoteReference"/>
        </w:rPr>
        <w:footnoteRef/>
      </w:r>
      <w:r w:rsidR="00046612">
        <w:rPr>
          <w:rtl/>
        </w:rPr>
        <w:t xml:space="preserve"> </w:t>
      </w:r>
      <w:r w:rsidR="00E66F4F">
        <w:rPr>
          <w:rtl/>
        </w:rPr>
        <w:tab/>
      </w:r>
      <w:r w:rsidRPr="0094162C">
        <w:rPr>
          <w:rtl/>
        </w:rPr>
        <w:t xml:space="preserve">עיין למשל בשו"ת עמק המשפט (הערה </w:t>
      </w:r>
      <w:r w:rsidR="00F34A96">
        <w:rPr>
          <w:rFonts w:hint="cs"/>
          <w:rtl/>
        </w:rPr>
        <w:t>39</w:t>
      </w:r>
      <w:r w:rsidRPr="0094162C">
        <w:rPr>
          <w:rtl/>
        </w:rPr>
        <w:t>) סימנים ו, ח, יא, יב, לט שמביא סברות של פוסקים שונים בנושא.</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D11F9" w14:textId="0C8B5AA7" w:rsidR="00612B20" w:rsidRPr="005F33A2" w:rsidRDefault="00612B20" w:rsidP="00C87786">
    <w:pPr>
      <w:pStyle w:val="Header"/>
      <w:tabs>
        <w:tab w:val="clear" w:pos="4153"/>
        <w:tab w:val="clear" w:pos="8306"/>
        <w:tab w:val="center" w:pos="3402"/>
        <w:tab w:val="right" w:pos="6804"/>
      </w:tabs>
      <w:ind w:firstLine="0"/>
      <w:rPr>
        <w:rFonts w:ascii="Heebo Light" w:hAnsi="Heebo Light" w:cs="Heebo Light"/>
        <w:noProof/>
        <w:sz w:val="18"/>
        <w:szCs w:val="18"/>
      </w:rPr>
    </w:pPr>
    <w:r w:rsidRPr="005F33A2">
      <w:rPr>
        <w:rFonts w:ascii="Heebo Light" w:hAnsi="Heebo Light" w:cs="Heebo Light"/>
        <w:noProof/>
        <w:sz w:val="18"/>
        <w:szCs w:val="18"/>
        <w:rtl/>
      </w:rPr>
      <w:fldChar w:fldCharType="begin"/>
    </w:r>
    <w:r w:rsidRPr="005F33A2">
      <w:rPr>
        <w:rFonts w:ascii="Heebo Light" w:hAnsi="Heebo Light" w:cs="Heebo Light"/>
        <w:noProof/>
        <w:sz w:val="18"/>
        <w:szCs w:val="18"/>
        <w:rtl/>
      </w:rPr>
      <w:instrText xml:space="preserve"> </w:instrText>
    </w:r>
    <w:r w:rsidRPr="005F33A2">
      <w:rPr>
        <w:rFonts w:ascii="Heebo Light" w:hAnsi="Heebo Light" w:cs="Heebo Light"/>
        <w:noProof/>
        <w:sz w:val="18"/>
        <w:szCs w:val="18"/>
      </w:rPr>
      <w:instrText xml:space="preserve">PAGE   \* MERGEFORMAT </w:instrText>
    </w:r>
    <w:r w:rsidRPr="005F33A2">
      <w:rPr>
        <w:rFonts w:ascii="Heebo Light" w:hAnsi="Heebo Light" w:cs="Heebo Light"/>
        <w:noProof/>
        <w:sz w:val="18"/>
        <w:szCs w:val="18"/>
        <w:rtl/>
      </w:rPr>
      <w:fldChar w:fldCharType="separate"/>
    </w:r>
    <w:r w:rsidR="00987353" w:rsidRPr="005F33A2">
      <w:rPr>
        <w:rFonts w:ascii="Heebo Light" w:hAnsi="Heebo Light" w:cs="Heebo Light"/>
        <w:noProof/>
        <w:sz w:val="18"/>
        <w:szCs w:val="18"/>
        <w:rtl/>
      </w:rPr>
      <w:t>2</w:t>
    </w:r>
    <w:r w:rsidRPr="005F33A2">
      <w:rPr>
        <w:rFonts w:ascii="Heebo Light" w:hAnsi="Heebo Light" w:cs="Heebo Light"/>
        <w:noProof/>
        <w:sz w:val="18"/>
        <w:szCs w:val="18"/>
        <w:rtl/>
      </w:rPr>
      <w:fldChar w:fldCharType="end"/>
    </w:r>
    <w:r w:rsidRPr="005F33A2">
      <w:rPr>
        <w:rFonts w:ascii="Heebo Light" w:hAnsi="Heebo Light" w:cs="Heebo Light"/>
        <w:noProof/>
        <w:sz w:val="18"/>
        <w:szCs w:val="18"/>
        <w:rtl/>
      </w:rPr>
      <w:tab/>
    </w:r>
    <w:r w:rsidR="007A671B" w:rsidRPr="005F33A2">
      <w:rPr>
        <w:rFonts w:ascii="Heebo Light" w:hAnsi="Heebo Light" w:cs="Heebo Light"/>
        <w:noProof/>
        <w:sz w:val="18"/>
        <w:szCs w:val="18"/>
      </w:rPr>
      <w:fldChar w:fldCharType="begin"/>
    </w:r>
    <w:r w:rsidR="007A671B" w:rsidRPr="005F33A2">
      <w:rPr>
        <w:rFonts w:ascii="Heebo Light" w:hAnsi="Heebo Light" w:cs="Heebo Light"/>
        <w:noProof/>
        <w:sz w:val="18"/>
        <w:szCs w:val="18"/>
      </w:rPr>
      <w:instrText xml:space="preserve"> STYLEREF  </w:instrText>
    </w:r>
    <w:r w:rsidR="007A671B" w:rsidRPr="005F33A2">
      <w:rPr>
        <w:rFonts w:ascii="Heebo Light" w:hAnsi="Heebo Light" w:cs="Heebo Light"/>
        <w:noProof/>
        <w:sz w:val="18"/>
        <w:szCs w:val="18"/>
        <w:rtl/>
      </w:rPr>
      <w:instrText>מחבר</w:instrText>
    </w:r>
    <w:r w:rsidR="007A671B" w:rsidRPr="005F33A2">
      <w:rPr>
        <w:rFonts w:ascii="Heebo Light" w:hAnsi="Heebo Light" w:cs="Heebo Light"/>
        <w:noProof/>
        <w:sz w:val="18"/>
        <w:szCs w:val="18"/>
      </w:rPr>
      <w:instrText xml:space="preserve">  \* MERGEFORMAT </w:instrText>
    </w:r>
    <w:r w:rsidR="00E125F0">
      <w:rPr>
        <w:rFonts w:ascii="Heebo Light" w:hAnsi="Heebo Light" w:cs="Heebo Light"/>
        <w:noProof/>
        <w:sz w:val="18"/>
        <w:szCs w:val="18"/>
      </w:rPr>
      <w:fldChar w:fldCharType="separate"/>
    </w:r>
    <w:r w:rsidR="00D94758">
      <w:rPr>
        <w:rFonts w:ascii="Heebo Light" w:hAnsi="Heebo Light" w:cs="Heebo Light"/>
        <w:noProof/>
        <w:sz w:val="18"/>
        <w:szCs w:val="18"/>
        <w:rtl/>
      </w:rPr>
      <w:t>איתמר סולטניק</w:t>
    </w:r>
    <w:r w:rsidR="007A671B" w:rsidRPr="005F33A2">
      <w:rPr>
        <w:rFonts w:ascii="Heebo Light" w:hAnsi="Heebo Light" w:cs="Heebo Light"/>
        <w:noProof/>
        <w:sz w:val="18"/>
        <w:szCs w:val="1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40710" w14:textId="2BBF183E" w:rsidR="00612B20" w:rsidRPr="005F33A2" w:rsidRDefault="00612B20" w:rsidP="00C87786">
    <w:pPr>
      <w:pStyle w:val="Header"/>
      <w:tabs>
        <w:tab w:val="clear" w:pos="4153"/>
        <w:tab w:val="clear" w:pos="8306"/>
        <w:tab w:val="center" w:pos="3402"/>
        <w:tab w:val="right" w:pos="6804"/>
      </w:tabs>
      <w:ind w:firstLine="0"/>
      <w:rPr>
        <w:rFonts w:ascii="Heebo Light" w:hAnsi="Heebo Light" w:cs="Heebo Light"/>
        <w:noProof/>
        <w:sz w:val="18"/>
        <w:szCs w:val="18"/>
      </w:rPr>
    </w:pPr>
    <w:r w:rsidRPr="005F33A2">
      <w:rPr>
        <w:rFonts w:ascii="Heebo Light" w:hAnsi="Heebo Light" w:cs="Heebo Light"/>
        <w:noProof/>
        <w:sz w:val="18"/>
        <w:szCs w:val="18"/>
        <w:rtl/>
      </w:rPr>
      <w:tab/>
    </w:r>
    <w:r w:rsidR="00B37ADE">
      <w:rPr>
        <w:rFonts w:ascii="Heebo Light" w:hAnsi="Heebo Light" w:cs="Heebo Light"/>
        <w:noProof/>
        <w:sz w:val="18"/>
        <w:szCs w:val="18"/>
        <w:rtl/>
      </w:rPr>
      <w:fldChar w:fldCharType="begin"/>
    </w:r>
    <w:r w:rsidR="00B37ADE">
      <w:rPr>
        <w:rFonts w:ascii="Heebo Light" w:hAnsi="Heebo Light" w:cs="Heebo Light"/>
        <w:noProof/>
        <w:sz w:val="18"/>
        <w:szCs w:val="18"/>
        <w:rtl/>
      </w:rPr>
      <w:instrText xml:space="preserve"> </w:instrText>
    </w:r>
    <w:r w:rsidR="00B37ADE">
      <w:rPr>
        <w:rFonts w:ascii="Heebo Light" w:hAnsi="Heebo Light" w:cs="Heebo Light"/>
        <w:noProof/>
        <w:sz w:val="18"/>
        <w:szCs w:val="18"/>
      </w:rPr>
      <w:instrText>STYLEREF  Title  \* MERGEFORMAT</w:instrText>
    </w:r>
    <w:r w:rsidR="00B37ADE">
      <w:rPr>
        <w:rFonts w:ascii="Heebo Light" w:hAnsi="Heebo Light" w:cs="Heebo Light"/>
        <w:noProof/>
        <w:sz w:val="18"/>
        <w:szCs w:val="18"/>
        <w:rtl/>
      </w:rPr>
      <w:instrText xml:space="preserve"> </w:instrText>
    </w:r>
    <w:r w:rsidR="00B37ADE">
      <w:rPr>
        <w:rFonts w:ascii="Heebo Light" w:hAnsi="Heebo Light" w:cs="Heebo Light"/>
        <w:noProof/>
        <w:sz w:val="18"/>
        <w:szCs w:val="18"/>
        <w:rtl/>
      </w:rPr>
      <w:fldChar w:fldCharType="separate"/>
    </w:r>
    <w:r w:rsidR="00D94758">
      <w:rPr>
        <w:rFonts w:ascii="Heebo Light" w:hAnsi="Heebo Light" w:cs="Heebo Light"/>
        <w:noProof/>
        <w:sz w:val="18"/>
        <w:szCs w:val="18"/>
        <w:rtl/>
      </w:rPr>
      <w:t>קניין רוחני כאבן בוחן של תפיסת הממון בהלכה</w:t>
    </w:r>
    <w:r w:rsidR="00B37ADE">
      <w:rPr>
        <w:rFonts w:ascii="Heebo Light" w:hAnsi="Heebo Light" w:cs="Heebo Light"/>
        <w:noProof/>
        <w:sz w:val="18"/>
        <w:szCs w:val="18"/>
        <w:rtl/>
      </w:rPr>
      <w:fldChar w:fldCharType="end"/>
    </w:r>
    <w:r w:rsidRPr="005F33A2">
      <w:rPr>
        <w:rFonts w:ascii="Heebo Light" w:hAnsi="Heebo Light" w:cs="Heebo Light"/>
        <w:noProof/>
        <w:sz w:val="18"/>
        <w:szCs w:val="18"/>
        <w:rtl/>
      </w:rPr>
      <w:tab/>
    </w:r>
    <w:r w:rsidRPr="005F33A2">
      <w:rPr>
        <w:rFonts w:ascii="Heebo Light" w:hAnsi="Heebo Light" w:cs="Heebo Light"/>
        <w:noProof/>
        <w:sz w:val="18"/>
        <w:szCs w:val="18"/>
        <w:rtl/>
      </w:rPr>
      <w:fldChar w:fldCharType="begin"/>
    </w:r>
    <w:r w:rsidRPr="005F33A2">
      <w:rPr>
        <w:rFonts w:ascii="Heebo Light" w:hAnsi="Heebo Light" w:cs="Heebo Light"/>
        <w:noProof/>
        <w:sz w:val="18"/>
        <w:szCs w:val="18"/>
        <w:rtl/>
      </w:rPr>
      <w:instrText xml:space="preserve"> </w:instrText>
    </w:r>
    <w:r w:rsidRPr="005F33A2">
      <w:rPr>
        <w:rFonts w:ascii="Heebo Light" w:hAnsi="Heebo Light" w:cs="Heebo Light"/>
        <w:noProof/>
        <w:sz w:val="18"/>
        <w:szCs w:val="18"/>
      </w:rPr>
      <w:instrText xml:space="preserve">PAGE   \* MERGEFORMAT </w:instrText>
    </w:r>
    <w:r w:rsidRPr="005F33A2">
      <w:rPr>
        <w:rFonts w:ascii="Heebo Light" w:hAnsi="Heebo Light" w:cs="Heebo Light"/>
        <w:noProof/>
        <w:sz w:val="18"/>
        <w:szCs w:val="18"/>
        <w:rtl/>
      </w:rPr>
      <w:fldChar w:fldCharType="separate"/>
    </w:r>
    <w:r w:rsidR="00987353" w:rsidRPr="005F33A2">
      <w:rPr>
        <w:rFonts w:ascii="Heebo Light" w:hAnsi="Heebo Light" w:cs="Heebo Light"/>
        <w:noProof/>
        <w:sz w:val="18"/>
        <w:szCs w:val="18"/>
        <w:rtl/>
      </w:rPr>
      <w:t>3</w:t>
    </w:r>
    <w:r w:rsidRPr="005F33A2">
      <w:rPr>
        <w:rFonts w:ascii="Heebo Light" w:hAnsi="Heebo Light" w:cs="Heebo Light"/>
        <w:noProof/>
        <w:sz w:val="18"/>
        <w:szCs w:val="18"/>
        <w:rtl/>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5F7E7" w14:textId="77777777" w:rsidR="00612B20" w:rsidRPr="005F33A2" w:rsidRDefault="00612B20" w:rsidP="00C87786">
    <w:pPr>
      <w:pStyle w:val="Header"/>
      <w:tabs>
        <w:tab w:val="clear" w:pos="4153"/>
        <w:tab w:val="clear" w:pos="8306"/>
        <w:tab w:val="center" w:pos="3544"/>
        <w:tab w:val="right" w:pos="6804"/>
      </w:tabs>
      <w:ind w:firstLine="0"/>
      <w:rPr>
        <w:rFonts w:ascii="Heebo Light" w:hAnsi="Heebo Light" w:cs="Heebo Light"/>
        <w:noProof/>
        <w:sz w:val="18"/>
        <w:szCs w:val="18"/>
      </w:rPr>
    </w:pPr>
    <w:r w:rsidRPr="005F33A2">
      <w:rPr>
        <w:rFonts w:ascii="Heebo Light" w:hAnsi="Heebo Light" w:cs="Heebo Light"/>
        <w:noProof/>
        <w:sz w:val="18"/>
        <w:szCs w:val="18"/>
        <w:rtl/>
      </w:rPr>
      <w:tab/>
    </w:r>
    <w:r w:rsidRPr="005F33A2">
      <w:rPr>
        <w:rFonts w:ascii="Heebo Light" w:hAnsi="Heebo Light" w:cs="Heebo Light"/>
        <w:noProof/>
        <w:sz w:val="18"/>
        <w:szCs w:val="18"/>
        <w:rtl/>
      </w:rPr>
      <w:tab/>
    </w:r>
    <w:r w:rsidRPr="005F33A2">
      <w:rPr>
        <w:rFonts w:ascii="Heebo Light" w:hAnsi="Heebo Light" w:cs="Heebo Light"/>
        <w:noProof/>
        <w:sz w:val="18"/>
        <w:szCs w:val="18"/>
        <w:rtl/>
      </w:rPr>
      <w:fldChar w:fldCharType="begin"/>
    </w:r>
    <w:r w:rsidRPr="005F33A2">
      <w:rPr>
        <w:rFonts w:ascii="Heebo Light" w:hAnsi="Heebo Light" w:cs="Heebo Light"/>
        <w:noProof/>
        <w:sz w:val="18"/>
        <w:szCs w:val="18"/>
        <w:rtl/>
      </w:rPr>
      <w:instrText xml:space="preserve"> </w:instrText>
    </w:r>
    <w:r w:rsidRPr="005F33A2">
      <w:rPr>
        <w:rFonts w:ascii="Heebo Light" w:hAnsi="Heebo Light" w:cs="Heebo Light"/>
        <w:noProof/>
        <w:sz w:val="18"/>
        <w:szCs w:val="18"/>
      </w:rPr>
      <w:instrText xml:space="preserve">PAGE   \* MERGEFORMAT </w:instrText>
    </w:r>
    <w:r w:rsidRPr="005F33A2">
      <w:rPr>
        <w:rFonts w:ascii="Heebo Light" w:hAnsi="Heebo Light" w:cs="Heebo Light"/>
        <w:noProof/>
        <w:sz w:val="18"/>
        <w:szCs w:val="18"/>
        <w:rtl/>
      </w:rPr>
      <w:fldChar w:fldCharType="separate"/>
    </w:r>
    <w:r w:rsidR="00987353" w:rsidRPr="005F33A2">
      <w:rPr>
        <w:rFonts w:ascii="Heebo Light" w:hAnsi="Heebo Light" w:cs="Heebo Light"/>
        <w:noProof/>
        <w:sz w:val="18"/>
        <w:szCs w:val="18"/>
        <w:rtl/>
      </w:rPr>
      <w:t>1</w:t>
    </w:r>
    <w:r w:rsidRPr="005F33A2">
      <w:rPr>
        <w:rFonts w:ascii="Heebo Light" w:hAnsi="Heebo Light" w:cs="Heebo Light"/>
        <w:noProof/>
        <w:sz w:val="18"/>
        <w:szCs w:val="18"/>
        <w:rtl/>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646FE"/>
    <w:multiLevelType w:val="hybridMultilevel"/>
    <w:tmpl w:val="476429F6"/>
    <w:lvl w:ilvl="0" w:tplc="ED9C1754">
      <w:numFmt w:val="bullet"/>
      <w:lvlText w:val=""/>
      <w:lvlJc w:val="left"/>
      <w:pPr>
        <w:ind w:left="720" w:hanging="360"/>
      </w:pPr>
      <w:rPr>
        <w:rFonts w:ascii="Symbol" w:eastAsiaTheme="minorHAnsi" w:hAnsi="Symbol" w:cs="Narkisim" w:hint="default"/>
        <w:sz w:val="20"/>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7EB6550"/>
    <w:multiLevelType w:val="hybridMultilevel"/>
    <w:tmpl w:val="F5069A4E"/>
    <w:lvl w:ilvl="0" w:tplc="C5609F9E">
      <w:start w:val="1"/>
      <w:numFmt w:val="hebrew1"/>
      <w:pStyle w:val="ListParagraph"/>
      <w:lvlText w:val="%1."/>
      <w:lvlJc w:val="left"/>
      <w:pPr>
        <w:ind w:left="720" w:hanging="360"/>
      </w:pPr>
      <w:rPr>
        <w:rFonts w:ascii="Gentium" w:hAnsi="Gentium" w:cs="Narkisim" w:hint="default"/>
        <w:b w:val="0"/>
        <w:bCs w:val="0"/>
        <w:i w:val="0"/>
        <w:iCs w:val="0"/>
        <w:color w:val="auto"/>
        <w:sz w:val="22"/>
        <w:szCs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C52498"/>
    <w:multiLevelType w:val="multilevel"/>
    <w:tmpl w:val="1F7AC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D23C6E"/>
    <w:multiLevelType w:val="hybridMultilevel"/>
    <w:tmpl w:val="C1FED496"/>
    <w:lvl w:ilvl="0" w:tplc="44665AA4">
      <w:numFmt w:val="bullet"/>
      <w:lvlText w:val=""/>
      <w:lvlJc w:val="left"/>
      <w:pPr>
        <w:ind w:left="720" w:hanging="360"/>
      </w:pPr>
      <w:rPr>
        <w:rFonts w:ascii="Symbol" w:eastAsiaTheme="minorHAnsi" w:hAnsi="Symbol" w:cs="Narkisim"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501868F3"/>
    <w:multiLevelType w:val="multilevel"/>
    <w:tmpl w:val="2500C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1712183">
    <w:abstractNumId w:val="1"/>
  </w:num>
  <w:num w:numId="2" w16cid:durableId="1700086290">
    <w:abstractNumId w:val="2"/>
  </w:num>
  <w:num w:numId="3" w16cid:durableId="1513570878">
    <w:abstractNumId w:val="0"/>
  </w:num>
  <w:num w:numId="4" w16cid:durableId="167257347">
    <w:abstractNumId w:val="3"/>
  </w:num>
  <w:num w:numId="5" w16cid:durableId="1455127771">
    <w:abstractNumId w:val="4"/>
  </w:num>
  <w:num w:numId="6" w16cid:durableId="180056329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567"/>
  <w:evenAndOddHeaders/>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6C0"/>
    <w:rsid w:val="00003CAB"/>
    <w:rsid w:val="00006E3D"/>
    <w:rsid w:val="00015D46"/>
    <w:rsid w:val="00036721"/>
    <w:rsid w:val="0003757A"/>
    <w:rsid w:val="0003758B"/>
    <w:rsid w:val="000409AA"/>
    <w:rsid w:val="00041CA2"/>
    <w:rsid w:val="0004339C"/>
    <w:rsid w:val="00046612"/>
    <w:rsid w:val="000500C9"/>
    <w:rsid w:val="00055219"/>
    <w:rsid w:val="00056294"/>
    <w:rsid w:val="00075F82"/>
    <w:rsid w:val="00075F83"/>
    <w:rsid w:val="00092BDE"/>
    <w:rsid w:val="000964E0"/>
    <w:rsid w:val="00096E21"/>
    <w:rsid w:val="000A195E"/>
    <w:rsid w:val="000A2278"/>
    <w:rsid w:val="000A6959"/>
    <w:rsid w:val="000B07C7"/>
    <w:rsid w:val="000C6DD2"/>
    <w:rsid w:val="000C7944"/>
    <w:rsid w:val="000D7285"/>
    <w:rsid w:val="000E3E9C"/>
    <w:rsid w:val="000E4489"/>
    <w:rsid w:val="000F1586"/>
    <w:rsid w:val="0011123A"/>
    <w:rsid w:val="001142A1"/>
    <w:rsid w:val="001173BC"/>
    <w:rsid w:val="00117507"/>
    <w:rsid w:val="0013392D"/>
    <w:rsid w:val="00134716"/>
    <w:rsid w:val="001370DC"/>
    <w:rsid w:val="00163695"/>
    <w:rsid w:val="00164E12"/>
    <w:rsid w:val="001805FE"/>
    <w:rsid w:val="001815E7"/>
    <w:rsid w:val="00187664"/>
    <w:rsid w:val="001932BB"/>
    <w:rsid w:val="001A40BB"/>
    <w:rsid w:val="001B69BF"/>
    <w:rsid w:val="001B7F4C"/>
    <w:rsid w:val="001C67F9"/>
    <w:rsid w:val="001D04C7"/>
    <w:rsid w:val="001D3B6F"/>
    <w:rsid w:val="001D446E"/>
    <w:rsid w:val="001E6B09"/>
    <w:rsid w:val="00205D83"/>
    <w:rsid w:val="00212080"/>
    <w:rsid w:val="00213ED0"/>
    <w:rsid w:val="00215C2F"/>
    <w:rsid w:val="002218EC"/>
    <w:rsid w:val="0022592B"/>
    <w:rsid w:val="00237734"/>
    <w:rsid w:val="00245D85"/>
    <w:rsid w:val="00263DAD"/>
    <w:rsid w:val="002722D1"/>
    <w:rsid w:val="002A05F5"/>
    <w:rsid w:val="002B1491"/>
    <w:rsid w:val="002B1F9B"/>
    <w:rsid w:val="002D0921"/>
    <w:rsid w:val="002D60F4"/>
    <w:rsid w:val="002F4E37"/>
    <w:rsid w:val="00306CCA"/>
    <w:rsid w:val="00312E45"/>
    <w:rsid w:val="00315001"/>
    <w:rsid w:val="003272DE"/>
    <w:rsid w:val="00340A27"/>
    <w:rsid w:val="00341F7E"/>
    <w:rsid w:val="0034532E"/>
    <w:rsid w:val="00347E6C"/>
    <w:rsid w:val="0035609D"/>
    <w:rsid w:val="00366FEF"/>
    <w:rsid w:val="003711E9"/>
    <w:rsid w:val="003845C1"/>
    <w:rsid w:val="00385ABF"/>
    <w:rsid w:val="00387958"/>
    <w:rsid w:val="0039520E"/>
    <w:rsid w:val="003A1731"/>
    <w:rsid w:val="003B7E7E"/>
    <w:rsid w:val="003C4D0A"/>
    <w:rsid w:val="003C5F0C"/>
    <w:rsid w:val="003D1084"/>
    <w:rsid w:val="003D5576"/>
    <w:rsid w:val="003F4819"/>
    <w:rsid w:val="00424810"/>
    <w:rsid w:val="00436C64"/>
    <w:rsid w:val="004447F2"/>
    <w:rsid w:val="0045067F"/>
    <w:rsid w:val="00454082"/>
    <w:rsid w:val="004545B2"/>
    <w:rsid w:val="00464FB1"/>
    <w:rsid w:val="00466C8B"/>
    <w:rsid w:val="0048288D"/>
    <w:rsid w:val="00497873"/>
    <w:rsid w:val="004A0D38"/>
    <w:rsid w:val="004A5EA6"/>
    <w:rsid w:val="004D4620"/>
    <w:rsid w:val="004E1C32"/>
    <w:rsid w:val="004F3731"/>
    <w:rsid w:val="005062E8"/>
    <w:rsid w:val="005208F8"/>
    <w:rsid w:val="00527D12"/>
    <w:rsid w:val="00530589"/>
    <w:rsid w:val="00543CAE"/>
    <w:rsid w:val="00546FE5"/>
    <w:rsid w:val="00554C10"/>
    <w:rsid w:val="005750FF"/>
    <w:rsid w:val="005776C0"/>
    <w:rsid w:val="005805DA"/>
    <w:rsid w:val="005A4E5D"/>
    <w:rsid w:val="005F33A2"/>
    <w:rsid w:val="00604A7C"/>
    <w:rsid w:val="00605184"/>
    <w:rsid w:val="00606A0C"/>
    <w:rsid w:val="00610BF3"/>
    <w:rsid w:val="00612B20"/>
    <w:rsid w:val="00612EE7"/>
    <w:rsid w:val="00613455"/>
    <w:rsid w:val="00614058"/>
    <w:rsid w:val="00621CF1"/>
    <w:rsid w:val="00621E8E"/>
    <w:rsid w:val="00622199"/>
    <w:rsid w:val="00625C53"/>
    <w:rsid w:val="00626E4F"/>
    <w:rsid w:val="00627966"/>
    <w:rsid w:val="00652A67"/>
    <w:rsid w:val="00654F62"/>
    <w:rsid w:val="00662B22"/>
    <w:rsid w:val="006732DA"/>
    <w:rsid w:val="00682708"/>
    <w:rsid w:val="006A18A7"/>
    <w:rsid w:val="006B4C70"/>
    <w:rsid w:val="006B63C8"/>
    <w:rsid w:val="006D0983"/>
    <w:rsid w:val="006E515F"/>
    <w:rsid w:val="006E6632"/>
    <w:rsid w:val="006F389E"/>
    <w:rsid w:val="00703411"/>
    <w:rsid w:val="007117F7"/>
    <w:rsid w:val="00721BE8"/>
    <w:rsid w:val="00724A98"/>
    <w:rsid w:val="00733334"/>
    <w:rsid w:val="00737F13"/>
    <w:rsid w:val="00755E25"/>
    <w:rsid w:val="00756B85"/>
    <w:rsid w:val="00787C78"/>
    <w:rsid w:val="00792957"/>
    <w:rsid w:val="007A100C"/>
    <w:rsid w:val="007A1300"/>
    <w:rsid w:val="007A3754"/>
    <w:rsid w:val="007A671B"/>
    <w:rsid w:val="007B588E"/>
    <w:rsid w:val="007C42C1"/>
    <w:rsid w:val="007D6473"/>
    <w:rsid w:val="007E59BB"/>
    <w:rsid w:val="0081074F"/>
    <w:rsid w:val="008142D8"/>
    <w:rsid w:val="00817C7F"/>
    <w:rsid w:val="0082523B"/>
    <w:rsid w:val="00843400"/>
    <w:rsid w:val="00844A52"/>
    <w:rsid w:val="008507EF"/>
    <w:rsid w:val="008710BF"/>
    <w:rsid w:val="00875208"/>
    <w:rsid w:val="00892CD0"/>
    <w:rsid w:val="008A3F28"/>
    <w:rsid w:val="008A6DFA"/>
    <w:rsid w:val="008C6584"/>
    <w:rsid w:val="008D1F83"/>
    <w:rsid w:val="008D211D"/>
    <w:rsid w:val="008D631E"/>
    <w:rsid w:val="008D6718"/>
    <w:rsid w:val="008E0409"/>
    <w:rsid w:val="008E4A42"/>
    <w:rsid w:val="00910D0B"/>
    <w:rsid w:val="009139B1"/>
    <w:rsid w:val="00913B90"/>
    <w:rsid w:val="00917A6B"/>
    <w:rsid w:val="00923B3A"/>
    <w:rsid w:val="0092563C"/>
    <w:rsid w:val="00926B32"/>
    <w:rsid w:val="0093736F"/>
    <w:rsid w:val="0094162C"/>
    <w:rsid w:val="00954A67"/>
    <w:rsid w:val="009570AB"/>
    <w:rsid w:val="0097185F"/>
    <w:rsid w:val="00973248"/>
    <w:rsid w:val="00975CA1"/>
    <w:rsid w:val="00987353"/>
    <w:rsid w:val="00991A43"/>
    <w:rsid w:val="009936DB"/>
    <w:rsid w:val="009A2408"/>
    <w:rsid w:val="009B29A2"/>
    <w:rsid w:val="009B7331"/>
    <w:rsid w:val="009C3CE1"/>
    <w:rsid w:val="009E7FBB"/>
    <w:rsid w:val="009F30D6"/>
    <w:rsid w:val="00A01069"/>
    <w:rsid w:val="00A079EB"/>
    <w:rsid w:val="00A30E4C"/>
    <w:rsid w:val="00A31408"/>
    <w:rsid w:val="00A32612"/>
    <w:rsid w:val="00A54A08"/>
    <w:rsid w:val="00A670C1"/>
    <w:rsid w:val="00A72866"/>
    <w:rsid w:val="00A83498"/>
    <w:rsid w:val="00A84B4F"/>
    <w:rsid w:val="00A87A0D"/>
    <w:rsid w:val="00A87AFA"/>
    <w:rsid w:val="00AA2CCC"/>
    <w:rsid w:val="00AB2BC4"/>
    <w:rsid w:val="00AF0373"/>
    <w:rsid w:val="00AF245E"/>
    <w:rsid w:val="00AF40BB"/>
    <w:rsid w:val="00AF7C56"/>
    <w:rsid w:val="00AF7E9C"/>
    <w:rsid w:val="00B1141A"/>
    <w:rsid w:val="00B24F06"/>
    <w:rsid w:val="00B32378"/>
    <w:rsid w:val="00B34963"/>
    <w:rsid w:val="00B35623"/>
    <w:rsid w:val="00B37ADE"/>
    <w:rsid w:val="00B41A38"/>
    <w:rsid w:val="00B450DC"/>
    <w:rsid w:val="00B46B7F"/>
    <w:rsid w:val="00B51643"/>
    <w:rsid w:val="00B52E5C"/>
    <w:rsid w:val="00B6539B"/>
    <w:rsid w:val="00B67DEB"/>
    <w:rsid w:val="00B71688"/>
    <w:rsid w:val="00B73E51"/>
    <w:rsid w:val="00B97E1D"/>
    <w:rsid w:val="00BB325B"/>
    <w:rsid w:val="00BB478A"/>
    <w:rsid w:val="00BC5CFA"/>
    <w:rsid w:val="00BC63F7"/>
    <w:rsid w:val="00BD2355"/>
    <w:rsid w:val="00BD3086"/>
    <w:rsid w:val="00BE0D12"/>
    <w:rsid w:val="00BE3A15"/>
    <w:rsid w:val="00BF16C5"/>
    <w:rsid w:val="00BF35D6"/>
    <w:rsid w:val="00C02286"/>
    <w:rsid w:val="00C02826"/>
    <w:rsid w:val="00C049D2"/>
    <w:rsid w:val="00C10D32"/>
    <w:rsid w:val="00C13B66"/>
    <w:rsid w:val="00C1472B"/>
    <w:rsid w:val="00C307E0"/>
    <w:rsid w:val="00C32744"/>
    <w:rsid w:val="00C34B5F"/>
    <w:rsid w:val="00C40AAF"/>
    <w:rsid w:val="00C51329"/>
    <w:rsid w:val="00C56CAF"/>
    <w:rsid w:val="00C64CF2"/>
    <w:rsid w:val="00C65A73"/>
    <w:rsid w:val="00C66F1F"/>
    <w:rsid w:val="00C74799"/>
    <w:rsid w:val="00C76D62"/>
    <w:rsid w:val="00C80C51"/>
    <w:rsid w:val="00C81404"/>
    <w:rsid w:val="00C87786"/>
    <w:rsid w:val="00CA1DD7"/>
    <w:rsid w:val="00CC1EE6"/>
    <w:rsid w:val="00CE4890"/>
    <w:rsid w:val="00CF2B44"/>
    <w:rsid w:val="00CF3A40"/>
    <w:rsid w:val="00CF44EA"/>
    <w:rsid w:val="00CF4A63"/>
    <w:rsid w:val="00D17B25"/>
    <w:rsid w:val="00D40EE6"/>
    <w:rsid w:val="00D457F6"/>
    <w:rsid w:val="00D57563"/>
    <w:rsid w:val="00D676EA"/>
    <w:rsid w:val="00D80751"/>
    <w:rsid w:val="00D86053"/>
    <w:rsid w:val="00D87FF9"/>
    <w:rsid w:val="00D94758"/>
    <w:rsid w:val="00DB175E"/>
    <w:rsid w:val="00DB34D6"/>
    <w:rsid w:val="00DD25DD"/>
    <w:rsid w:val="00DD5D86"/>
    <w:rsid w:val="00DD7142"/>
    <w:rsid w:val="00DE02A3"/>
    <w:rsid w:val="00E05934"/>
    <w:rsid w:val="00E07AB3"/>
    <w:rsid w:val="00E07CDF"/>
    <w:rsid w:val="00E125F0"/>
    <w:rsid w:val="00E13682"/>
    <w:rsid w:val="00E34842"/>
    <w:rsid w:val="00E35134"/>
    <w:rsid w:val="00E600E9"/>
    <w:rsid w:val="00E66E16"/>
    <w:rsid w:val="00E66F4F"/>
    <w:rsid w:val="00E80D84"/>
    <w:rsid w:val="00E80DF9"/>
    <w:rsid w:val="00EA6211"/>
    <w:rsid w:val="00EC7270"/>
    <w:rsid w:val="00ED72AB"/>
    <w:rsid w:val="00EE361A"/>
    <w:rsid w:val="00EE536A"/>
    <w:rsid w:val="00EE6137"/>
    <w:rsid w:val="00EF5B2D"/>
    <w:rsid w:val="00F13248"/>
    <w:rsid w:val="00F15862"/>
    <w:rsid w:val="00F2007B"/>
    <w:rsid w:val="00F34A96"/>
    <w:rsid w:val="00F34EE0"/>
    <w:rsid w:val="00F35326"/>
    <w:rsid w:val="00F56FF6"/>
    <w:rsid w:val="00F61C73"/>
    <w:rsid w:val="00F818BB"/>
    <w:rsid w:val="00F938E7"/>
    <w:rsid w:val="00F93CCE"/>
    <w:rsid w:val="00F9421F"/>
    <w:rsid w:val="00F95718"/>
    <w:rsid w:val="00F9606A"/>
    <w:rsid w:val="00FB1337"/>
    <w:rsid w:val="00FB28D6"/>
    <w:rsid w:val="00FD17DC"/>
    <w:rsid w:val="00FD4F7B"/>
    <w:rsid w:val="00FD7330"/>
    <w:rsid w:val="00FE5F2B"/>
    <w:rsid w:val="00FF501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1FCEB6"/>
  <w15:docId w15:val="{560E1536-2BCE-45D2-ABF7-3B9EDB010A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6C8B"/>
    <w:pPr>
      <w:widowControl w:val="0"/>
      <w:bidi/>
      <w:spacing w:after="0" w:line="360" w:lineRule="auto"/>
      <w:ind w:firstLine="425"/>
      <w:jc w:val="both"/>
    </w:pPr>
    <w:rPr>
      <w:rFonts w:ascii="Gentium" w:hAnsi="Gentium" w:cs="Narkisim"/>
      <w:szCs w:val="24"/>
    </w:rPr>
  </w:style>
  <w:style w:type="paragraph" w:styleId="Heading1">
    <w:name w:val="heading 1"/>
    <w:basedOn w:val="Normal"/>
    <w:next w:val="Normal"/>
    <w:link w:val="Heading1Char"/>
    <w:uiPriority w:val="9"/>
    <w:qFormat/>
    <w:rsid w:val="005F33A2"/>
    <w:pPr>
      <w:keepNext/>
      <w:keepLines/>
      <w:spacing w:before="360" w:after="120" w:line="240" w:lineRule="auto"/>
      <w:ind w:firstLine="0"/>
      <w:jc w:val="left"/>
      <w:outlineLvl w:val="0"/>
    </w:pPr>
    <w:rPr>
      <w:rFonts w:eastAsiaTheme="majorEastAsia" w:cs="Heebo Black"/>
      <w:b/>
      <w:bCs/>
      <w:sz w:val="28"/>
      <w:szCs w:val="32"/>
    </w:rPr>
  </w:style>
  <w:style w:type="paragraph" w:styleId="Heading2">
    <w:name w:val="heading 2"/>
    <w:basedOn w:val="Normal"/>
    <w:next w:val="Normal"/>
    <w:link w:val="Heading2Char"/>
    <w:uiPriority w:val="9"/>
    <w:unhideWhenUsed/>
    <w:qFormat/>
    <w:rsid w:val="005F33A2"/>
    <w:pPr>
      <w:keepNext/>
      <w:keepLines/>
      <w:spacing w:before="240" w:after="120" w:line="240" w:lineRule="auto"/>
      <w:ind w:firstLine="0"/>
      <w:jc w:val="left"/>
      <w:outlineLvl w:val="1"/>
    </w:pPr>
    <w:rPr>
      <w:rFonts w:eastAsiaTheme="majorEastAsia" w:cs="Heebo Black"/>
      <w:b/>
      <w:bCs/>
      <w:sz w:val="26"/>
      <w:szCs w:val="26"/>
    </w:rPr>
  </w:style>
  <w:style w:type="paragraph" w:styleId="Heading3">
    <w:name w:val="heading 3"/>
    <w:basedOn w:val="Normal"/>
    <w:next w:val="Normal"/>
    <w:link w:val="Heading3Char"/>
    <w:uiPriority w:val="9"/>
    <w:semiHidden/>
    <w:unhideWhenUsed/>
    <w:qFormat/>
    <w:rsid w:val="00612B20"/>
    <w:pPr>
      <w:keepNext/>
      <w:keepLines/>
      <w:spacing w:before="120"/>
      <w:ind w:firstLine="0"/>
      <w:outlineLvl w:val="2"/>
    </w:pPr>
    <w:rPr>
      <w:rFonts w:eastAsiaTheme="majorEastAsia"/>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F33A2"/>
    <w:pPr>
      <w:spacing w:line="240" w:lineRule="auto"/>
      <w:ind w:firstLine="0"/>
      <w:jc w:val="center"/>
      <w:outlineLvl w:val="0"/>
    </w:pPr>
    <w:rPr>
      <w:rFonts w:eastAsiaTheme="majorEastAsia" w:cs="Heebo Black"/>
      <w:bCs/>
      <w:sz w:val="44"/>
      <w:szCs w:val="40"/>
    </w:rPr>
  </w:style>
  <w:style w:type="character" w:customStyle="1" w:styleId="TitleChar">
    <w:name w:val="Title Char"/>
    <w:basedOn w:val="DefaultParagraphFont"/>
    <w:link w:val="Title"/>
    <w:uiPriority w:val="10"/>
    <w:rsid w:val="005F33A2"/>
    <w:rPr>
      <w:rFonts w:ascii="Gentium" w:eastAsiaTheme="majorEastAsia" w:hAnsi="Gentium" w:cs="Heebo Black"/>
      <w:bCs/>
      <w:sz w:val="44"/>
      <w:szCs w:val="40"/>
    </w:rPr>
  </w:style>
  <w:style w:type="paragraph" w:styleId="Subtitle">
    <w:name w:val="Subtitle"/>
    <w:basedOn w:val="Title"/>
    <w:next w:val="Normal"/>
    <w:link w:val="SubtitleChar"/>
    <w:uiPriority w:val="11"/>
    <w:qFormat/>
    <w:rsid w:val="005F33A2"/>
    <w:pPr>
      <w:outlineLvl w:val="9"/>
    </w:pPr>
    <w:rPr>
      <w:rFonts w:cs="Heebo Medium"/>
      <w:bCs w:val="0"/>
      <w:szCs w:val="36"/>
    </w:rPr>
  </w:style>
  <w:style w:type="character" w:customStyle="1" w:styleId="SubtitleChar">
    <w:name w:val="Subtitle Char"/>
    <w:basedOn w:val="DefaultParagraphFont"/>
    <w:link w:val="Subtitle"/>
    <w:uiPriority w:val="11"/>
    <w:rsid w:val="005F33A2"/>
    <w:rPr>
      <w:rFonts w:ascii="Gentium" w:eastAsiaTheme="majorEastAsia" w:hAnsi="Gentium" w:cs="Heebo Medium"/>
      <w:sz w:val="44"/>
      <w:szCs w:val="36"/>
    </w:rPr>
  </w:style>
  <w:style w:type="paragraph" w:customStyle="1" w:styleId="a">
    <w:name w:val="מחבר"/>
    <w:basedOn w:val="Title"/>
    <w:link w:val="a0"/>
    <w:qFormat/>
    <w:rsid w:val="005F33A2"/>
    <w:pPr>
      <w:spacing w:before="1200"/>
      <w:outlineLvl w:val="9"/>
    </w:pPr>
    <w:rPr>
      <w:bCs w:val="0"/>
      <w:szCs w:val="32"/>
    </w:rPr>
  </w:style>
  <w:style w:type="character" w:customStyle="1" w:styleId="Heading2Char">
    <w:name w:val="Heading 2 Char"/>
    <w:basedOn w:val="DefaultParagraphFont"/>
    <w:link w:val="Heading2"/>
    <w:uiPriority w:val="9"/>
    <w:rsid w:val="005F33A2"/>
    <w:rPr>
      <w:rFonts w:ascii="Gentium" w:eastAsiaTheme="majorEastAsia" w:hAnsi="Gentium" w:cs="Heebo Black"/>
      <w:b/>
      <w:bCs/>
      <w:sz w:val="26"/>
      <w:szCs w:val="26"/>
    </w:rPr>
  </w:style>
  <w:style w:type="character" w:customStyle="1" w:styleId="Heading3Char">
    <w:name w:val="Heading 3 Char"/>
    <w:basedOn w:val="DefaultParagraphFont"/>
    <w:link w:val="Heading3"/>
    <w:uiPriority w:val="9"/>
    <w:semiHidden/>
    <w:rsid w:val="00612B20"/>
    <w:rPr>
      <w:rFonts w:ascii="Gentium" w:eastAsiaTheme="majorEastAsia" w:hAnsi="Gentium" w:cs="Narkisim"/>
      <w:b/>
      <w:bCs/>
      <w:szCs w:val="24"/>
    </w:rPr>
  </w:style>
  <w:style w:type="character" w:customStyle="1" w:styleId="Heading1Char">
    <w:name w:val="Heading 1 Char"/>
    <w:basedOn w:val="DefaultParagraphFont"/>
    <w:link w:val="Heading1"/>
    <w:uiPriority w:val="9"/>
    <w:rsid w:val="005F33A2"/>
    <w:rPr>
      <w:rFonts w:ascii="Gentium" w:eastAsiaTheme="majorEastAsia" w:hAnsi="Gentium" w:cs="Heebo Black"/>
      <w:b/>
      <w:bCs/>
      <w:sz w:val="28"/>
      <w:szCs w:val="32"/>
    </w:rPr>
  </w:style>
  <w:style w:type="character" w:customStyle="1" w:styleId="a0">
    <w:name w:val="מחבר תו"/>
    <w:basedOn w:val="TitleChar"/>
    <w:link w:val="a"/>
    <w:rsid w:val="005F33A2"/>
    <w:rPr>
      <w:rFonts w:ascii="Gentium" w:eastAsiaTheme="majorEastAsia" w:hAnsi="Gentium" w:cs="Heebo Black"/>
      <w:bCs w:val="0"/>
      <w:sz w:val="44"/>
      <w:szCs w:val="32"/>
    </w:rPr>
  </w:style>
  <w:style w:type="paragraph" w:styleId="Quote">
    <w:name w:val="Quote"/>
    <w:basedOn w:val="Normal"/>
    <w:next w:val="Normal"/>
    <w:link w:val="QuoteChar"/>
    <w:uiPriority w:val="29"/>
    <w:qFormat/>
    <w:rsid w:val="00A31408"/>
    <w:pPr>
      <w:spacing w:before="120" w:after="120"/>
      <w:ind w:left="851" w:firstLine="0"/>
      <w:contextualSpacing/>
    </w:pPr>
    <w:rPr>
      <w:color w:val="000000" w:themeColor="text1"/>
      <w:sz w:val="20"/>
      <w:szCs w:val="22"/>
    </w:rPr>
  </w:style>
  <w:style w:type="character" w:customStyle="1" w:styleId="QuoteChar">
    <w:name w:val="Quote Char"/>
    <w:basedOn w:val="DefaultParagraphFont"/>
    <w:link w:val="Quote"/>
    <w:uiPriority w:val="29"/>
    <w:rsid w:val="00A31408"/>
    <w:rPr>
      <w:rFonts w:ascii="Gentium" w:hAnsi="Gentium" w:cs="Narkisim"/>
      <w:color w:val="000000" w:themeColor="text1"/>
      <w:sz w:val="20"/>
    </w:rPr>
  </w:style>
  <w:style w:type="paragraph" w:styleId="ListParagraph">
    <w:name w:val="List Paragraph"/>
    <w:basedOn w:val="Normal"/>
    <w:uiPriority w:val="34"/>
    <w:qFormat/>
    <w:rsid w:val="00DE02A3"/>
    <w:pPr>
      <w:numPr>
        <w:numId w:val="1"/>
      </w:numPr>
      <w:spacing w:before="120" w:after="120"/>
      <w:ind w:left="425" w:hanging="425"/>
      <w:contextualSpacing/>
    </w:pPr>
  </w:style>
  <w:style w:type="paragraph" w:styleId="Header">
    <w:name w:val="header"/>
    <w:basedOn w:val="Normal"/>
    <w:link w:val="HeaderChar"/>
    <w:uiPriority w:val="99"/>
    <w:unhideWhenUsed/>
    <w:rsid w:val="00612B20"/>
    <w:pPr>
      <w:tabs>
        <w:tab w:val="center" w:pos="4153"/>
        <w:tab w:val="right" w:pos="8306"/>
      </w:tabs>
      <w:spacing w:line="240" w:lineRule="auto"/>
    </w:pPr>
  </w:style>
  <w:style w:type="character" w:customStyle="1" w:styleId="HeaderChar">
    <w:name w:val="Header Char"/>
    <w:basedOn w:val="DefaultParagraphFont"/>
    <w:link w:val="Header"/>
    <w:uiPriority w:val="99"/>
    <w:rsid w:val="00612B20"/>
    <w:rPr>
      <w:rFonts w:ascii="Gentium" w:hAnsi="Gentium" w:cs="Narkisim"/>
      <w:szCs w:val="24"/>
    </w:rPr>
  </w:style>
  <w:style w:type="paragraph" w:styleId="Footer">
    <w:name w:val="footer"/>
    <w:basedOn w:val="Normal"/>
    <w:link w:val="FooterChar"/>
    <w:uiPriority w:val="99"/>
    <w:unhideWhenUsed/>
    <w:rsid w:val="00612B20"/>
    <w:pPr>
      <w:tabs>
        <w:tab w:val="center" w:pos="4153"/>
        <w:tab w:val="right" w:pos="8306"/>
      </w:tabs>
      <w:spacing w:line="240" w:lineRule="auto"/>
    </w:pPr>
  </w:style>
  <w:style w:type="character" w:customStyle="1" w:styleId="FooterChar">
    <w:name w:val="Footer Char"/>
    <w:basedOn w:val="DefaultParagraphFont"/>
    <w:link w:val="Footer"/>
    <w:uiPriority w:val="99"/>
    <w:rsid w:val="00612B20"/>
    <w:rPr>
      <w:rFonts w:ascii="Gentium" w:hAnsi="Gentium" w:cs="Narkisim"/>
      <w:szCs w:val="24"/>
    </w:rPr>
  </w:style>
  <w:style w:type="paragraph" w:styleId="FootnoteText">
    <w:name w:val="footnote text"/>
    <w:basedOn w:val="Normal"/>
    <w:link w:val="FootnoteTextChar"/>
    <w:uiPriority w:val="99"/>
    <w:semiHidden/>
    <w:unhideWhenUsed/>
    <w:qFormat/>
    <w:rsid w:val="00703411"/>
    <w:pPr>
      <w:ind w:left="284" w:hanging="284"/>
    </w:pPr>
    <w:rPr>
      <w:sz w:val="18"/>
      <w:szCs w:val="20"/>
    </w:rPr>
  </w:style>
  <w:style w:type="character" w:customStyle="1" w:styleId="FootnoteTextChar">
    <w:name w:val="Footnote Text Char"/>
    <w:basedOn w:val="DefaultParagraphFont"/>
    <w:link w:val="FootnoteText"/>
    <w:uiPriority w:val="99"/>
    <w:semiHidden/>
    <w:rsid w:val="00703411"/>
    <w:rPr>
      <w:rFonts w:ascii="Gentium" w:hAnsi="Gentium" w:cs="Narkisim"/>
      <w:sz w:val="18"/>
      <w:szCs w:val="20"/>
    </w:rPr>
  </w:style>
  <w:style w:type="character" w:styleId="FootnoteReference">
    <w:name w:val="footnote reference"/>
    <w:basedOn w:val="DefaultParagraphFont"/>
    <w:uiPriority w:val="99"/>
    <w:semiHidden/>
    <w:unhideWhenUsed/>
    <w:rsid w:val="008D6718"/>
    <w:rPr>
      <w:vertAlign w:val="superscript"/>
    </w:rPr>
  </w:style>
  <w:style w:type="paragraph" w:customStyle="1" w:styleId="a1">
    <w:name w:val="הערת שוליים"/>
    <w:link w:val="a2"/>
    <w:rsid w:val="001C67F9"/>
    <w:pPr>
      <w:widowControl w:val="0"/>
      <w:spacing w:after="0" w:line="360" w:lineRule="auto"/>
      <w:ind w:left="284" w:hanging="284"/>
      <w:jc w:val="both"/>
    </w:pPr>
    <w:rPr>
      <w:rFonts w:ascii="Gentium" w:hAnsi="Gentium" w:cs="Narkisim"/>
      <w:sz w:val="18"/>
      <w:szCs w:val="20"/>
    </w:rPr>
  </w:style>
  <w:style w:type="paragraph" w:styleId="NoSpacing">
    <w:name w:val="No Spacing"/>
    <w:uiPriority w:val="1"/>
    <w:semiHidden/>
    <w:rsid w:val="008D6718"/>
    <w:pPr>
      <w:widowControl w:val="0"/>
      <w:bidi/>
      <w:spacing w:after="0" w:line="240" w:lineRule="auto"/>
      <w:ind w:firstLine="567"/>
      <w:jc w:val="both"/>
    </w:pPr>
    <w:rPr>
      <w:rFonts w:ascii="Gentium" w:hAnsi="Gentium" w:cs="Narkisim"/>
      <w:szCs w:val="24"/>
    </w:rPr>
  </w:style>
  <w:style w:type="character" w:customStyle="1" w:styleId="a2">
    <w:name w:val="הערת שוליים תו"/>
    <w:basedOn w:val="FootnoteTextChar"/>
    <w:link w:val="a1"/>
    <w:uiPriority w:val="2"/>
    <w:rsid w:val="001C67F9"/>
    <w:rPr>
      <w:rFonts w:ascii="Gentium" w:hAnsi="Gentium" w:cs="Narkisim"/>
      <w:sz w:val="18"/>
      <w:szCs w:val="20"/>
    </w:rPr>
  </w:style>
  <w:style w:type="paragraph" w:styleId="NormalWeb">
    <w:name w:val="Normal (Web)"/>
    <w:basedOn w:val="Normal"/>
    <w:uiPriority w:val="99"/>
    <w:semiHidden/>
    <w:unhideWhenUsed/>
    <w:rsid w:val="005750FF"/>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abri\OneDrive\Desktop\&#1488;&#1497;&#1514;&#1502;&#1512;%20&#1492;&#1511;&#1497;&#1489;&#1493;&#1510;&#1504;&#1497;&#1511;%20&#1505;&#1493;&#1500;&#1496;&#1504;&#1497;&#1511;\&#65533;&#65533;&#1514;&#1489;&#1504;&#1497;&#1514;%20&#1495;&#1493;&#1489;&#1512;&#1514;%20&#1500;&#1489;.dotx"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D0D352-2478-402F-A325-C2E4FE50B0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��תבנית חוברת לב</Template>
  <TotalTime>65</TotalTime>
  <Pages>22</Pages>
  <Words>4617</Words>
  <Characters>26323</Characters>
  <Application>Microsoft Office Word</Application>
  <DocSecurity>0</DocSecurity>
  <Lines>219</Lines>
  <Paragraphs>61</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30879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Gabriel Glass</dc:creator>
  <cp:lastModifiedBy>Gabriel Glass</cp:lastModifiedBy>
  <cp:revision>278</cp:revision>
  <dcterms:created xsi:type="dcterms:W3CDTF">2026-03-16T15:08:00Z</dcterms:created>
  <dcterms:modified xsi:type="dcterms:W3CDTF">2026-03-16T16:18:00Z</dcterms:modified>
</cp:coreProperties>
</file>