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charts/chart3.xml" ContentType="application/vnd.openxmlformats-officedocument.drawingml.chart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charts/colors3.xml" ContentType="application/vnd.ms-office.chartcolorstyle+xml"/>
  <Override PartName="/word/charts/style2.xml" ContentType="application/vnd.ms-office.chartstyl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charts/colors2.xml" ContentType="application/vnd.ms-office.chartcolorstyle+xml"/>
  <Override PartName="/word/document.xml" ContentType="application/vnd.openxmlformats-officedocument.wordprocessingml.document.main+xml"/>
  <Override PartName="/word/charts/chart2.xml" ContentType="application/vnd.openxmlformats-officedocument.drawingml.chart+xml"/>
  <Override PartName="/word/charts/style1.xml" ContentType="application/vnd.ms-office.chartstyle+xml"/>
  <Override PartName="/word/styles.xml" ContentType="application/vnd.openxmlformats-officedocument.wordprocessingml.styles+xml"/>
  <Override PartName="/word/charts/style3.xml" ContentType="application/vnd.ms-office.chartstyle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48"/>
          <w:szCs w:val="48"/>
        </w:rPr>
      </w:pP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8"/>
          <w:szCs w:val="48"/>
        </w:rPr>
        <w:t xml:space="preserve">GOOGLE PLAY STORE </w:t>
      </w:r>
      <w:r>
        <w:rPr>
          <w:b/>
          <w:bCs/>
          <w:sz w:val="48"/>
          <w:szCs w:val="48"/>
        </w:rPr>
        <w:t xml:space="preserve">APP </w:t>
      </w:r>
      <w:r>
        <w:rPr>
          <w:b/>
          <w:bCs/>
          <w:sz w:val="48"/>
          <w:szCs w:val="48"/>
        </w:rPr>
        <w:t>ANALYSIS</w:t>
      </w:r>
    </w:p>
    <w:p>
      <w:pPr>
        <w:pStyle w:val="style0"/>
        <w:rPr>
          <w:b/>
          <w:bCs/>
          <w:sz w:val="44"/>
          <w:szCs w:val="44"/>
        </w:rPr>
      </w:pPr>
    </w:p>
    <w:p>
      <w:pPr>
        <w:pStyle w:val="style0"/>
        <w:rPr>
          <w:b/>
          <w:bCs/>
          <w:sz w:val="44"/>
          <w:szCs w:val="44"/>
        </w:rPr>
      </w:pP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PREPARED BY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Tarzs Ighor</w:t>
      </w:r>
    </w:p>
    <w:p>
      <w:pPr>
        <w:pStyle w:val="style0"/>
        <w:jc w:val="center"/>
        <w:rPr/>
      </w:pPr>
    </w:p>
    <w:p>
      <w:pPr>
        <w:pStyle w:val="style0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25</w:t>
      </w:r>
      <w:r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SEPTEMBER</w:t>
      </w:r>
      <w:r>
        <w:rPr>
          <w:b/>
          <w:bCs/>
          <w:sz w:val="40"/>
          <w:szCs w:val="40"/>
        </w:rPr>
        <w:t>, 2022.</w:t>
      </w:r>
    </w:p>
    <w:p>
      <w:pPr>
        <w:pStyle w:val="style0"/>
        <w:rPr>
          <w:b/>
          <w:bCs/>
          <w:sz w:val="44"/>
          <w:szCs w:val="44"/>
        </w:rPr>
      </w:pPr>
    </w:p>
    <w:p>
      <w:pPr>
        <w:pStyle w:val="style0"/>
        <w:rPr>
          <w:b/>
          <w:bCs/>
          <w:sz w:val="44"/>
          <w:szCs w:val="44"/>
        </w:rPr>
      </w:pPr>
    </w:p>
    <w:p>
      <w:pPr>
        <w:pStyle w:val="style0"/>
        <w:rPr>
          <w:b/>
          <w:bCs/>
          <w:sz w:val="44"/>
          <w:szCs w:val="44"/>
        </w:rPr>
      </w:pPr>
    </w:p>
    <w:p>
      <w:pPr>
        <w:pStyle w:val="style0"/>
        <w:rPr>
          <w:b/>
          <w:bCs/>
          <w:sz w:val="44"/>
          <w:szCs w:val="44"/>
        </w:rPr>
      </w:pPr>
    </w:p>
    <w:p>
      <w:pPr>
        <w:pStyle w:val="style0"/>
        <w:rPr>
          <w:b/>
          <w:bCs/>
          <w:sz w:val="44"/>
          <w:szCs w:val="44"/>
        </w:rPr>
      </w:pPr>
    </w:p>
    <w:p>
      <w:pPr>
        <w:pStyle w:val="style0"/>
        <w:rPr>
          <w:b/>
          <w:bCs/>
          <w:sz w:val="44"/>
          <w:szCs w:val="44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Android is expanding as an operating system. It has captured around 74% of the to</w:t>
      </w: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al market, which is a true indicator of the huge </w:t>
      </w:r>
      <w:r>
        <w:rPr>
          <w:sz w:val="28"/>
          <w:szCs w:val="28"/>
        </w:rPr>
        <w:t>amount</w:t>
      </w:r>
      <w:r>
        <w:rPr>
          <w:sz w:val="28"/>
          <w:szCs w:val="28"/>
        </w:rPr>
        <w:t xml:space="preserve"> of population using Android.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>
        <w:rPr>
          <w:sz w:val="28"/>
          <w:szCs w:val="28"/>
        </w:rPr>
        <w:t xml:space="preserve">analysis </w:t>
      </w:r>
      <w:r>
        <w:rPr>
          <w:sz w:val="28"/>
          <w:szCs w:val="28"/>
        </w:rPr>
        <w:t xml:space="preserve">report is to provide </w:t>
      </w:r>
      <w:r>
        <w:rPr>
          <w:sz w:val="28"/>
          <w:szCs w:val="28"/>
        </w:rPr>
        <w:t xml:space="preserve">insights about Android applications and their categories. My goal with this analysis is to help Android app developers know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apps </w:t>
      </w:r>
      <w:r>
        <w:rPr>
          <w:sz w:val="28"/>
          <w:szCs w:val="28"/>
        </w:rPr>
        <w:t xml:space="preserve">that are getting </w:t>
      </w:r>
      <w:r>
        <w:rPr>
          <w:sz w:val="28"/>
          <w:szCs w:val="28"/>
        </w:rPr>
        <w:t>good reviews</w:t>
      </w:r>
      <w:r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high installation count </w:t>
      </w:r>
      <w:r>
        <w:rPr>
          <w:sz w:val="28"/>
          <w:szCs w:val="28"/>
        </w:rPr>
        <w:t xml:space="preserve">in Google Play Store </w:t>
      </w:r>
      <w:r>
        <w:rPr>
          <w:sz w:val="28"/>
          <w:szCs w:val="28"/>
        </w:rPr>
        <w:t xml:space="preserve">so as to help them come up with apps that </w:t>
      </w:r>
      <w:r>
        <w:rPr>
          <w:sz w:val="28"/>
          <w:szCs w:val="28"/>
        </w:rPr>
        <w:t>will capture the Android market.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METHODOLOGY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The researcher conducted a</w:t>
      </w:r>
      <w:r>
        <w:rPr>
          <w:sz w:val="28"/>
          <w:szCs w:val="28"/>
        </w:rPr>
        <w:t xml:space="preserve"> comprehensive</w:t>
      </w:r>
      <w:r>
        <w:rPr>
          <w:sz w:val="28"/>
          <w:szCs w:val="28"/>
        </w:rPr>
        <w:t xml:space="preserve"> analysis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z w:val="28"/>
          <w:szCs w:val="28"/>
        </w:rPr>
        <w:t xml:space="preserve"> a dataset </w:t>
      </w:r>
      <w:r>
        <w:rPr>
          <w:sz w:val="28"/>
          <w:szCs w:val="28"/>
        </w:rPr>
        <w:t>scraped</w:t>
      </w:r>
      <w:r>
        <w:rPr>
          <w:sz w:val="28"/>
          <w:szCs w:val="28"/>
        </w:rPr>
        <w:t xml:space="preserve"> f</w:t>
      </w:r>
      <w:r>
        <w:rPr>
          <w:sz w:val="28"/>
          <w:szCs w:val="28"/>
        </w:rPr>
        <w:t>rom Google Play website</w:t>
      </w:r>
      <w:r>
        <w:rPr>
          <w:sz w:val="28"/>
          <w:szCs w:val="28"/>
        </w:rPr>
        <w:t xml:space="preserve"> using Microsoft Excel</w:t>
      </w:r>
      <w:r>
        <w:rPr>
          <w:sz w:val="28"/>
          <w:szCs w:val="28"/>
        </w:rPr>
        <w:t xml:space="preserve">. Upon completion of the analysis, the researcher explored the data and started generating meaning to the data.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ANALYSIS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The total</w:t>
      </w:r>
      <w:r>
        <w:rPr>
          <w:sz w:val="28"/>
          <w:szCs w:val="28"/>
        </w:rPr>
        <w:t xml:space="preserve"> number of apps on Google Play Store at the time of this analysis is</w:t>
      </w:r>
      <w:r>
        <w:rPr>
          <w:sz w:val="28"/>
          <w:szCs w:val="28"/>
        </w:rPr>
        <w:t xml:space="preserve"> 10,840 from different categories and genres</w:t>
      </w:r>
      <w:r>
        <w:rPr>
          <w:sz w:val="28"/>
          <w:szCs w:val="28"/>
        </w:rPr>
        <w:t>. The researcher used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Pivot Table to carry out </w:t>
      </w:r>
      <w:r>
        <w:rPr>
          <w:sz w:val="28"/>
          <w:szCs w:val="28"/>
        </w:rPr>
        <w:t>the exploratory analysis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 of the 10,840 apps on Google Play Store, 92.68% of the total apps are FREE while 7.38% are PAID apps. This might indicate that the “paid app” market is very small when compared to the “free app” market.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Below is a chart representing the data.</w:t>
      </w:r>
    </w:p>
    <w:p>
      <w:pPr>
        <w:pStyle w:val="style0"/>
        <w:rPr>
          <w:sz w:val="28"/>
          <w:szCs w:val="28"/>
        </w:rPr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w:drawing>
          <wp:inline distL="114300" distT="0" distB="0" distR="114300">
            <wp:extent cx="3981449" cy="222885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  <w:r>
        <w:rPr>
          <w:noProof/>
        </w:rPr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the analyze data, the researcher found out that </w:t>
      </w:r>
      <w:r>
        <w:rPr>
          <w:b/>
          <w:bCs/>
          <w:sz w:val="28"/>
          <w:szCs w:val="28"/>
        </w:rPr>
        <w:t>Tools</w:t>
      </w:r>
      <w:r>
        <w:rPr>
          <w:sz w:val="28"/>
          <w:szCs w:val="28"/>
        </w:rPr>
        <w:t xml:space="preserve"> has the highest number of apps in the top 10 genres</w:t>
      </w:r>
      <w:r>
        <w:rPr>
          <w:sz w:val="28"/>
          <w:szCs w:val="28"/>
        </w:rPr>
        <w:t xml:space="preserve"> followed by </w:t>
      </w:r>
      <w:r>
        <w:rPr>
          <w:b/>
          <w:bCs/>
          <w:sz w:val="28"/>
          <w:szCs w:val="28"/>
        </w:rPr>
        <w:t>Entertainment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Majority of the apps in the tools and entertainment genres are free with no content restriction.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Pivot Chart </w:t>
      </w:r>
      <w:r>
        <w:rPr>
          <w:sz w:val="28"/>
          <w:szCs w:val="28"/>
        </w:rPr>
        <w:t>below is used to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demonstrate</w:t>
      </w:r>
      <w:r>
        <w:rPr>
          <w:sz w:val="28"/>
          <w:szCs w:val="28"/>
        </w:rPr>
        <w:t xml:space="preserve"> the visualization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w:drawing>
          <wp:inline distL="114300" distT="0" distB="0" distR="114300">
            <wp:extent cx="4010024" cy="280987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  <w:r>
        <w:rPr>
          <w:noProof/>
        </w:rPr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As demonstrated in the worksheet, </w:t>
      </w: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 xml:space="preserve">Family </w:t>
      </w:r>
      <w:r>
        <w:rPr>
          <w:sz w:val="28"/>
          <w:szCs w:val="28"/>
        </w:rPr>
        <w:t xml:space="preserve">category has the highest number of apps. </w:t>
      </w:r>
      <w:r>
        <w:rPr>
          <w:sz w:val="28"/>
          <w:szCs w:val="28"/>
        </w:rPr>
        <w:t xml:space="preserve">This may be due to the fact that the content rating for apps in the family category is for everyone and most are also free.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w:drawing>
          <wp:inline distL="114300" distT="0" distB="0" distR="114300">
            <wp:extent cx="3829050" cy="240982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Although not the most expensive app, </w:t>
      </w:r>
      <w:r>
        <w:rPr>
          <w:sz w:val="28"/>
          <w:szCs w:val="28"/>
        </w:rPr>
        <w:t xml:space="preserve">Minecraft was found </w:t>
      </w:r>
      <w:r>
        <w:rPr>
          <w:sz w:val="28"/>
          <w:szCs w:val="28"/>
        </w:rPr>
        <w:t>to be</w:t>
      </w:r>
      <w:r>
        <w:rPr>
          <w:sz w:val="28"/>
          <w:szCs w:val="28"/>
        </w:rPr>
        <w:t xml:space="preserve"> the app </w:t>
      </w:r>
      <w:r>
        <w:rPr>
          <w:sz w:val="28"/>
          <w:szCs w:val="28"/>
        </w:rPr>
        <w:t xml:space="preserve">with </w:t>
      </w:r>
      <w:r>
        <w:rPr>
          <w:sz w:val="28"/>
          <w:szCs w:val="28"/>
        </w:rPr>
        <w:t>the highest earning generating as much as $70 million dollars.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The chart below shows the figure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. </w:t>
      </w:r>
    </w:p>
    <w:p>
      <w:pPr>
        <w:pStyle w:val="style0"/>
        <w:rPr>
          <w:sz w:val="28"/>
          <w:szCs w:val="28"/>
        </w:rPr>
      </w:pPr>
    </w:p>
    <w:tbl>
      <w:tblPr>
        <w:tblW w:w="8620" w:type="dxa"/>
        <w:tblLook w:val="04A0" w:firstRow="1" w:lastRow="0" w:firstColumn="1" w:lastColumn="0" w:noHBand="0" w:noVBand="1"/>
      </w:tblPr>
      <w:tblGrid>
        <w:gridCol w:w="5853"/>
        <w:gridCol w:w="700"/>
        <w:gridCol w:w="1290"/>
        <w:gridCol w:w="778"/>
      </w:tblGrid>
      <w:tr>
        <w:trPr>
          <w:trHeight w:val="290" w:hRule="atLeast"/>
        </w:trPr>
        <w:tc>
          <w:tcPr>
            <w:tcW w:w="59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>
            <w:pPr>
              <w:pStyle w:val="style0"/>
              <w:spacing w:before="0" w:after="0" w:lineRule="auto" w:line="240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>App</w:t>
            </w:r>
          </w:p>
        </w:tc>
        <w:tc>
          <w:tcPr>
            <w:tcW w:w="6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>
            <w:pPr>
              <w:pStyle w:val="style0"/>
              <w:spacing w:before="0" w:after="0" w:lineRule="auto" w:line="240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12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>
            <w:pPr>
              <w:pStyle w:val="style0"/>
              <w:spacing w:before="0" w:after="0" w:lineRule="auto" w:line="240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>Installs</w:t>
            </w:r>
          </w:p>
        </w:tc>
        <w:tc>
          <w:tcPr>
            <w:tcW w:w="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>
            <w:pPr>
              <w:pStyle w:val="style0"/>
              <w:spacing w:before="0" w:after="0" w:lineRule="auto" w:line="240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>Price</w:t>
            </w:r>
          </w:p>
        </w:tc>
      </w:tr>
      <w:tr>
        <w:tblPrEx/>
        <w:trPr>
          <w:trHeight w:val="290" w:hRule="atLeast"/>
        </w:trPr>
        <w:tc>
          <w:tcPr>
            <w:tcW w:w="59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>
            <w:pPr>
              <w:pStyle w:val="style0"/>
              <w:spacing w:before="0" w:after="0" w:lineRule="auto" w:line="24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Minecraft</w:t>
            </w:r>
          </w:p>
        </w:tc>
        <w:tc>
          <w:tcPr>
            <w:tcW w:w="6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>
            <w:pPr>
              <w:pStyle w:val="style0"/>
              <w:spacing w:before="0" w:after="0" w:lineRule="auto" w:line="24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Paid</w:t>
            </w:r>
          </w:p>
        </w:tc>
        <w:tc>
          <w:tcPr>
            <w:tcW w:w="12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>
            <w:pPr>
              <w:pStyle w:val="style0"/>
              <w:spacing w:before="0" w:after="0" w:lineRule="auto" w:line="24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             10,000,000 </w:t>
            </w:r>
          </w:p>
        </w:tc>
        <w:tc>
          <w:tcPr>
            <w:tcW w:w="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>
            <w:pPr>
              <w:pStyle w:val="style0"/>
              <w:spacing w:before="0" w:after="0" w:lineRule="auto" w:line="24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$7</w:t>
            </w:r>
          </w:p>
        </w:tc>
      </w:tr>
      <w:tr>
        <w:tblPrEx/>
        <w:trPr>
          <w:trHeight w:val="290" w:hRule="atLeast"/>
        </w:trPr>
        <w:tc>
          <w:tcPr>
            <w:tcW w:w="59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before="0" w:after="0" w:lineRule="auto" w:line="24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Hitman Sniper</w:t>
            </w:r>
          </w:p>
        </w:tc>
        <w:tc>
          <w:tcPr>
            <w:tcW w:w="6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before="0" w:after="0" w:lineRule="auto" w:line="24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Paid</w:t>
            </w:r>
          </w:p>
        </w:tc>
        <w:tc>
          <w:tcPr>
            <w:tcW w:w="12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before="0" w:after="0" w:lineRule="auto" w:line="24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             10,000,000 </w:t>
            </w:r>
          </w:p>
        </w:tc>
        <w:tc>
          <w:tcPr>
            <w:tcW w:w="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before="0" w:after="0" w:lineRule="auto" w:line="24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$1</w:t>
            </w:r>
          </w:p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After completion of the analysis, I concluded that users prefer more free apps than paid apps</w:t>
      </w:r>
      <w:r>
        <w:rPr>
          <w:sz w:val="28"/>
          <w:szCs w:val="28"/>
        </w:rPr>
        <w:t xml:space="preserve"> due to the number of downloads and reviews gotten from free apps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For most </w:t>
      </w:r>
      <w:r>
        <w:rPr>
          <w:sz w:val="28"/>
          <w:szCs w:val="28"/>
        </w:rPr>
        <w:t>installed apps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apps from </w:t>
      </w:r>
      <w:r>
        <w:rPr>
          <w:sz w:val="28"/>
          <w:szCs w:val="28"/>
        </w:rPr>
        <w:t xml:space="preserve">game category </w:t>
      </w:r>
      <w:r>
        <w:rPr>
          <w:sz w:val="28"/>
          <w:szCs w:val="28"/>
        </w:rPr>
        <w:t>have</w:t>
      </w:r>
      <w:r>
        <w:rPr>
          <w:sz w:val="28"/>
          <w:szCs w:val="28"/>
        </w:rPr>
        <w:t xml:space="preserve"> the highest number of installations and the size of the games </w:t>
      </w:r>
      <w:r>
        <w:rPr>
          <w:sz w:val="28"/>
          <w:szCs w:val="28"/>
        </w:rPr>
        <w:t xml:space="preserve">wasn’t a deciding factor. This is because some games as big as 99 </w:t>
      </w:r>
      <w:r>
        <w:rPr>
          <w:sz w:val="28"/>
          <w:szCs w:val="28"/>
        </w:rPr>
        <w:t>megabytes</w:t>
      </w:r>
      <w:r>
        <w:rPr>
          <w:sz w:val="28"/>
          <w:szCs w:val="28"/>
        </w:rPr>
        <w:t xml:space="preserve"> in size received over 100,000,000 </w:t>
      </w:r>
      <w:r>
        <w:rPr>
          <w:sz w:val="28"/>
          <w:szCs w:val="28"/>
        </w:rPr>
        <w:t>downloads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And most apps in the game category are free too.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So, c</w:t>
      </w:r>
      <w:r>
        <w:rPr>
          <w:sz w:val="28"/>
          <w:szCs w:val="28"/>
        </w:rPr>
        <w:t xml:space="preserve">reating a free app </w:t>
      </w:r>
      <w:r>
        <w:rPr>
          <w:sz w:val="28"/>
          <w:szCs w:val="28"/>
        </w:rPr>
        <w:t>whether in the game category or not</w:t>
      </w:r>
      <w:r>
        <w:rPr>
          <w:sz w:val="28"/>
          <w:szCs w:val="28"/>
        </w:rPr>
        <w:t xml:space="preserve"> can help </w:t>
      </w:r>
      <w:r>
        <w:rPr>
          <w:sz w:val="28"/>
          <w:szCs w:val="28"/>
        </w:rPr>
        <w:t>to increase the number of download the app may receive.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Comparing my findings between </w:t>
      </w:r>
      <w:r>
        <w:rPr>
          <w:sz w:val="28"/>
          <w:szCs w:val="28"/>
        </w:rPr>
        <w:t xml:space="preserve">apps with the </w:t>
      </w:r>
      <w:r>
        <w:rPr>
          <w:sz w:val="28"/>
          <w:szCs w:val="28"/>
        </w:rPr>
        <w:t xml:space="preserve">highest </w:t>
      </w:r>
      <w:r>
        <w:rPr>
          <w:sz w:val="28"/>
          <w:szCs w:val="28"/>
        </w:rPr>
        <w:t xml:space="preserve">downloads and </w:t>
      </w:r>
      <w:r>
        <w:rPr>
          <w:sz w:val="28"/>
          <w:szCs w:val="28"/>
        </w:rPr>
        <w:t xml:space="preserve">apps with the highest reviews, </w:t>
      </w:r>
      <w:r>
        <w:rPr>
          <w:sz w:val="28"/>
          <w:szCs w:val="28"/>
        </w:rPr>
        <w:t xml:space="preserve">I came to the conclusion that </w:t>
      </w:r>
      <w:r>
        <w:rPr>
          <w:sz w:val="28"/>
          <w:szCs w:val="28"/>
        </w:rPr>
        <w:t>users tend to download apps</w:t>
      </w:r>
      <w:r>
        <w:rPr>
          <w:sz w:val="28"/>
          <w:szCs w:val="28"/>
        </w:rPr>
        <w:t xml:space="preserve"> more if the apps has been reviewed by a larger number of people.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So, </w:t>
      </w:r>
      <w:r>
        <w:rPr>
          <w:sz w:val="28"/>
          <w:szCs w:val="28"/>
        </w:rPr>
        <w:t>encouraging users of your app to drop reviews</w:t>
      </w:r>
      <w:r>
        <w:rPr>
          <w:sz w:val="28"/>
          <w:szCs w:val="28"/>
        </w:rPr>
        <w:t xml:space="preserve"> is another great idea</w:t>
      </w:r>
      <w:r>
        <w:rPr>
          <w:sz w:val="28"/>
          <w:szCs w:val="28"/>
        </w:rPr>
        <w:t xml:space="preserve"> to increase your app </w:t>
      </w:r>
      <w:r>
        <w:rPr>
          <w:sz w:val="28"/>
          <w:szCs w:val="28"/>
        </w:rPr>
        <w:t>power</w:t>
      </w:r>
      <w:r>
        <w:rPr>
          <w:sz w:val="28"/>
          <w:szCs w:val="28"/>
        </w:rPr>
        <w:t xml:space="preserve"> to capture the market. 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Calibri" w:hAnsi="Times New Roman"/>
        <w:sz w:val="24"/>
        <w:szCs w:val="24"/>
        <w:lang w:val="en-US" w:bidi="ar-SA" w:eastAsia="en-US"/>
      </w:rPr>
    </w:rPrDefault>
    <w:pPrDefault>
      <w:pPr>
        <w:spacing w:before="120" w:after="12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oleObject" TargetMode="External" Target="file:/C:/Users/osas/Desktop/Projects/Google%20Play%20Store.xlsx"/><Relationship Id="rId2" Type="http://schemas.microsoft.com/office/2011/relationships/chartStyle" Target="style1.xml"/><Relationship Id="rId3" Type="http://schemas.microsoft.com/office/2011/relationships/chartColorStyle" Target="colors1.xml"/>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oleObject" TargetMode="External" Target="file:/C:/Users/osas/Desktop/Projects/Google%20Play%20Store.xlsx"/><Relationship Id="rId2" Type="http://schemas.microsoft.com/office/2011/relationships/chartStyle" Target="style3.xml"/><Relationship Id="rId3" Type="http://schemas.microsoft.com/office/2011/relationships/chartColorStyle" Target="colors3.xml"/></Relationships>
</file>

<file path=word/charts/_rels/chart3.xml.rels><?xml version="1.0" encoding="UTF-8"?>
<Relationships xmlns="http://schemas.openxmlformats.org/package/2006/relationships"><Relationship Id="rId1" Type="http://schemas.openxmlformats.org/officeDocument/2006/relationships/oleObject" TargetMode="External" Target="file:/C:/Users/osas/Desktop/Projects/Google%20Play%20Store.xlsx"/><Relationship Id="rId2" Type="http://schemas.microsoft.com/office/2011/relationships/chartStyle" Target="style2.xml"/><Relationship Id="rId3" Type="http://schemas.microsoft.com/office/2011/relationships/chartColorStyle" Target="colors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[Google Play Store.xlsx]Free &amp; Paid Apps!PivotTable2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'Free &amp; Paid Apps'!$B$3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'Free &amp; Paid Apps'!$A$4:$A$6</c:f>
              <c:strCache>
                <c:ptCount val="2"/>
                <c:pt idx="0">
                  <c:v>Free</c:v>
                </c:pt>
                <c:pt idx="1">
                  <c:v>Paid</c:v>
                </c:pt>
              </c:strCache>
            </c:strRef>
          </c:cat>
          <c:val>
            <c:numRef>
              <c:f>'Free &amp; Paid Apps'!$B$4:$B$6</c:f>
              <c:numCache>
                <c:formatCode>0.00%</c:formatCode>
                <c:ptCount val="2"/>
                <c:pt idx="0">
                  <c:v>0.926199261992620</c:v>
                </c:pt>
                <c:pt idx="1">
                  <c:v>0.0738007380073801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[Google Play Store.xlsx]Top Genres!PivotTable1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Top</a:t>
            </a:r>
            <a:r>
              <a:rPr lang="en-US" b="1" baseline="0"/>
              <a:t> 10 Genres with the Highest Apps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'Top Genres'!$B$1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'Top Genres'!$A$2:$A$12</c:f>
              <c:strCache>
                <c:ptCount val="10"/>
                <c:pt idx="0">
                  <c:v>Business</c:v>
                </c:pt>
                <c:pt idx="1">
                  <c:v>Communication</c:v>
                </c:pt>
                <c:pt idx="2">
                  <c:v>Education</c:v>
                </c:pt>
                <c:pt idx="3">
                  <c:v>Entertainment</c:v>
                </c:pt>
                <c:pt idx="4">
                  <c:v>Lifestyle</c:v>
                </c:pt>
                <c:pt idx="5">
                  <c:v>Medical</c:v>
                </c:pt>
                <c:pt idx="6">
                  <c:v>Personalization</c:v>
                </c:pt>
                <c:pt idx="7">
                  <c:v>Productivity</c:v>
                </c:pt>
                <c:pt idx="8">
                  <c:v>Sports</c:v>
                </c:pt>
                <c:pt idx="9">
                  <c:v>Tools</c:v>
                </c:pt>
              </c:strCache>
            </c:strRef>
          </c:cat>
          <c:val>
            <c:numRef>
              <c:f>'Top Genres'!$B$2:$B$12</c:f>
              <c:numCache>
                <c:formatCode>General</c:formatCode>
                <c:ptCount val="10"/>
                <c:pt idx="0">
                  <c:v>460.0</c:v>
                </c:pt>
                <c:pt idx="1">
                  <c:v>387.0</c:v>
                </c:pt>
                <c:pt idx="2">
                  <c:v>549.0</c:v>
                </c:pt>
                <c:pt idx="3">
                  <c:v>623.0</c:v>
                </c:pt>
                <c:pt idx="4">
                  <c:v>381.0</c:v>
                </c:pt>
                <c:pt idx="5">
                  <c:v>463.0</c:v>
                </c:pt>
                <c:pt idx="6">
                  <c:v>392.0</c:v>
                </c:pt>
                <c:pt idx="7">
                  <c:v>424.0</c:v>
                </c:pt>
                <c:pt idx="8">
                  <c:v>398.0</c:v>
                </c:pt>
                <c:pt idx="9">
                  <c:v>842.0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46777416"/>
        <c:axId val="946778728"/>
      </c:barChart>
      <c:catAx>
        <c:axId val="9467774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6778728"/>
        <c:crosses val="autoZero"/>
        <c:auto val="1"/>
        <c:lblAlgn val="ctr"/>
        <c:lblOffset val="100"/>
        <c:noMultiLvlLbl val="0"/>
      </c:catAx>
      <c:valAx>
        <c:axId val="946778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6777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[Google Play Store.xlsx]Top Categories!PivotTable3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/>
              <a:t>Top 10 Categories</a:t>
            </a:r>
            <a:r>
              <a:rPr lang="en-US" sz="1400" b="1" baseline="0"/>
              <a:t> with the Highest Number of Apps</a:t>
            </a:r>
            <a:endParaRPr lang="en-US" sz="1400" b="1"/>
          </a:p>
        </c:rich>
      </c:tx>
      <c:layout>
        <c:manualLayout>
          <c:xMode val="edge"/>
          <c:yMode val="edge"/>
          <c:x val="0.12146522309711286"/>
          <c:y val="0.0277777777777777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'Top Categories'!$C$4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'Top Categories'!$B$5:$B$15</c:f>
              <c:strCache>
                <c:ptCount val="10"/>
                <c:pt idx="0">
                  <c:v>BUSINESS</c:v>
                </c:pt>
                <c:pt idx="1">
                  <c:v>COMMUNICATION</c:v>
                </c:pt>
                <c:pt idx="2">
                  <c:v>FAMILY</c:v>
                </c:pt>
                <c:pt idx="3">
                  <c:v>GAME</c:v>
                </c:pt>
                <c:pt idx="4">
                  <c:v>LIFESTYLE</c:v>
                </c:pt>
                <c:pt idx="5">
                  <c:v>MEDICAL</c:v>
                </c:pt>
                <c:pt idx="6">
                  <c:v>PERSONALIZATION</c:v>
                </c:pt>
                <c:pt idx="7">
                  <c:v>PRODUCTIVITY</c:v>
                </c:pt>
                <c:pt idx="8">
                  <c:v>SPORTS</c:v>
                </c:pt>
                <c:pt idx="9">
                  <c:v>TOOLS</c:v>
                </c:pt>
              </c:strCache>
            </c:strRef>
          </c:cat>
          <c:val>
            <c:numRef>
              <c:f>'Top Categories'!$C$5:$C$15</c:f>
              <c:numCache>
                <c:formatCode>General</c:formatCode>
                <c:ptCount val="10"/>
                <c:pt idx="0">
                  <c:v>460.0</c:v>
                </c:pt>
                <c:pt idx="1">
                  <c:v>387.0</c:v>
                </c:pt>
                <c:pt idx="2">
                  <c:v>1972.0</c:v>
                </c:pt>
                <c:pt idx="3">
                  <c:v>1144.0</c:v>
                </c:pt>
                <c:pt idx="4">
                  <c:v>382.0</c:v>
                </c:pt>
                <c:pt idx="5">
                  <c:v>463.0</c:v>
                </c:pt>
                <c:pt idx="6">
                  <c:v>392.0</c:v>
                </c:pt>
                <c:pt idx="7">
                  <c:v>424.0</c:v>
                </c:pt>
                <c:pt idx="8">
                  <c:v>384.0</c:v>
                </c:pt>
                <c:pt idx="9">
                  <c:v>843.0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46776432"/>
        <c:axId val="946771512"/>
      </c:barChart>
      <c:catAx>
        <c:axId val="946776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6771512"/>
        <c:crosses val="autoZero"/>
        <c:auto val="1"/>
        <c:lblAlgn val="ctr"/>
        <c:lblOffset val="100"/>
        <c:noMultiLvlLbl val="0"/>
      </c:catAx>
      <c:valAx>
        <c:axId val="946771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6776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516</Words>
  <Pages>5</Pages>
  <Characters>2483</Characters>
  <Application>WPS Office</Application>
  <DocSecurity>0</DocSecurity>
  <Paragraphs>80</Paragraphs>
  <ScaleCrop>false</ScaleCrop>
  <LinksUpToDate>false</LinksUpToDate>
  <CharactersWithSpaces>2998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2023-05-31T12:10:17Z</dcterms:created>
  <dc:creator>osas</dc:creator>
  <lastModifiedBy>SM-G998B</lastModifiedBy>
  <dcterms:modified xsi:type="dcterms:W3CDTF">2023-05-31T12:10:17Z</dcterms:modified>
  <revision>33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4a183f99922f445cb488588391b88a62</vt:lpwstr>
  </property>
</Properties>
</file>