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5e1be6f8443a89f3b1073c7c55068666d7d261"/>
    <w:p>
      <w:pPr>
        <w:pStyle w:val="Heading1"/>
      </w:pPr>
      <w:r>
        <w:t xml:space="preserve">Financial Forecasting Application - Master Design Document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ai-centric-architecture">
        <w:r>
          <w:rPr>
            <w:rStyle w:val="Hyperlink"/>
          </w:rPr>
          <w:t xml:space="preserve">AI-Centric Architecture</w:t>
        </w:r>
      </w:hyperlink>
    </w:p>
    <w:p>
      <w:pPr>
        <w:pStyle w:val="Compact"/>
        <w:numPr>
          <w:ilvl w:val="0"/>
          <w:numId w:val="1001"/>
        </w:numPr>
      </w:pPr>
      <w:hyperlink w:anchor="core-modules">
        <w:r>
          <w:rPr>
            <w:rStyle w:val="Hyperlink"/>
          </w:rPr>
          <w:t xml:space="preserve">Core Modules</w:t>
        </w:r>
      </w:hyperlink>
    </w:p>
    <w:p>
      <w:pPr>
        <w:pStyle w:val="Compact"/>
        <w:numPr>
          <w:ilvl w:val="0"/>
          <w:numId w:val="1001"/>
        </w:numPr>
      </w:pPr>
      <w:hyperlink w:anchor="business-operations">
        <w:r>
          <w:rPr>
            <w:rStyle w:val="Hyperlink"/>
          </w:rPr>
          <w:t xml:space="preserve">Business Operations</w:t>
        </w:r>
      </w:hyperlink>
    </w:p>
    <w:p>
      <w:pPr>
        <w:pStyle w:val="Compact"/>
        <w:numPr>
          <w:ilvl w:val="0"/>
          <w:numId w:val="1001"/>
        </w:numPr>
      </w:pPr>
      <w:hyperlink w:anchor="reporting-framework">
        <w:r>
          <w:rPr>
            <w:rStyle w:val="Hyperlink"/>
          </w:rPr>
          <w:t xml:space="preserve">Reporting Framework</w:t>
        </w:r>
      </w:hyperlink>
    </w:p>
    <w:p>
      <w:pPr>
        <w:pStyle w:val="Compact"/>
        <w:numPr>
          <w:ilvl w:val="0"/>
          <w:numId w:val="1001"/>
        </w:numPr>
      </w:pPr>
      <w:hyperlink w:anchor="implementation-roadmap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agent-architecture">
        <w:r>
          <w:rPr>
            <w:rStyle w:val="Hyperlink"/>
          </w:rPr>
          <w:t xml:space="preserve">Agent Architecture</w:t>
        </w:r>
      </w:hyperlink>
    </w:p>
    <w:p>
      <w:pPr>
        <w:pStyle w:val="Compact"/>
        <w:numPr>
          <w:ilvl w:val="0"/>
          <w:numId w:val="1001"/>
        </w:numPr>
      </w:pPr>
      <w:hyperlink w:anchor="standing-data-and-calculations">
        <w:r>
          <w:rPr>
            <w:rStyle w:val="Hyperlink"/>
          </w:rPr>
          <w:t xml:space="preserve">Standing Data and Calculations</w:t>
        </w:r>
      </w:hyperlink>
    </w:p>
    <w:p>
      <w:pPr>
        <w:pStyle w:val="Compact"/>
        <w:numPr>
          <w:ilvl w:val="0"/>
          <w:numId w:val="1001"/>
        </w:numPr>
      </w:pPr>
      <w:hyperlink w:anchor="agent-development-progress">
        <w:r>
          <w:rPr>
            <w:rStyle w:val="Hyperlink"/>
          </w:rPr>
          <w:t xml:space="preserve">Agent Development Progress</w:t>
        </w:r>
      </w:hyperlink>
    </w:p>
    <w:p>
      <w:pPr>
        <w:pStyle w:val="Compact"/>
        <w:numPr>
          <w:ilvl w:val="0"/>
          <w:numId w:val="1001"/>
        </w:numPr>
      </w:pPr>
      <w:hyperlink w:anchor="documentation-strategy">
        <w:r>
          <w:rPr>
            <w:rStyle w:val="Hyperlink"/>
          </w:rPr>
          <w:t xml:space="preserve">Documentation Strategy</w:t>
        </w:r>
      </w:hyperlink>
    </w:p>
    <w:bookmarkEnd w:id="9"/>
    <w:bookmarkStart w:id="10" w:name="introduction"/>
    <w:p>
      <w:pPr>
        <w:pStyle w:val="Heading2"/>
      </w:pPr>
      <w:r>
        <w:t xml:space="preserve">1. Introduction</w:t>
      </w:r>
      <w:r>
        <w:t xml:space="preserve"> </w:t>
      </w:r>
    </w:p>
    <w:p>
      <w:pPr>
        <w:pStyle w:val="FirstParagraph"/>
      </w:pPr>
      <w:r>
        <w:t xml:space="preserve">Overview of the retirement financial forecasting application with AI integration at its core.</w:t>
      </w:r>
    </w:p>
    <w:bookmarkEnd w:id="10"/>
    <w:bookmarkStart w:id="11" w:name="ai-centric-architecture"/>
    <w:p>
      <w:pPr>
        <w:pStyle w:val="Heading2"/>
      </w:pPr>
      <w:r>
        <w:t xml:space="preserve">2. AI-Centric Architecture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Ecosystem Design</w:t>
      </w:r>
    </w:p>
    <w:p>
      <w:pPr>
        <w:pStyle w:val="Compact"/>
        <w:numPr>
          <w:ilvl w:val="1"/>
          <w:numId w:val="1003"/>
        </w:numPr>
      </w:pPr>
      <w:r>
        <w:t xml:space="preserve">Financial modeling agents</w:t>
      </w:r>
    </w:p>
    <w:p>
      <w:pPr>
        <w:pStyle w:val="Compact"/>
        <w:numPr>
          <w:ilvl w:val="1"/>
          <w:numId w:val="1003"/>
        </w:numPr>
      </w:pPr>
      <w:r>
        <w:t xml:space="preserve">User interaction agents</w:t>
      </w:r>
    </w:p>
    <w:p>
      <w:pPr>
        <w:pStyle w:val="Compact"/>
        <w:numPr>
          <w:ilvl w:val="1"/>
          <w:numId w:val="1003"/>
        </w:numPr>
      </w:pPr>
      <w:r>
        <w:t xml:space="preserve">Compliance monitoring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Gateway Design</w:t>
      </w:r>
    </w:p>
    <w:p>
      <w:pPr>
        <w:pStyle w:val="Compact"/>
        <w:numPr>
          <w:ilvl w:val="1"/>
          <w:numId w:val="1004"/>
        </w:numPr>
      </w:pPr>
      <w:r>
        <w:t xml:space="preserve">Third-party integration endpoints</w:t>
      </w:r>
    </w:p>
    <w:p>
      <w:pPr>
        <w:pStyle w:val="Compact"/>
        <w:numPr>
          <w:ilvl w:val="1"/>
          <w:numId w:val="1004"/>
        </w:numPr>
      </w:pPr>
      <w:r>
        <w:t xml:space="preserve">Standardized data formats</w:t>
      </w:r>
    </w:p>
    <w:p>
      <w:pPr>
        <w:pStyle w:val="Compact"/>
        <w:numPr>
          <w:ilvl w:val="1"/>
          <w:numId w:val="1004"/>
        </w:numPr>
      </w:pPr>
      <w:r>
        <w:t xml:space="preserve">Authentication 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Knowledge Management</w:t>
      </w:r>
    </w:p>
    <w:p>
      <w:pPr>
        <w:pStyle w:val="Compact"/>
        <w:numPr>
          <w:ilvl w:val="1"/>
          <w:numId w:val="1005"/>
        </w:numPr>
      </w:pPr>
      <w:r>
        <w:t xml:space="preserve">Financial regulation knowledge base</w:t>
      </w:r>
    </w:p>
    <w:p>
      <w:pPr>
        <w:pStyle w:val="Compact"/>
        <w:numPr>
          <w:ilvl w:val="1"/>
          <w:numId w:val="1005"/>
        </w:numPr>
      </w:pPr>
      <w:r>
        <w:t xml:space="preserve">Tax rule engines</w:t>
      </w:r>
    </w:p>
    <w:p>
      <w:pPr>
        <w:pStyle w:val="Compact"/>
        <w:numPr>
          <w:ilvl w:val="1"/>
          <w:numId w:val="1005"/>
        </w:numPr>
      </w:pPr>
      <w:r>
        <w:t xml:space="preserve">Country-specific adaptation layers</w:t>
      </w:r>
    </w:p>
    <w:bookmarkEnd w:id="11"/>
    <w:bookmarkStart w:id="12" w:name="core-modules"/>
    <w:p>
      <w:pPr>
        <w:pStyle w:val="Heading2"/>
      </w:pPr>
      <w:r>
        <w:t xml:space="preserve">3. Core Modules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Experience</w:t>
      </w:r>
    </w:p>
    <w:p>
      <w:pPr>
        <w:pStyle w:val="Compact"/>
        <w:numPr>
          <w:ilvl w:val="1"/>
          <w:numId w:val="1007"/>
        </w:numPr>
      </w:pPr>
      <w:r>
        <w:t xml:space="preserve">Natural language interface</w:t>
      </w:r>
    </w:p>
    <w:p>
      <w:pPr>
        <w:pStyle w:val="Compact"/>
        <w:numPr>
          <w:ilvl w:val="1"/>
          <w:numId w:val="1007"/>
        </w:numPr>
      </w:pPr>
      <w:r>
        <w:t xml:space="preserve">Scenario visualization</w:t>
      </w:r>
    </w:p>
    <w:p>
      <w:pPr>
        <w:pStyle w:val="Compact"/>
        <w:numPr>
          <w:ilvl w:val="1"/>
          <w:numId w:val="1007"/>
        </w:numPr>
      </w:pPr>
      <w:r>
        <w:t xml:space="preserve">Adaptive coaching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Modeling</w:t>
      </w:r>
    </w:p>
    <w:p>
      <w:pPr>
        <w:pStyle w:val="Compact"/>
        <w:numPr>
          <w:ilvl w:val="1"/>
          <w:numId w:val="1008"/>
        </w:numPr>
      </w:pPr>
      <w:r>
        <w:t xml:space="preserve">Monte Carlo simulation engine</w:t>
      </w:r>
    </w:p>
    <w:p>
      <w:pPr>
        <w:pStyle w:val="Compact"/>
        <w:numPr>
          <w:ilvl w:val="1"/>
          <w:numId w:val="1008"/>
        </w:numPr>
      </w:pPr>
      <w:r>
        <w:t xml:space="preserve">Cash flow projection system</w:t>
      </w:r>
    </w:p>
    <w:p>
      <w:pPr>
        <w:pStyle w:val="Compact"/>
        <w:numPr>
          <w:ilvl w:val="1"/>
          <w:numId w:val="1008"/>
        </w:numPr>
      </w:pPr>
      <w:r>
        <w:t xml:space="preserve">Asset/liability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Management</w:t>
      </w:r>
    </w:p>
    <w:p>
      <w:pPr>
        <w:pStyle w:val="Compact"/>
        <w:numPr>
          <w:ilvl w:val="1"/>
          <w:numId w:val="1009"/>
        </w:numPr>
      </w:pPr>
      <w:r>
        <w:t xml:space="preserve">Time-series data structure</w:t>
      </w:r>
    </w:p>
    <w:p>
      <w:pPr>
        <w:pStyle w:val="Compact"/>
        <w:numPr>
          <w:ilvl w:val="1"/>
          <w:numId w:val="1009"/>
        </w:numPr>
      </w:pPr>
      <w:r>
        <w:t xml:space="preserve">Editable assumptions panel</w:t>
      </w:r>
    </w:p>
    <w:p>
      <w:pPr>
        <w:pStyle w:val="Compact"/>
        <w:numPr>
          <w:ilvl w:val="1"/>
          <w:numId w:val="1009"/>
        </w:numPr>
      </w:pPr>
      <w:r>
        <w:t xml:space="preserve">Data import/export capabilities</w:t>
      </w:r>
    </w:p>
    <w:bookmarkEnd w:id="12"/>
    <w:bookmarkStart w:id="13" w:name="business-operations"/>
    <w:p>
      <w:pPr>
        <w:pStyle w:val="Heading2"/>
      </w:pPr>
      <w:r>
        <w:t xml:space="preserve">4. Business Operations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Multi-tier billing system</w:t>
      </w:r>
    </w:p>
    <w:p>
      <w:pPr>
        <w:pStyle w:val="Compact"/>
        <w:numPr>
          <w:ilvl w:val="0"/>
          <w:numId w:val="1010"/>
        </w:numPr>
      </w:pPr>
      <w:r>
        <w:t xml:space="preserve">Advisor/client management</w:t>
      </w:r>
    </w:p>
    <w:p>
      <w:pPr>
        <w:pStyle w:val="Compact"/>
        <w:numPr>
          <w:ilvl w:val="0"/>
          <w:numId w:val="1010"/>
        </w:numPr>
      </w:pPr>
      <w:r>
        <w:t xml:space="preserve">Payment processing integration</w:t>
      </w:r>
    </w:p>
    <w:p>
      <w:pPr>
        <w:pStyle w:val="Compact"/>
        <w:numPr>
          <w:ilvl w:val="0"/>
          <w:numId w:val="1010"/>
        </w:numPr>
      </w:pPr>
      <w:r>
        <w:t xml:space="preserve">Subscription lifecycle management</w:t>
      </w:r>
    </w:p>
    <w:p>
      <w:pPr>
        <w:pStyle w:val="Compact"/>
        <w:numPr>
          <w:ilvl w:val="0"/>
          <w:numId w:val="1010"/>
        </w:numPr>
      </w:pPr>
      <w:r>
        <w:t xml:space="preserve">Commercial considerations and payment enforcement</w:t>
      </w:r>
    </w:p>
    <w:p>
      <w:pPr>
        <w:pStyle w:val="Compact"/>
        <w:numPr>
          <w:ilvl w:val="0"/>
          <w:numId w:val="1010"/>
        </w:numPr>
      </w:pPr>
      <w:r>
        <w:t xml:space="preserve">AI agent monetization framework</w:t>
      </w:r>
    </w:p>
    <w:bookmarkEnd w:id="13"/>
    <w:bookmarkStart w:id="14" w:name="reporting-framework"/>
    <w:p>
      <w:pPr>
        <w:pStyle w:val="Heading2"/>
      </w:pPr>
      <w:r>
        <w:t xml:space="preserve">5. Reporting Framework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t xml:space="preserve">Standard report templates</w:t>
      </w:r>
    </w:p>
    <w:p>
      <w:pPr>
        <w:pStyle w:val="Compact"/>
        <w:numPr>
          <w:ilvl w:val="0"/>
          <w:numId w:val="1011"/>
        </w:numPr>
      </w:pPr>
      <w:r>
        <w:t xml:space="preserve">Custom visualization tools</w:t>
      </w:r>
    </w:p>
    <w:p>
      <w:pPr>
        <w:pStyle w:val="Compact"/>
        <w:numPr>
          <w:ilvl w:val="0"/>
          <w:numId w:val="1011"/>
        </w:numPr>
      </w:pPr>
      <w:r>
        <w:t xml:space="preserve">Export formats (PDF, Excel, Word)</w:t>
      </w:r>
    </w:p>
    <w:p>
      <w:pPr>
        <w:pStyle w:val="Compact"/>
        <w:numPr>
          <w:ilvl w:val="0"/>
          <w:numId w:val="1011"/>
        </w:numPr>
      </w:pPr>
      <w:r>
        <w:t xml:space="preserve">Automated report generation</w:t>
      </w:r>
    </w:p>
    <w:bookmarkEnd w:id="14"/>
    <w:bookmarkStart w:id="15" w:name="implementation-roadmap"/>
    <w:p>
      <w:pPr>
        <w:pStyle w:val="Heading2"/>
      </w:pPr>
      <w:r>
        <w:t xml:space="preserve">6. Implementation Roadmap</w:t>
      </w:r>
      <w:r>
        <w:t xml:space="preserve"> </w:t>
      </w:r>
    </w:p>
    <w:p>
      <w:pPr>
        <w:pStyle w:val="Compact"/>
        <w:numPr>
          <w:ilvl w:val="0"/>
          <w:numId w:val="1012"/>
        </w:numPr>
      </w:pPr>
      <w:r>
        <w:t xml:space="preserve">Phase 1: Core financial modeling</w:t>
      </w:r>
    </w:p>
    <w:p>
      <w:pPr>
        <w:pStyle w:val="Compact"/>
        <w:numPr>
          <w:ilvl w:val="0"/>
          <w:numId w:val="1012"/>
        </w:numPr>
      </w:pPr>
      <w:r>
        <w:t xml:space="preserve">Phase 2: AI agent integration</w:t>
      </w:r>
    </w:p>
    <w:p>
      <w:pPr>
        <w:pStyle w:val="Compact"/>
        <w:numPr>
          <w:ilvl w:val="0"/>
          <w:numId w:val="1012"/>
        </w:numPr>
      </w:pPr>
      <w:r>
        <w:t xml:space="preserve">Phase 3: Reporting and visualization</w:t>
      </w:r>
    </w:p>
    <w:p>
      <w:pPr>
        <w:pStyle w:val="Compact"/>
        <w:numPr>
          <w:ilvl w:val="0"/>
          <w:numId w:val="1012"/>
        </w:numPr>
      </w:pPr>
      <w:r>
        <w:t xml:space="preserve">Phase 4: Commercial operations</w:t>
      </w:r>
    </w:p>
    <w:bookmarkEnd w:id="15"/>
    <w:bookmarkStart w:id="16" w:name="agent-architecture"/>
    <w:p>
      <w:pPr>
        <w:pStyle w:val="Heading2"/>
      </w:pPr>
      <w:r>
        <w:t xml:space="preserve">7. Agent Architecture</w:t>
      </w:r>
      <w:r>
        <w:t xml:space="preserve"> 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MCP Server Implementation</w:t>
      </w:r>
    </w:p>
    <w:p>
      <w:pPr>
        <w:pStyle w:val="Compact"/>
        <w:numPr>
          <w:ilvl w:val="1"/>
          <w:numId w:val="1014"/>
        </w:numPr>
      </w:pPr>
      <w:r>
        <w:t xml:space="preserve">Agent registration and discovery</w:t>
      </w:r>
    </w:p>
    <w:p>
      <w:pPr>
        <w:pStyle w:val="Compact"/>
        <w:numPr>
          <w:ilvl w:val="1"/>
          <w:numId w:val="1014"/>
        </w:numPr>
      </w:pPr>
      <w:r>
        <w:t xml:space="preserve">Message routing and delivery</w:t>
      </w:r>
    </w:p>
    <w:p>
      <w:pPr>
        <w:pStyle w:val="Compact"/>
        <w:numPr>
          <w:ilvl w:val="1"/>
          <w:numId w:val="1014"/>
        </w:numPr>
      </w:pPr>
      <w:r>
        <w:t xml:space="preserve">Protocol translation</w:t>
      </w:r>
    </w:p>
    <w:p>
      <w:pPr>
        <w:pStyle w:val="Compact"/>
        <w:numPr>
          <w:ilvl w:val="1"/>
          <w:numId w:val="1014"/>
        </w:numPr>
      </w:pPr>
      <w:r>
        <w:t xml:space="preserve">Security and authentication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Agent-to-Agent Communication</w:t>
      </w:r>
    </w:p>
    <w:p>
      <w:pPr>
        <w:pStyle w:val="Compact"/>
        <w:numPr>
          <w:ilvl w:val="1"/>
          <w:numId w:val="1015"/>
        </w:numPr>
      </w:pPr>
      <w:r>
        <w:t xml:space="preserve">MCP standard protocol</w:t>
      </w:r>
    </w:p>
    <w:p>
      <w:pPr>
        <w:pStyle w:val="Compact"/>
        <w:numPr>
          <w:ilvl w:val="1"/>
          <w:numId w:val="1015"/>
        </w:numPr>
      </w:pPr>
      <w:r>
        <w:t xml:space="preserve">REST API for synchronous communication</w:t>
      </w:r>
    </w:p>
    <w:p>
      <w:pPr>
        <w:pStyle w:val="Compact"/>
        <w:numPr>
          <w:ilvl w:val="1"/>
          <w:numId w:val="1015"/>
        </w:numPr>
      </w:pPr>
      <w:r>
        <w:t xml:space="preserve">WebSocket for real-time updates</w:t>
      </w:r>
    </w:p>
    <w:p>
      <w:pPr>
        <w:pStyle w:val="Compact"/>
        <w:numPr>
          <w:ilvl w:val="1"/>
          <w:numId w:val="1015"/>
        </w:numPr>
      </w:pPr>
      <w:r>
        <w:t xml:space="preserve">Message queue for asynchronous processing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API Design for Agent Interactions</w:t>
      </w:r>
    </w:p>
    <w:p>
      <w:pPr>
        <w:pStyle w:val="Compact"/>
        <w:numPr>
          <w:ilvl w:val="1"/>
          <w:numId w:val="1016"/>
        </w:numPr>
      </w:pPr>
      <w:r>
        <w:t xml:space="preserve">Core API endpoints</w:t>
      </w:r>
    </w:p>
    <w:p>
      <w:pPr>
        <w:pStyle w:val="Compact"/>
        <w:numPr>
          <w:ilvl w:val="1"/>
          <w:numId w:val="1016"/>
        </w:numPr>
      </w:pPr>
      <w:r>
        <w:t xml:space="preserve">Security considerations</w:t>
      </w:r>
    </w:p>
    <w:p>
      <w:pPr>
        <w:pStyle w:val="Compact"/>
        <w:numPr>
          <w:ilvl w:val="1"/>
          <w:numId w:val="1016"/>
        </w:numPr>
      </w:pPr>
      <w:r>
        <w:t xml:space="preserve">Message formats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Agent Orchestration</w:t>
      </w:r>
    </w:p>
    <w:p>
      <w:pPr>
        <w:pStyle w:val="Compact"/>
        <w:numPr>
          <w:ilvl w:val="1"/>
          <w:numId w:val="1017"/>
        </w:numPr>
      </w:pPr>
      <w:r>
        <w:t xml:space="preserve">Orchestration patterns</w:t>
      </w:r>
    </w:p>
    <w:p>
      <w:pPr>
        <w:pStyle w:val="Compact"/>
        <w:numPr>
          <w:ilvl w:val="1"/>
          <w:numId w:val="1017"/>
        </w:numPr>
      </w:pPr>
      <w:r>
        <w:t xml:space="preserve">Management features</w:t>
      </w:r>
    </w:p>
    <w:p>
      <w:pPr>
        <w:pStyle w:val="Compact"/>
        <w:numPr>
          <w:ilvl w:val="1"/>
          <w:numId w:val="1017"/>
        </w:numPr>
      </w:pPr>
      <w:r>
        <w:t xml:space="preserve">Implementation roadmap</w:t>
      </w:r>
    </w:p>
    <w:bookmarkEnd w:id="16"/>
    <w:bookmarkStart w:id="17" w:name="standing-data-and-calculations"/>
    <w:p>
      <w:pPr>
        <w:pStyle w:val="Heading2"/>
      </w:pPr>
      <w:r>
        <w:t xml:space="preserve">8. Standing Data and Calculations</w:t>
      </w:r>
      <w:r>
        <w:t xml:space="preserve"> 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Input Data Requirements</w:t>
      </w:r>
    </w:p>
    <w:p>
      <w:pPr>
        <w:pStyle w:val="Compact"/>
        <w:numPr>
          <w:ilvl w:val="1"/>
          <w:numId w:val="1019"/>
        </w:numPr>
      </w:pPr>
      <w:r>
        <w:t xml:space="preserve">App Administrator/Owner domain data</w:t>
      </w:r>
    </w:p>
    <w:p>
      <w:pPr>
        <w:pStyle w:val="Compact"/>
        <w:numPr>
          <w:ilvl w:val="1"/>
          <w:numId w:val="1019"/>
        </w:numPr>
      </w:pPr>
      <w:r>
        <w:t xml:space="preserve">Advisor details and domain data</w:t>
      </w:r>
    </w:p>
    <w:p>
      <w:pPr>
        <w:pStyle w:val="Compact"/>
        <w:numPr>
          <w:ilvl w:val="1"/>
          <w:numId w:val="1019"/>
        </w:numPr>
      </w:pPr>
      <w:r>
        <w:t xml:space="preserve">Client data structures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Financial Data Structures</w:t>
      </w:r>
    </w:p>
    <w:p>
      <w:pPr>
        <w:pStyle w:val="Compact"/>
        <w:numPr>
          <w:ilvl w:val="1"/>
          <w:numId w:val="1020"/>
        </w:numPr>
      </w:pPr>
      <w:r>
        <w:t xml:space="preserve">Income assumptions and calculations</w:t>
      </w:r>
    </w:p>
    <w:p>
      <w:pPr>
        <w:pStyle w:val="Compact"/>
        <w:numPr>
          <w:ilvl w:val="1"/>
          <w:numId w:val="1020"/>
        </w:numPr>
      </w:pPr>
      <w:r>
        <w:t xml:space="preserve">Expense assumptions and calculations</w:t>
      </w:r>
    </w:p>
    <w:p>
      <w:pPr>
        <w:pStyle w:val="Compact"/>
        <w:numPr>
          <w:ilvl w:val="1"/>
          <w:numId w:val="1020"/>
        </w:numPr>
      </w:pPr>
      <w:r>
        <w:t xml:space="preserve">Bank transfers and investment fund transfers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Balance Sheet Components</w:t>
      </w:r>
    </w:p>
    <w:p>
      <w:pPr>
        <w:pStyle w:val="Compact"/>
        <w:numPr>
          <w:ilvl w:val="1"/>
          <w:numId w:val="1021"/>
        </w:numPr>
      </w:pPr>
      <w:r>
        <w:t xml:space="preserve">Liquid assets (bank accounts, investment funds)</w:t>
      </w:r>
    </w:p>
    <w:p>
      <w:pPr>
        <w:pStyle w:val="Compact"/>
        <w:numPr>
          <w:ilvl w:val="1"/>
          <w:numId w:val="1021"/>
        </w:numPr>
      </w:pPr>
      <w:r>
        <w:t xml:space="preserve">Fixed assets (properties, vehicles, other assets)</w:t>
      </w:r>
    </w:p>
    <w:p>
      <w:pPr>
        <w:pStyle w:val="Compact"/>
        <w:numPr>
          <w:ilvl w:val="1"/>
          <w:numId w:val="1021"/>
        </w:numPr>
      </w:pPr>
      <w:r>
        <w:t xml:space="preserve">Liabilities (mortgage bonds, loans)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Calculation Methodologies</w:t>
      </w:r>
    </w:p>
    <w:p>
      <w:pPr>
        <w:pStyle w:val="Compact"/>
        <w:numPr>
          <w:ilvl w:val="1"/>
          <w:numId w:val="1022"/>
        </w:numPr>
      </w:pPr>
      <w:r>
        <w:t xml:space="preserve">Cash flow calculation logic</w:t>
      </w:r>
    </w:p>
    <w:p>
      <w:pPr>
        <w:pStyle w:val="Compact"/>
        <w:numPr>
          <w:ilvl w:val="1"/>
          <w:numId w:val="1022"/>
        </w:numPr>
      </w:pPr>
      <w:r>
        <w:t xml:space="preserve">Investment account computations</w:t>
      </w:r>
    </w:p>
    <w:p>
      <w:pPr>
        <w:pStyle w:val="Compact"/>
        <w:numPr>
          <w:ilvl w:val="1"/>
          <w:numId w:val="1022"/>
        </w:numPr>
      </w:pPr>
      <w:r>
        <w:t xml:space="preserve">Taxation calculations</w:t>
      </w:r>
    </w:p>
    <w:p>
      <w:pPr>
        <w:pStyle w:val="Compact"/>
        <w:numPr>
          <w:ilvl w:val="1"/>
          <w:numId w:val="1022"/>
        </w:numPr>
      </w:pPr>
      <w:r>
        <w:t xml:space="preserve">Asset valuation and depreciation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Advanced Financial Planning Features</w:t>
      </w:r>
    </w:p>
    <w:p>
      <w:pPr>
        <w:pStyle w:val="Compact"/>
        <w:numPr>
          <w:ilvl w:val="1"/>
          <w:numId w:val="1023"/>
        </w:numPr>
      </w:pPr>
      <w:r>
        <w:t xml:space="preserve">Comprehensive mortgage management</w:t>
      </w:r>
    </w:p>
    <w:p>
      <w:pPr>
        <w:pStyle w:val="Compact"/>
        <w:numPr>
          <w:ilvl w:val="1"/>
          <w:numId w:val="1023"/>
        </w:numPr>
      </w:pPr>
      <w:r>
        <w:t xml:space="preserve">Advanced asset management</w:t>
      </w:r>
    </w:p>
    <w:p>
      <w:pPr>
        <w:pStyle w:val="Compact"/>
        <w:numPr>
          <w:ilvl w:val="1"/>
          <w:numId w:val="1023"/>
        </w:numPr>
      </w:pPr>
      <w:r>
        <w:t xml:space="preserve">Professional-grade risk assessment</w:t>
      </w:r>
    </w:p>
    <w:p>
      <w:pPr>
        <w:pStyle w:val="Compact"/>
        <w:numPr>
          <w:ilvl w:val="1"/>
          <w:numId w:val="1023"/>
        </w:numPr>
      </w:pPr>
      <w:r>
        <w:t xml:space="preserve">Regulatory compliance features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Monte Carlo Simulations</w:t>
      </w:r>
    </w:p>
    <w:p>
      <w:pPr>
        <w:pStyle w:val="Compact"/>
        <w:numPr>
          <w:ilvl w:val="1"/>
          <w:numId w:val="1024"/>
        </w:numPr>
      </w:pPr>
      <w:r>
        <w:t xml:space="preserve">Simulation parameters</w:t>
      </w:r>
    </w:p>
    <w:p>
      <w:pPr>
        <w:pStyle w:val="Compact"/>
        <w:numPr>
          <w:ilvl w:val="1"/>
          <w:numId w:val="1024"/>
        </w:numPr>
      </w:pPr>
      <w:r>
        <w:t xml:space="preserve">Risk analysis methodologies</w:t>
      </w:r>
    </w:p>
    <w:p>
      <w:pPr>
        <w:pStyle w:val="Compact"/>
        <w:numPr>
          <w:ilvl w:val="1"/>
          <w:numId w:val="1024"/>
        </w:numPr>
      </w:pPr>
      <w:r>
        <w:t xml:space="preserve">Sensitivity analyses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Reporting Requirements</w:t>
      </w:r>
    </w:p>
    <w:p>
      <w:pPr>
        <w:pStyle w:val="Compact"/>
        <w:numPr>
          <w:ilvl w:val="1"/>
          <w:numId w:val="1025"/>
        </w:numPr>
      </w:pPr>
      <w:r>
        <w:t xml:space="preserve">Advisor report structures</w:t>
      </w:r>
    </w:p>
    <w:p>
      <w:pPr>
        <w:pStyle w:val="Compact"/>
        <w:numPr>
          <w:ilvl w:val="1"/>
          <w:numId w:val="1025"/>
        </w:numPr>
      </w:pPr>
      <w:r>
        <w:t xml:space="preserve">Client reporting templates</w:t>
      </w:r>
    </w:p>
    <w:p>
      <w:pPr>
        <w:pStyle w:val="Compact"/>
        <w:numPr>
          <w:ilvl w:val="1"/>
          <w:numId w:val="1025"/>
        </w:numPr>
      </w:pPr>
      <w:r>
        <w:t xml:space="preserve">Audit and compliance reports</w:t>
      </w:r>
    </w:p>
    <w:bookmarkEnd w:id="17"/>
    <w:bookmarkStart w:id="19" w:name="agent-development-progress"/>
    <w:p>
      <w:pPr>
        <w:pStyle w:val="Heading2"/>
      </w:pPr>
      <w:r>
        <w:t xml:space="preserve">9. Agent Development Progress</w:t>
      </w:r>
      <w:r>
        <w:t xml:space="preserve"> </w:t>
      </w:r>
    </w:p>
    <w:p>
      <w:pPr>
        <w:pStyle w:val="FirstParagraph"/>
      </w:pPr>
      <w:r>
        <w:t xml:space="preserve">See detailed progress tracking in</w:t>
      </w:r>
      <w:r>
        <w:t xml:space="preserve"> </w:t>
      </w:r>
      <w:hyperlink r:id="rId18">
        <w:r>
          <w:rPr>
            <w:rStyle w:val="Hyperlink"/>
          </w:rPr>
          <w:t xml:space="preserve">Agent Development Progress Document</w:t>
        </w:r>
      </w:hyperlink>
      <w:r>
        <w:t xml:space="preserve"> </w:t>
      </w:r>
      <w:r>
        <w:t xml:space="preserve">- Current Status: ✅ Core architecture implemented and tested</w:t>
      </w:r>
      <w:r>
        <w:t xml:space="preserve"> </w:t>
      </w:r>
      <w:r>
        <w:t xml:space="preserve">- Next Milestone: Integration Testing (Target: 16/08/2025)</w:t>
      </w:r>
    </w:p>
    <w:bookmarkEnd w:id="19"/>
    <w:bookmarkStart w:id="21" w:name="documentation-strategy"/>
    <w:p>
      <w:pPr>
        <w:pStyle w:val="Heading2"/>
      </w:pPr>
      <w:r>
        <w:t xml:space="preserve">10. Documentation Strategy</w:t>
      </w:r>
      <w:r>
        <w:t xml:space="preserve"> </w:t>
      </w:r>
    </w:p>
    <w:p>
      <w:pPr>
        <w:pStyle w:val="FirstParagraph"/>
      </w:pPr>
      <w:r>
        <w:t xml:space="preserve">See documentation approach and progress tracking methodology in</w:t>
      </w:r>
      <w:r>
        <w:t xml:space="preserve"> </w:t>
      </w:r>
      <w:hyperlink r:id="rId20">
        <w:r>
          <w:rPr>
            <w:rStyle w:val="Hyperlink"/>
          </w:rPr>
          <w:t xml:space="preserve">Documentation Strategy Document</w:t>
        </w:r>
      </w:hyperlink>
      <w:r>
        <w:t xml:space="preserve"> </w:t>
      </w:r>
      <w:r>
        <w:t xml:space="preserve">- Purpose: Development transparency, team coordination, stakeholder communication</w:t>
      </w:r>
      <w:r>
        <w:t xml:space="preserve"> </w:t>
      </w:r>
      <w:r>
        <w:t xml:space="preserve">- Update Frequency: Weekly or bi-weekly, immediate after major milestones</w:t>
      </w:r>
      <w:r>
        <w:t xml:space="preserve"> </w:t>
      </w:r>
      <w:r>
        <w:t xml:space="preserve">- Cross-referenced with all technical documents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08_agent_development_progress.md" TargetMode="External" /><Relationship Type="http://schemas.openxmlformats.org/officeDocument/2006/relationships/hyperlink" Id="rId20" Target="09_documentation_strate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08_agent_development_progress.md" TargetMode="External" /><Relationship Type="http://schemas.openxmlformats.org/officeDocument/2006/relationships/hyperlink" Id="rId20" Target="09_documentation_strate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2025-08-09T12:30:26Z</dcterms:created>
  <dcterms:modified xsi:type="dcterms:W3CDTF">2025-08-09T12:30:26Z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