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centric-architecture-design"/>
    <w:p>
      <w:pPr>
        <w:pStyle w:val="Heading1"/>
      </w:pPr>
      <w:r>
        <w:t xml:space="preserve">AI-Centric Architecture Design</w:t>
      </w:r>
    </w:p>
    <w:bookmarkStart w:id="12" w:name="agent-ecosystem"/>
    <w:p>
      <w:pPr>
        <w:pStyle w:val="Heading2"/>
      </w:pPr>
      <w:r>
        <w:t xml:space="preserve">Agent Ecosystem</w:t>
      </w:r>
    </w:p>
    <w:bookmarkStart w:id="9" w:name="financial-modeling-agents"/>
    <w:p>
      <w:pPr>
        <w:pStyle w:val="Heading3"/>
      </w:pPr>
      <w:r>
        <w:t xml:space="preserve">Financial Modeling Agents</w:t>
      </w:r>
    </w:p>
    <w:p>
      <w:pPr>
        <w:pStyle w:val="Compact"/>
        <w:numPr>
          <w:ilvl w:val="0"/>
          <w:numId w:val="1001"/>
        </w:numPr>
      </w:pPr>
      <w:r>
        <w:t xml:space="preserve">Monte Carlo simulation agent</w:t>
      </w:r>
    </w:p>
    <w:p>
      <w:pPr>
        <w:pStyle w:val="Compact"/>
        <w:numPr>
          <w:ilvl w:val="0"/>
          <w:numId w:val="1001"/>
        </w:numPr>
      </w:pPr>
      <w:r>
        <w:t xml:space="preserve">Cash flow projection agent</w:t>
      </w:r>
    </w:p>
    <w:p>
      <w:pPr>
        <w:pStyle w:val="Compact"/>
        <w:numPr>
          <w:ilvl w:val="0"/>
          <w:numId w:val="1001"/>
        </w:numPr>
      </w:pPr>
      <w:r>
        <w:t xml:space="preserve">Asset/liability management agent</w:t>
      </w:r>
    </w:p>
    <w:p>
      <w:pPr>
        <w:pStyle w:val="Compact"/>
        <w:numPr>
          <w:ilvl w:val="0"/>
          <w:numId w:val="1001"/>
        </w:numPr>
      </w:pPr>
      <w:r>
        <w:t xml:space="preserve">Tax computation agent</w:t>
      </w:r>
    </w:p>
    <w:bookmarkEnd w:id="9"/>
    <w:bookmarkStart w:id="10" w:name="user-interaction-agents"/>
    <w:p>
      <w:pPr>
        <w:pStyle w:val="Heading3"/>
      </w:pPr>
      <w:r>
        <w:t xml:space="preserve">User Interaction Agents</w:t>
      </w:r>
    </w:p>
    <w:p>
      <w:pPr>
        <w:pStyle w:val="Compact"/>
        <w:numPr>
          <w:ilvl w:val="0"/>
          <w:numId w:val="1002"/>
        </w:numPr>
      </w:pPr>
      <w:r>
        <w:t xml:space="preserve">Natural language processing agent</w:t>
      </w:r>
    </w:p>
    <w:p>
      <w:pPr>
        <w:pStyle w:val="Compact"/>
        <w:numPr>
          <w:ilvl w:val="0"/>
          <w:numId w:val="1002"/>
        </w:numPr>
      </w:pPr>
      <w:r>
        <w:t xml:space="preserve">Scenario visualization agent</w:t>
      </w:r>
    </w:p>
    <w:p>
      <w:pPr>
        <w:pStyle w:val="Compact"/>
        <w:numPr>
          <w:ilvl w:val="0"/>
          <w:numId w:val="1002"/>
        </w:numPr>
      </w:pPr>
      <w:r>
        <w:t xml:space="preserve">Adaptive coaching agent</w:t>
      </w:r>
    </w:p>
    <w:p>
      <w:pPr>
        <w:pStyle w:val="Compact"/>
        <w:numPr>
          <w:ilvl w:val="0"/>
          <w:numId w:val="1002"/>
        </w:numPr>
      </w:pPr>
      <w:r>
        <w:t xml:space="preserve">Report generation agent</w:t>
      </w:r>
    </w:p>
    <w:bookmarkEnd w:id="10"/>
    <w:bookmarkStart w:id="11" w:name="compliance-monitoring-agents"/>
    <w:p>
      <w:pPr>
        <w:pStyle w:val="Heading3"/>
      </w:pPr>
      <w:r>
        <w:t xml:space="preserve">Compliance Monitoring Agents</w:t>
      </w:r>
    </w:p>
    <w:p>
      <w:pPr>
        <w:pStyle w:val="Compact"/>
        <w:numPr>
          <w:ilvl w:val="0"/>
          <w:numId w:val="1003"/>
        </w:numPr>
      </w:pPr>
      <w:r>
        <w:t xml:space="preserve">Regulatory compliance agent</w:t>
      </w:r>
    </w:p>
    <w:p>
      <w:pPr>
        <w:pStyle w:val="Compact"/>
        <w:numPr>
          <w:ilvl w:val="0"/>
          <w:numId w:val="1003"/>
        </w:numPr>
      </w:pPr>
      <w:r>
        <w:t xml:space="preserve">Data privacy agent</w:t>
      </w:r>
    </w:p>
    <w:p>
      <w:pPr>
        <w:pStyle w:val="Compact"/>
        <w:numPr>
          <w:ilvl w:val="0"/>
          <w:numId w:val="1003"/>
        </w:numPr>
      </w:pPr>
      <w:r>
        <w:t xml:space="preserve">Audit trail agent</w:t>
      </w:r>
    </w:p>
    <w:p>
      <w:pPr>
        <w:pStyle w:val="Compact"/>
        <w:numPr>
          <w:ilvl w:val="0"/>
          <w:numId w:val="1003"/>
        </w:numPr>
      </w:pPr>
      <w:r>
        <w:t xml:space="preserve">Localization agent</w:t>
      </w:r>
    </w:p>
    <w:bookmarkEnd w:id="11"/>
    <w:bookmarkEnd w:id="12"/>
    <w:bookmarkStart w:id="16" w:name="api-gateway-design"/>
    <w:p>
      <w:pPr>
        <w:pStyle w:val="Heading2"/>
      </w:pPr>
      <w:r>
        <w:t xml:space="preserve">API Gateway Design</w:t>
      </w:r>
    </w:p>
    <w:bookmarkStart w:id="13" w:name="endpoint-structure"/>
    <w:p>
      <w:pPr>
        <w:pStyle w:val="Heading3"/>
      </w:pPr>
      <w:r>
        <w:t xml:space="preserve">Endpoint Structure</w:t>
      </w:r>
    </w:p>
    <w:p>
      <w:pPr>
        <w:pStyle w:val="Compact"/>
        <w:numPr>
          <w:ilvl w:val="0"/>
          <w:numId w:val="1004"/>
        </w:numPr>
      </w:pPr>
      <w:r>
        <w:t xml:space="preserve">Financial modeling endpoints</w:t>
      </w:r>
    </w:p>
    <w:p>
      <w:pPr>
        <w:pStyle w:val="Compact"/>
        <w:numPr>
          <w:ilvl w:val="0"/>
          <w:numId w:val="1004"/>
        </w:numPr>
      </w:pPr>
      <w:r>
        <w:t xml:space="preserve">User interaction endpoints</w:t>
      </w:r>
    </w:p>
    <w:p>
      <w:pPr>
        <w:pStyle w:val="Compact"/>
        <w:numPr>
          <w:ilvl w:val="0"/>
          <w:numId w:val="1004"/>
        </w:numPr>
      </w:pPr>
      <w:r>
        <w:t xml:space="preserve">Data management endpoints</w:t>
      </w:r>
    </w:p>
    <w:p>
      <w:pPr>
        <w:pStyle w:val="Compact"/>
        <w:numPr>
          <w:ilvl w:val="0"/>
          <w:numId w:val="1004"/>
        </w:numPr>
      </w:pPr>
      <w:r>
        <w:t xml:space="preserve">Compliance endpoints</w:t>
      </w:r>
    </w:p>
    <w:bookmarkEnd w:id="13"/>
    <w:bookmarkStart w:id="14" w:name="authentication-flows"/>
    <w:p>
      <w:pPr>
        <w:pStyle w:val="Heading3"/>
      </w:pPr>
      <w:r>
        <w:t xml:space="preserve">Authentication Flows</w:t>
      </w:r>
    </w:p>
    <w:p>
      <w:pPr>
        <w:pStyle w:val="Compact"/>
        <w:numPr>
          <w:ilvl w:val="0"/>
          <w:numId w:val="1005"/>
        </w:numPr>
      </w:pPr>
      <w:r>
        <w:t xml:space="preserve">OAuth 2.0 implementation</w:t>
      </w:r>
    </w:p>
    <w:p>
      <w:pPr>
        <w:pStyle w:val="Compact"/>
        <w:numPr>
          <w:ilvl w:val="0"/>
          <w:numId w:val="1005"/>
        </w:numPr>
      </w:pPr>
      <w:r>
        <w:t xml:space="preserve">API key management</w:t>
      </w:r>
    </w:p>
    <w:p>
      <w:pPr>
        <w:pStyle w:val="Compact"/>
        <w:numPr>
          <w:ilvl w:val="0"/>
          <w:numId w:val="1005"/>
        </w:numPr>
      </w:pPr>
      <w:r>
        <w:t xml:space="preserve">Rate limiting</w:t>
      </w:r>
    </w:p>
    <w:p>
      <w:pPr>
        <w:pStyle w:val="Compact"/>
        <w:numPr>
          <w:ilvl w:val="0"/>
          <w:numId w:val="1005"/>
        </w:numPr>
      </w:pPr>
      <w:r>
        <w:t xml:space="preserve">Access control</w:t>
      </w:r>
    </w:p>
    <w:bookmarkEnd w:id="14"/>
    <w:bookmarkStart w:id="15" w:name="data-formats"/>
    <w:p>
      <w:pPr>
        <w:pStyle w:val="Heading3"/>
      </w:pPr>
      <w:r>
        <w:t xml:space="preserve">Data Formats</w:t>
      </w:r>
    </w:p>
    <w:p>
      <w:pPr>
        <w:pStyle w:val="Compact"/>
        <w:numPr>
          <w:ilvl w:val="0"/>
          <w:numId w:val="1006"/>
        </w:numPr>
      </w:pPr>
      <w:r>
        <w:t xml:space="preserve">JSON schema definitions</w:t>
      </w:r>
    </w:p>
    <w:p>
      <w:pPr>
        <w:pStyle w:val="Compact"/>
        <w:numPr>
          <w:ilvl w:val="0"/>
          <w:numId w:val="1006"/>
        </w:numPr>
      </w:pPr>
      <w:r>
        <w:t xml:space="preserve">Standardized error responses</w:t>
      </w:r>
    </w:p>
    <w:p>
      <w:pPr>
        <w:pStyle w:val="Compact"/>
        <w:numPr>
          <w:ilvl w:val="0"/>
          <w:numId w:val="1006"/>
        </w:numPr>
      </w:pPr>
      <w:r>
        <w:t xml:space="preserve">Versioning strategy</w:t>
      </w:r>
    </w:p>
    <w:p>
      <w:pPr>
        <w:pStyle w:val="Compact"/>
        <w:numPr>
          <w:ilvl w:val="0"/>
          <w:numId w:val="1006"/>
        </w:numPr>
      </w:pPr>
      <w:r>
        <w:t xml:space="preserve">Documentation standards</w:t>
      </w:r>
    </w:p>
    <w:bookmarkEnd w:id="15"/>
    <w:bookmarkEnd w:id="16"/>
    <w:bookmarkStart w:id="20" w:name="Xe127504eb327715036b0fd4d7c12e4a39b0646a"/>
    <w:p>
      <w:pPr>
        <w:pStyle w:val="Heading2"/>
      </w:pPr>
      <w:r>
        <w:t xml:space="preserve">Knowledge Management (Single Country Focus)</w:t>
      </w:r>
    </w:p>
    <w:bookmarkStart w:id="17" w:name="financial-regulation-knowledge-base"/>
    <w:p>
      <w:pPr>
        <w:pStyle w:val="Heading3"/>
      </w:pPr>
      <w:r>
        <w:t xml:space="preserve">Financial Regulation Knowledge Base</w:t>
      </w:r>
    </w:p>
    <w:p>
      <w:pPr>
        <w:pStyle w:val="Compact"/>
        <w:numPr>
          <w:ilvl w:val="0"/>
          <w:numId w:val="1007"/>
        </w:numPr>
      </w:pPr>
      <w:r>
        <w:t xml:space="preserve">South Africa tax rules (as initial target country)</w:t>
      </w:r>
    </w:p>
    <w:p>
      <w:pPr>
        <w:pStyle w:val="Compact"/>
        <w:numPr>
          <w:ilvl w:val="0"/>
          <w:numId w:val="1007"/>
        </w:numPr>
      </w:pPr>
      <w:r>
        <w:t xml:space="preserve">Retirement planning regulations (South Africa)</w:t>
      </w:r>
    </w:p>
    <w:p>
      <w:pPr>
        <w:pStyle w:val="Compact"/>
        <w:numPr>
          <w:ilvl w:val="0"/>
          <w:numId w:val="1007"/>
        </w:numPr>
      </w:pPr>
      <w:r>
        <w:t xml:space="preserve">Investment compliance rules (South Africa)</w:t>
      </w:r>
    </w:p>
    <w:p>
      <w:pPr>
        <w:pStyle w:val="Compact"/>
        <w:numPr>
          <w:ilvl w:val="0"/>
          <w:numId w:val="1007"/>
        </w:numPr>
      </w:pPr>
      <w:r>
        <w:t xml:space="preserve">Data protection laws (POPIA compliance)</w:t>
      </w:r>
    </w:p>
    <w:bookmarkEnd w:id="17"/>
    <w:bookmarkStart w:id="18" w:name="tax-rule-engines"/>
    <w:p>
      <w:pPr>
        <w:pStyle w:val="Heading3"/>
      </w:pPr>
      <w:r>
        <w:t xml:space="preserve">Tax Rule Engines</w:t>
      </w:r>
    </w:p>
    <w:p>
      <w:pPr>
        <w:pStyle w:val="Compact"/>
        <w:numPr>
          <w:ilvl w:val="0"/>
          <w:numId w:val="1008"/>
        </w:numPr>
      </w:pPr>
      <w:r>
        <w:t xml:space="preserve">South African progressive tax calculations</w:t>
      </w:r>
    </w:p>
    <w:p>
      <w:pPr>
        <w:pStyle w:val="Compact"/>
        <w:numPr>
          <w:ilvl w:val="0"/>
          <w:numId w:val="1008"/>
        </w:numPr>
      </w:pPr>
      <w:r>
        <w:t xml:space="preserve">Deduction management (South Africa)</w:t>
      </w:r>
    </w:p>
    <w:p>
      <w:pPr>
        <w:pStyle w:val="Compact"/>
        <w:numPr>
          <w:ilvl w:val="0"/>
          <w:numId w:val="1008"/>
        </w:numPr>
      </w:pPr>
      <w:r>
        <w:t xml:space="preserve">Capital gains tax (South Africa)</w:t>
      </w:r>
    </w:p>
    <w:p>
      <w:pPr>
        <w:pStyle w:val="Compact"/>
        <w:numPr>
          <w:ilvl w:val="0"/>
          <w:numId w:val="1008"/>
        </w:numPr>
      </w:pPr>
      <w:r>
        <w:t xml:space="preserve">Withholding tax computations (South Africa)</w:t>
      </w:r>
    </w:p>
    <w:bookmarkEnd w:id="18"/>
    <w:bookmarkStart w:id="19" w:name="localization"/>
    <w:p>
      <w:pPr>
        <w:pStyle w:val="Heading3"/>
      </w:pPr>
      <w:r>
        <w:t xml:space="preserve">Localization</w:t>
      </w:r>
    </w:p>
    <w:p>
      <w:pPr>
        <w:pStyle w:val="Compact"/>
        <w:numPr>
          <w:ilvl w:val="0"/>
          <w:numId w:val="1009"/>
        </w:numPr>
      </w:pPr>
      <w:r>
        <w:t xml:space="preserve">ZAR currency handling</w:t>
      </w:r>
    </w:p>
    <w:p>
      <w:pPr>
        <w:pStyle w:val="Compact"/>
        <w:numPr>
          <w:ilvl w:val="0"/>
          <w:numId w:val="1009"/>
        </w:numPr>
      </w:pPr>
      <w:r>
        <w:t xml:space="preserve">English/Afrikaans language support</w:t>
      </w:r>
    </w:p>
    <w:p>
      <w:pPr>
        <w:pStyle w:val="Compact"/>
        <w:numPr>
          <w:ilvl w:val="0"/>
          <w:numId w:val="1009"/>
        </w:numPr>
      </w:pPr>
      <w:r>
        <w:t xml:space="preserve">South African financial terminology</w:t>
      </w:r>
    </w:p>
    <w:p>
      <w:pPr>
        <w:pStyle w:val="Compact"/>
        <w:numPr>
          <w:ilvl w:val="0"/>
          <w:numId w:val="1009"/>
        </w:numPr>
      </w:pPr>
      <w:r>
        <w:t xml:space="preserve">Regional compliance rules (South Africa)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2025-08-09T12:30:26Z</dcterms:created>
  <dcterms:modified xsi:type="dcterms:W3CDTF">2025-08-09T12:30:26Z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