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re-modules-design"/>
    <w:p>
      <w:pPr>
        <w:pStyle w:val="Heading1"/>
      </w:pPr>
      <w:r>
        <w:t xml:space="preserve">Core Modules Design</w:t>
      </w:r>
    </w:p>
    <w:bookmarkStart w:id="12" w:name="user-experience"/>
    <w:p>
      <w:pPr>
        <w:pStyle w:val="Heading2"/>
      </w:pPr>
      <w:r>
        <w:t xml:space="preserve">User Experience</w:t>
      </w:r>
    </w:p>
    <w:bookmarkStart w:id="9" w:name="natural-language-interface"/>
    <w:p>
      <w:pPr>
        <w:pStyle w:val="Heading3"/>
      </w:pPr>
      <w:r>
        <w:t xml:space="preserve">Natural Language Interface</w:t>
      </w:r>
    </w:p>
    <w:p>
      <w:pPr>
        <w:pStyle w:val="Compact"/>
        <w:numPr>
          <w:ilvl w:val="0"/>
          <w:numId w:val="1001"/>
        </w:numPr>
      </w:pPr>
      <w:r>
        <w:t xml:space="preserve">Conversational AI for financial queries</w:t>
      </w:r>
    </w:p>
    <w:p>
      <w:pPr>
        <w:pStyle w:val="Compact"/>
        <w:numPr>
          <w:ilvl w:val="0"/>
          <w:numId w:val="1001"/>
        </w:numPr>
      </w:pPr>
      <w:r>
        <w:t xml:space="preserve">Context-aware responses</w:t>
      </w:r>
    </w:p>
    <w:p>
      <w:pPr>
        <w:pStyle w:val="Compact"/>
        <w:numPr>
          <w:ilvl w:val="0"/>
          <w:numId w:val="1001"/>
        </w:numPr>
      </w:pPr>
      <w:r>
        <w:t xml:space="preserve">Multi-language support</w:t>
      </w:r>
    </w:p>
    <w:p>
      <w:pPr>
        <w:pStyle w:val="Compact"/>
        <w:numPr>
          <w:ilvl w:val="0"/>
          <w:numId w:val="1001"/>
        </w:numPr>
      </w:pPr>
      <w:r>
        <w:t xml:space="preserve">Financial terminology explanation</w:t>
      </w:r>
    </w:p>
    <w:bookmarkEnd w:id="9"/>
    <w:bookmarkStart w:id="10" w:name="scenario-visualization"/>
    <w:p>
      <w:pPr>
        <w:pStyle w:val="Heading3"/>
      </w:pPr>
      <w:r>
        <w:t xml:space="preserve">Scenario Visualization</w:t>
      </w:r>
    </w:p>
    <w:p>
      <w:pPr>
        <w:pStyle w:val="Compact"/>
        <w:numPr>
          <w:ilvl w:val="0"/>
          <w:numId w:val="1002"/>
        </w:numPr>
      </w:pPr>
      <w:r>
        <w:t xml:space="preserve">Interactive timeline view</w:t>
      </w:r>
    </w:p>
    <w:p>
      <w:pPr>
        <w:pStyle w:val="Compact"/>
        <w:numPr>
          <w:ilvl w:val="0"/>
          <w:numId w:val="1002"/>
        </w:numPr>
      </w:pPr>
      <w:r>
        <w:t xml:space="preserve">Comparative scenario analysis</w:t>
      </w:r>
    </w:p>
    <w:p>
      <w:pPr>
        <w:pStyle w:val="Compact"/>
        <w:numPr>
          <w:ilvl w:val="0"/>
          <w:numId w:val="1002"/>
        </w:numPr>
      </w:pPr>
      <w:r>
        <w:t xml:space="preserve">Asset breakdown visualization</w:t>
      </w:r>
    </w:p>
    <w:p>
      <w:pPr>
        <w:pStyle w:val="Compact"/>
        <w:numPr>
          <w:ilvl w:val="0"/>
          <w:numId w:val="1002"/>
        </w:numPr>
      </w:pPr>
      <w:r>
        <w:t xml:space="preserve">Cash flow projections</w:t>
      </w:r>
    </w:p>
    <w:bookmarkEnd w:id="10"/>
    <w:bookmarkStart w:id="11" w:name="adaptive-coaching"/>
    <w:p>
      <w:pPr>
        <w:pStyle w:val="Heading3"/>
      </w:pPr>
      <w:r>
        <w:t xml:space="preserve">Adaptive Coaching</w:t>
      </w:r>
    </w:p>
    <w:p>
      <w:pPr>
        <w:pStyle w:val="Compact"/>
        <w:numPr>
          <w:ilvl w:val="0"/>
          <w:numId w:val="1003"/>
        </w:numPr>
      </w:pPr>
      <w:r>
        <w:t xml:space="preserve">Risk detection and alerts</w:t>
      </w:r>
    </w:p>
    <w:p>
      <w:pPr>
        <w:pStyle w:val="Compact"/>
        <w:numPr>
          <w:ilvl w:val="0"/>
          <w:numId w:val="1003"/>
        </w:numPr>
      </w:pPr>
      <w:r>
        <w:t xml:space="preserve">Personalized recommendations</w:t>
      </w:r>
    </w:p>
    <w:p>
      <w:pPr>
        <w:pStyle w:val="Compact"/>
        <w:numPr>
          <w:ilvl w:val="0"/>
          <w:numId w:val="1003"/>
        </w:numPr>
      </w:pPr>
      <w:r>
        <w:t xml:space="preserve">Progress tracking</w:t>
      </w:r>
    </w:p>
    <w:p>
      <w:pPr>
        <w:pStyle w:val="Compact"/>
        <w:numPr>
          <w:ilvl w:val="0"/>
          <w:numId w:val="1003"/>
        </w:numPr>
      </w:pPr>
      <w:r>
        <w:t xml:space="preserve">Educational content delivery</w:t>
      </w:r>
    </w:p>
    <w:bookmarkEnd w:id="11"/>
    <w:bookmarkEnd w:id="12"/>
    <w:bookmarkStart w:id="16" w:name="financial-modeling-south-africa-focus"/>
    <w:p>
      <w:pPr>
        <w:pStyle w:val="Heading2"/>
      </w:pPr>
      <w:r>
        <w:t xml:space="preserve">Financial Modeling (South Africa Focus)</w:t>
      </w:r>
    </w:p>
    <w:bookmarkStart w:id="13" w:name="monte-carlo-simulation-engine"/>
    <w:p>
      <w:pPr>
        <w:pStyle w:val="Heading3"/>
      </w:pPr>
      <w:r>
        <w:t xml:space="preserve">Monte Carlo Simulation Engine</w:t>
      </w:r>
    </w:p>
    <w:p>
      <w:pPr>
        <w:pStyle w:val="Compact"/>
        <w:numPr>
          <w:ilvl w:val="0"/>
          <w:numId w:val="1004"/>
        </w:numPr>
      </w:pPr>
      <w:r>
        <w:t xml:space="preserve">South African market data integration</w:t>
      </w:r>
    </w:p>
    <w:p>
      <w:pPr>
        <w:pStyle w:val="Compact"/>
        <w:numPr>
          <w:ilvl w:val="0"/>
          <w:numId w:val="1004"/>
        </w:numPr>
      </w:pPr>
      <w:r>
        <w:t xml:space="preserve">ZAR currency modeling</w:t>
      </w:r>
    </w:p>
    <w:p>
      <w:pPr>
        <w:pStyle w:val="Compact"/>
        <w:numPr>
          <w:ilvl w:val="0"/>
          <w:numId w:val="1004"/>
        </w:numPr>
      </w:pPr>
      <w:r>
        <w:t xml:space="preserve">Local economic indicators</w:t>
      </w:r>
    </w:p>
    <w:p>
      <w:pPr>
        <w:pStyle w:val="Compact"/>
        <w:numPr>
          <w:ilvl w:val="0"/>
          <w:numId w:val="1004"/>
        </w:numPr>
      </w:pPr>
      <w:r>
        <w:t xml:space="preserve">Risk assessment visualization</w:t>
      </w:r>
    </w:p>
    <w:bookmarkEnd w:id="13"/>
    <w:bookmarkStart w:id="14" w:name="cash-flow-projection-system"/>
    <w:p>
      <w:pPr>
        <w:pStyle w:val="Heading3"/>
      </w:pPr>
      <w:r>
        <w:t xml:space="preserve">Cash Flow Projection System</w:t>
      </w:r>
    </w:p>
    <w:p>
      <w:pPr>
        <w:pStyle w:val="Compact"/>
        <w:numPr>
          <w:ilvl w:val="0"/>
          <w:numId w:val="1005"/>
        </w:numPr>
      </w:pPr>
      <w:r>
        <w:t xml:space="preserve">Income/expense tracking (ZAR)</w:t>
      </w:r>
    </w:p>
    <w:p>
      <w:pPr>
        <w:pStyle w:val="Compact"/>
        <w:numPr>
          <w:ilvl w:val="0"/>
          <w:numId w:val="1005"/>
        </w:numPr>
      </w:pPr>
      <w:r>
        <w:t xml:space="preserve">Asset/liability management (South Africa)</w:t>
      </w:r>
    </w:p>
    <w:p>
      <w:pPr>
        <w:pStyle w:val="Compact"/>
        <w:numPr>
          <w:ilvl w:val="0"/>
          <w:numId w:val="1005"/>
        </w:numPr>
      </w:pPr>
      <w:r>
        <w:t xml:space="preserve">South African tax impact modeling</w:t>
      </w:r>
    </w:p>
    <w:p>
      <w:pPr>
        <w:pStyle w:val="Compact"/>
        <w:numPr>
          <w:ilvl w:val="0"/>
          <w:numId w:val="1005"/>
        </w:numPr>
      </w:pPr>
      <w:r>
        <w:t xml:space="preserve">Withdrawal strategy optimization (local regulations)</w:t>
      </w:r>
    </w:p>
    <w:bookmarkEnd w:id="14"/>
    <w:bookmarkStart w:id="15" w:name="assetliability-management"/>
    <w:p>
      <w:pPr>
        <w:pStyle w:val="Heading3"/>
      </w:pPr>
      <w:r>
        <w:t xml:space="preserve">Asset/Liability Management</w:t>
      </w:r>
    </w:p>
    <w:p>
      <w:pPr>
        <w:pStyle w:val="Compact"/>
        <w:numPr>
          <w:ilvl w:val="0"/>
          <w:numId w:val="1006"/>
        </w:numPr>
      </w:pPr>
      <w:r>
        <w:t xml:space="preserve">South African property valuation tracking</w:t>
      </w:r>
    </w:p>
    <w:p>
      <w:pPr>
        <w:pStyle w:val="Compact"/>
        <w:numPr>
          <w:ilvl w:val="0"/>
          <w:numId w:val="1006"/>
        </w:numPr>
      </w:pPr>
      <w:r>
        <w:t xml:space="preserve">Local investment portfolio analysis</w:t>
      </w:r>
    </w:p>
    <w:p>
      <w:pPr>
        <w:pStyle w:val="Compact"/>
        <w:numPr>
          <w:ilvl w:val="0"/>
          <w:numId w:val="1006"/>
        </w:numPr>
      </w:pPr>
      <w:r>
        <w:t xml:space="preserve">Debt management (South Africa)</w:t>
      </w:r>
    </w:p>
    <w:p>
      <w:pPr>
        <w:pStyle w:val="Compact"/>
        <w:numPr>
          <w:ilvl w:val="0"/>
          <w:numId w:val="1006"/>
        </w:numPr>
      </w:pPr>
      <w:r>
        <w:t xml:space="preserve">Net worth calculation (ZAR)</w:t>
      </w:r>
    </w:p>
    <w:bookmarkEnd w:id="15"/>
    <w:bookmarkEnd w:id="16"/>
    <w:bookmarkStart w:id="20" w:name="data-management"/>
    <w:p>
      <w:pPr>
        <w:pStyle w:val="Heading2"/>
      </w:pPr>
      <w:r>
        <w:t xml:space="preserve">Data Management</w:t>
      </w:r>
    </w:p>
    <w:bookmarkStart w:id="17" w:name="time-series-data-structure"/>
    <w:p>
      <w:pPr>
        <w:pStyle w:val="Heading3"/>
      </w:pPr>
      <w:r>
        <w:t xml:space="preserve">Time-Series Data Structure</w:t>
      </w:r>
    </w:p>
    <w:p>
      <w:pPr>
        <w:pStyle w:val="Compact"/>
        <w:numPr>
          <w:ilvl w:val="0"/>
          <w:numId w:val="1007"/>
        </w:numPr>
      </w:pPr>
      <w:r>
        <w:t xml:space="preserve">Monthly/annual projections</w:t>
      </w:r>
    </w:p>
    <w:p>
      <w:pPr>
        <w:pStyle w:val="Compact"/>
        <w:numPr>
          <w:ilvl w:val="0"/>
          <w:numId w:val="1007"/>
        </w:numPr>
      </w:pPr>
      <w:r>
        <w:t xml:space="preserve">Historical data integration</w:t>
      </w:r>
    </w:p>
    <w:p>
      <w:pPr>
        <w:pStyle w:val="Compact"/>
        <w:numPr>
          <w:ilvl w:val="0"/>
          <w:numId w:val="1007"/>
        </w:numPr>
      </w:pPr>
      <w:r>
        <w:t xml:space="preserve">Scenario versioning</w:t>
      </w:r>
    </w:p>
    <w:p>
      <w:pPr>
        <w:pStyle w:val="Compact"/>
        <w:numPr>
          <w:ilvl w:val="0"/>
          <w:numId w:val="1007"/>
        </w:numPr>
      </w:pPr>
      <w:r>
        <w:t xml:space="preserve">Data consistency checks</w:t>
      </w:r>
    </w:p>
    <w:bookmarkEnd w:id="17"/>
    <w:bookmarkStart w:id="18" w:name="editable-assumptions-panel"/>
    <w:p>
      <w:pPr>
        <w:pStyle w:val="Heading3"/>
      </w:pPr>
      <w:r>
        <w:t xml:space="preserve">Editable Assumptions Panel</w:t>
      </w:r>
    </w:p>
    <w:p>
      <w:pPr>
        <w:pStyle w:val="Compact"/>
        <w:numPr>
          <w:ilvl w:val="0"/>
          <w:numId w:val="1008"/>
        </w:numPr>
      </w:pPr>
      <w:r>
        <w:t xml:space="preserve">User-defined parameters</w:t>
      </w:r>
    </w:p>
    <w:p>
      <w:pPr>
        <w:pStyle w:val="Compact"/>
        <w:numPr>
          <w:ilvl w:val="0"/>
          <w:numId w:val="1008"/>
        </w:numPr>
      </w:pPr>
      <w:r>
        <w:t xml:space="preserve">Default value management</w:t>
      </w:r>
    </w:p>
    <w:p>
      <w:pPr>
        <w:pStyle w:val="Compact"/>
        <w:numPr>
          <w:ilvl w:val="0"/>
          <w:numId w:val="1008"/>
        </w:numPr>
      </w:pPr>
      <w:r>
        <w:t xml:space="preserve">Validation rules</w:t>
      </w:r>
    </w:p>
    <w:p>
      <w:pPr>
        <w:pStyle w:val="Compact"/>
        <w:numPr>
          <w:ilvl w:val="0"/>
          <w:numId w:val="1008"/>
        </w:numPr>
      </w:pPr>
      <w:r>
        <w:t xml:space="preserve">Version control</w:t>
      </w:r>
    </w:p>
    <w:bookmarkEnd w:id="18"/>
    <w:bookmarkStart w:id="19" w:name="data-importexport"/>
    <w:p>
      <w:pPr>
        <w:pStyle w:val="Heading3"/>
      </w:pPr>
      <w:r>
        <w:t xml:space="preserve">Data Import/Export</w:t>
      </w:r>
    </w:p>
    <w:p>
      <w:pPr>
        <w:pStyle w:val="Compact"/>
        <w:numPr>
          <w:ilvl w:val="0"/>
          <w:numId w:val="1009"/>
        </w:numPr>
      </w:pPr>
      <w:r>
        <w:t xml:space="preserve">File format support (CSV, Excel)</w:t>
      </w:r>
    </w:p>
    <w:p>
      <w:pPr>
        <w:pStyle w:val="Compact"/>
        <w:numPr>
          <w:ilvl w:val="0"/>
          <w:numId w:val="1009"/>
        </w:numPr>
      </w:pPr>
      <w:r>
        <w:t xml:space="preserve">API integration</w:t>
      </w:r>
    </w:p>
    <w:p>
      <w:pPr>
        <w:pStyle w:val="Compact"/>
        <w:numPr>
          <w:ilvl w:val="0"/>
          <w:numId w:val="1009"/>
        </w:numPr>
      </w:pPr>
      <w:r>
        <w:t xml:space="preserve">Data migration tools</w:t>
      </w:r>
    </w:p>
    <w:p>
      <w:pPr>
        <w:pStyle w:val="Compact"/>
        <w:numPr>
          <w:ilvl w:val="0"/>
          <w:numId w:val="1009"/>
        </w:numPr>
      </w:pPr>
      <w:r>
        <w:t xml:space="preserve">Backup/restore functionality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2025-08-09T12:30:26Z</dcterms:created>
  <dcterms:modified xsi:type="dcterms:W3CDTF">2025-08-09T12:30:26Z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