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business-operations-design"/>
    <w:p>
      <w:pPr>
        <w:pStyle w:val="Heading1"/>
      </w:pPr>
      <w:r>
        <w:t xml:space="preserve">Business Operations Design</w:t>
      </w:r>
    </w:p>
    <w:bookmarkStart w:id="22" w:name="business-operations-south-africa-focus"/>
    <w:p>
      <w:pPr>
        <w:pStyle w:val="Heading2"/>
      </w:pPr>
      <w:r>
        <w:t xml:space="preserve">Business Operations (South Africa Focus)</w:t>
      </w:r>
    </w:p>
    <w:bookmarkStart w:id="11" w:name="billing-system"/>
    <w:p>
      <w:pPr>
        <w:pStyle w:val="Heading3"/>
      </w:pPr>
      <w:r>
        <w:t xml:space="preserve">Billing System</w:t>
      </w:r>
    </w:p>
    <w:bookmarkStart w:id="9" w:name="advisor-billing"/>
    <w:p>
      <w:pPr>
        <w:pStyle w:val="Heading4"/>
      </w:pPr>
      <w:r>
        <w:t xml:space="preserve">Advisor Billing</w:t>
      </w:r>
    </w:p>
    <w:p>
      <w:pPr>
        <w:pStyle w:val="Compact"/>
        <w:numPr>
          <w:ilvl w:val="0"/>
          <w:numId w:val="1001"/>
        </w:numPr>
      </w:pPr>
      <w:r>
        <w:t xml:space="preserve">ZAR currency billing</w:t>
      </w:r>
    </w:p>
    <w:p>
      <w:pPr>
        <w:pStyle w:val="Compact"/>
        <w:numPr>
          <w:ilvl w:val="0"/>
          <w:numId w:val="1001"/>
        </w:numPr>
      </w:pPr>
      <w:r>
        <w:t xml:space="preserve">South African tax compliance</w:t>
      </w:r>
    </w:p>
    <w:p>
      <w:pPr>
        <w:pStyle w:val="Compact"/>
        <w:numPr>
          <w:ilvl w:val="0"/>
          <w:numId w:val="1001"/>
        </w:numPr>
      </w:pPr>
      <w:r>
        <w:t xml:space="preserve">Local payment gateway integration</w:t>
      </w:r>
    </w:p>
    <w:p>
      <w:pPr>
        <w:pStyle w:val="Compact"/>
        <w:numPr>
          <w:ilvl w:val="0"/>
          <w:numId w:val="1001"/>
        </w:numPr>
      </w:pPr>
      <w:r>
        <w:t xml:space="preserve">Invoice generation (South Africa standards)</w:t>
      </w:r>
    </w:p>
    <w:p>
      <w:pPr>
        <w:pStyle w:val="Compact"/>
        <w:numPr>
          <w:ilvl w:val="0"/>
          <w:numId w:val="1001"/>
        </w:numPr>
      </w:pPr>
      <w:r>
        <w:t xml:space="preserve">App Registration Fees processing</w:t>
      </w:r>
    </w:p>
    <w:p>
      <w:pPr>
        <w:pStyle w:val="Compact"/>
        <w:numPr>
          <w:ilvl w:val="0"/>
          <w:numId w:val="1001"/>
        </w:numPr>
      </w:pPr>
      <w:r>
        <w:t xml:space="preserve">Renewal fee management</w:t>
      </w:r>
    </w:p>
    <w:bookmarkEnd w:id="9"/>
    <w:bookmarkStart w:id="10" w:name="client-billing"/>
    <w:p>
      <w:pPr>
        <w:pStyle w:val="Heading4"/>
      </w:pPr>
      <w:r>
        <w:t xml:space="preserve">Client Billing</w:t>
      </w:r>
    </w:p>
    <w:p>
      <w:pPr>
        <w:pStyle w:val="Compact"/>
        <w:numPr>
          <w:ilvl w:val="0"/>
          <w:numId w:val="1002"/>
        </w:numPr>
      </w:pPr>
      <w:r>
        <w:t xml:space="preserve">Service fee calculation (ZAR)</w:t>
      </w:r>
    </w:p>
    <w:p>
      <w:pPr>
        <w:pStyle w:val="Compact"/>
        <w:numPr>
          <w:ilvl w:val="0"/>
          <w:numId w:val="1002"/>
        </w:numPr>
      </w:pPr>
      <w:r>
        <w:t xml:space="preserve">Payment tracking (local regulations)</w:t>
      </w:r>
    </w:p>
    <w:p>
      <w:pPr>
        <w:pStyle w:val="Compact"/>
        <w:numPr>
          <w:ilvl w:val="0"/>
          <w:numId w:val="1002"/>
        </w:numPr>
      </w:pPr>
      <w:r>
        <w:t xml:space="preserve">Receipt generation (South Africa)</w:t>
      </w:r>
    </w:p>
    <w:p>
      <w:pPr>
        <w:pStyle w:val="Compact"/>
        <w:numPr>
          <w:ilvl w:val="0"/>
          <w:numId w:val="1002"/>
        </w:numPr>
      </w:pPr>
      <w:r>
        <w:t xml:space="preserve">Outstanding balance management</w:t>
      </w:r>
    </w:p>
    <w:p>
      <w:pPr>
        <w:pStyle w:val="Compact"/>
        <w:numPr>
          <w:ilvl w:val="0"/>
          <w:numId w:val="1002"/>
        </w:numPr>
      </w:pPr>
      <w:r>
        <w:t xml:space="preserve">Retirement Financial Forecasting Services invoicing</w:t>
      </w:r>
    </w:p>
    <w:bookmarkEnd w:id="10"/>
    <w:bookmarkEnd w:id="11"/>
    <w:bookmarkStart w:id="14" w:name="advisorclient-management"/>
    <w:p>
      <w:pPr>
        <w:pStyle w:val="Heading3"/>
      </w:pPr>
      <w:r>
        <w:t xml:space="preserve">Advisor/Client Management</w:t>
      </w:r>
    </w:p>
    <w:bookmarkStart w:id="12" w:name="advisor-management"/>
    <w:p>
      <w:pPr>
        <w:pStyle w:val="Heading4"/>
      </w:pPr>
      <w:r>
        <w:t xml:space="preserve">Advisor Management</w:t>
      </w:r>
    </w:p>
    <w:p>
      <w:pPr>
        <w:pStyle w:val="Compact"/>
        <w:numPr>
          <w:ilvl w:val="0"/>
          <w:numId w:val="1003"/>
        </w:numPr>
      </w:pPr>
      <w:r>
        <w:t xml:space="preserve">South African advisor registration</w:t>
      </w:r>
    </w:p>
    <w:p>
      <w:pPr>
        <w:pStyle w:val="Compact"/>
        <w:numPr>
          <w:ilvl w:val="0"/>
          <w:numId w:val="1003"/>
        </w:numPr>
      </w:pPr>
      <w:r>
        <w:t xml:space="preserve">Local compliance requirements</w:t>
      </w:r>
    </w:p>
    <w:p>
      <w:pPr>
        <w:pStyle w:val="Compact"/>
        <w:numPr>
          <w:ilvl w:val="0"/>
          <w:numId w:val="1003"/>
        </w:numPr>
      </w:pPr>
      <w:r>
        <w:t xml:space="preserve">Client assignment</w:t>
      </w:r>
    </w:p>
    <w:p>
      <w:pPr>
        <w:pStyle w:val="Compact"/>
        <w:numPr>
          <w:ilvl w:val="0"/>
          <w:numId w:val="1003"/>
        </w:numPr>
      </w:pPr>
      <w:r>
        <w:t xml:space="preserve">Performance tracking</w:t>
      </w:r>
    </w:p>
    <w:p>
      <w:pPr>
        <w:pStyle w:val="Compact"/>
        <w:numPr>
          <w:ilvl w:val="0"/>
          <w:numId w:val="1003"/>
        </w:numPr>
      </w:pPr>
      <w:r>
        <w:t xml:space="preserve">Payment status monitoring</w:t>
      </w:r>
    </w:p>
    <w:p>
      <w:pPr>
        <w:pStyle w:val="Compact"/>
        <w:numPr>
          <w:ilvl w:val="0"/>
          <w:numId w:val="1003"/>
        </w:numPr>
      </w:pPr>
      <w:r>
        <w:t xml:space="preserve">Access control based on payment status</w:t>
      </w:r>
    </w:p>
    <w:bookmarkEnd w:id="12"/>
    <w:bookmarkStart w:id="13" w:name="client-management"/>
    <w:p>
      <w:pPr>
        <w:pStyle w:val="Heading4"/>
      </w:pPr>
      <w:r>
        <w:t xml:space="preserve">Client Management</w:t>
      </w:r>
    </w:p>
    <w:p>
      <w:pPr>
        <w:pStyle w:val="Compact"/>
        <w:numPr>
          <w:ilvl w:val="0"/>
          <w:numId w:val="1004"/>
        </w:numPr>
      </w:pPr>
      <w:r>
        <w:t xml:space="preserve">South African client profiles</w:t>
      </w:r>
    </w:p>
    <w:p>
      <w:pPr>
        <w:pStyle w:val="Compact"/>
        <w:numPr>
          <w:ilvl w:val="0"/>
          <w:numId w:val="1004"/>
        </w:numPr>
      </w:pPr>
      <w:r>
        <w:t xml:space="preserve">Financial data management (local regulations)</w:t>
      </w:r>
    </w:p>
    <w:p>
      <w:pPr>
        <w:pStyle w:val="Compact"/>
        <w:numPr>
          <w:ilvl w:val="0"/>
          <w:numId w:val="1004"/>
        </w:numPr>
      </w:pPr>
      <w:r>
        <w:t xml:space="preserve">Scenario tracking</w:t>
      </w:r>
    </w:p>
    <w:p>
      <w:pPr>
        <w:pStyle w:val="Compact"/>
        <w:numPr>
          <w:ilvl w:val="0"/>
          <w:numId w:val="1004"/>
        </w:numPr>
      </w:pPr>
      <w:r>
        <w:t xml:space="preserve">Report access control</w:t>
      </w:r>
    </w:p>
    <w:p>
      <w:pPr>
        <w:pStyle w:val="Compact"/>
        <w:numPr>
          <w:ilvl w:val="0"/>
          <w:numId w:val="1004"/>
        </w:numPr>
      </w:pPr>
      <w:r>
        <w:t xml:space="preserve">Payment status tracking</w:t>
      </w:r>
    </w:p>
    <w:p>
      <w:pPr>
        <w:pStyle w:val="Compact"/>
        <w:numPr>
          <w:ilvl w:val="0"/>
          <w:numId w:val="1004"/>
        </w:numPr>
      </w:pPr>
      <w:r>
        <w:t xml:space="preserve">Service access control</w:t>
      </w:r>
    </w:p>
    <w:bookmarkEnd w:id="13"/>
    <w:bookmarkEnd w:id="14"/>
    <w:bookmarkStart w:id="18" w:name="payment-processing"/>
    <w:p>
      <w:pPr>
        <w:pStyle w:val="Heading3"/>
      </w:pPr>
      <w:r>
        <w:t xml:space="preserve">Payment Processing</w:t>
      </w:r>
    </w:p>
    <w:bookmarkStart w:id="15" w:name="payment-gateways"/>
    <w:p>
      <w:pPr>
        <w:pStyle w:val="Heading4"/>
      </w:pPr>
      <w:r>
        <w:t xml:space="preserve">Payment Gateways</w:t>
      </w:r>
    </w:p>
    <w:p>
      <w:pPr>
        <w:pStyle w:val="Compact"/>
        <w:numPr>
          <w:ilvl w:val="0"/>
          <w:numId w:val="1005"/>
        </w:numPr>
      </w:pPr>
      <w:r>
        <w:t xml:space="preserve">South African payment gateway integration</w:t>
      </w:r>
    </w:p>
    <w:p>
      <w:pPr>
        <w:pStyle w:val="Compact"/>
        <w:numPr>
          <w:ilvl w:val="0"/>
          <w:numId w:val="1005"/>
        </w:numPr>
      </w:pPr>
      <w:r>
        <w:t xml:space="preserve">Transaction tracking (local regulations)</w:t>
      </w:r>
    </w:p>
    <w:p>
      <w:pPr>
        <w:pStyle w:val="Compact"/>
        <w:numPr>
          <w:ilvl w:val="0"/>
          <w:numId w:val="1005"/>
        </w:numPr>
      </w:pPr>
      <w:r>
        <w:t xml:space="preserve">Reconciliation (ZAR)</w:t>
      </w:r>
    </w:p>
    <w:p>
      <w:pPr>
        <w:pStyle w:val="Compact"/>
        <w:numPr>
          <w:ilvl w:val="0"/>
          <w:numId w:val="1005"/>
        </w:numPr>
      </w:pPr>
      <w:r>
        <w:t xml:space="preserve">Fraud detection</w:t>
      </w:r>
    </w:p>
    <w:p>
      <w:pPr>
        <w:pStyle w:val="Compact"/>
        <w:numPr>
          <w:ilvl w:val="0"/>
          <w:numId w:val="1005"/>
        </w:numPr>
      </w:pPr>
      <w:r>
        <w:t xml:space="preserve">Multi-gateway support for major payment providers</w:t>
      </w:r>
    </w:p>
    <w:p>
      <w:pPr>
        <w:pStyle w:val="Compact"/>
        <w:numPr>
          <w:ilvl w:val="0"/>
          <w:numId w:val="1005"/>
        </w:numPr>
      </w:pPr>
      <w:r>
        <w:t xml:space="preserve">Direct deposits to App Owner bank account (Advisor payments)</w:t>
      </w:r>
    </w:p>
    <w:p>
      <w:pPr>
        <w:pStyle w:val="Compact"/>
        <w:numPr>
          <w:ilvl w:val="0"/>
          <w:numId w:val="1005"/>
        </w:numPr>
      </w:pPr>
      <w:r>
        <w:t xml:space="preserve">Direct deposits to Advisor bank account (Client payments)</w:t>
      </w:r>
    </w:p>
    <w:bookmarkEnd w:id="15"/>
    <w:bookmarkStart w:id="16" w:name="payment-workflows"/>
    <w:p>
      <w:pPr>
        <w:pStyle w:val="Heading4"/>
      </w:pPr>
      <w:r>
        <w:t xml:space="preserve">Payment Workflows</w:t>
      </w:r>
    </w:p>
    <w:p>
      <w:pPr>
        <w:pStyle w:val="Compact"/>
        <w:numPr>
          <w:ilvl w:val="0"/>
          <w:numId w:val="1006"/>
        </w:numPr>
      </w:pPr>
      <w:r>
        <w:t xml:space="preserve">Invoice generation (South Africa standards)</w:t>
      </w:r>
    </w:p>
    <w:p>
      <w:pPr>
        <w:pStyle w:val="Compact"/>
        <w:numPr>
          <w:ilvl w:val="0"/>
          <w:numId w:val="1006"/>
        </w:numPr>
      </w:pPr>
      <w:r>
        <w:t xml:space="preserve">Payment reminders</w:t>
      </w:r>
    </w:p>
    <w:p>
      <w:pPr>
        <w:pStyle w:val="Compact"/>
        <w:numPr>
          <w:ilvl w:val="0"/>
          <w:numId w:val="1006"/>
        </w:numPr>
      </w:pPr>
      <w:r>
        <w:t xml:space="preserve">Failed payment handling</w:t>
      </w:r>
    </w:p>
    <w:p>
      <w:pPr>
        <w:pStyle w:val="Compact"/>
        <w:numPr>
          <w:ilvl w:val="0"/>
          <w:numId w:val="1006"/>
        </w:numPr>
      </w:pPr>
      <w:r>
        <w:t xml:space="preserve">Refund processing</w:t>
      </w:r>
    </w:p>
    <w:p>
      <w:pPr>
        <w:pStyle w:val="Compact"/>
        <w:numPr>
          <w:ilvl w:val="0"/>
          <w:numId w:val="1006"/>
        </w:numPr>
      </w:pPr>
      <w:r>
        <w:t xml:space="preserve">Manual payment processing</w:t>
      </w:r>
    </w:p>
    <w:p>
      <w:pPr>
        <w:pStyle w:val="Compact"/>
        <w:numPr>
          <w:ilvl w:val="0"/>
          <w:numId w:val="1006"/>
        </w:numPr>
      </w:pPr>
      <w:r>
        <w:t xml:space="preserve">Payment confirmation notifications</w:t>
      </w:r>
    </w:p>
    <w:p>
      <w:pPr>
        <w:pStyle w:val="Compact"/>
        <w:numPr>
          <w:ilvl w:val="0"/>
          <w:numId w:val="1006"/>
        </w:numPr>
      </w:pPr>
      <w:r>
        <w:t xml:space="preserve">Dual-party payment confirmation (invoice creator and payer)</w:t>
      </w:r>
    </w:p>
    <w:bookmarkEnd w:id="16"/>
    <w:bookmarkStart w:id="17" w:name="payment-enforcement"/>
    <w:p>
      <w:pPr>
        <w:pStyle w:val="Heading4"/>
      </w:pPr>
      <w:r>
        <w:t xml:space="preserve">Payment Enforcement</w:t>
      </w:r>
    </w:p>
    <w:p>
      <w:pPr>
        <w:pStyle w:val="Compact"/>
        <w:numPr>
          <w:ilvl w:val="0"/>
          <w:numId w:val="1007"/>
        </w:numPr>
      </w:pPr>
      <w:r>
        <w:t xml:space="preserve">Advisor access blocking for unpaid registration/renewal fees</w:t>
      </w:r>
    </w:p>
    <w:p>
      <w:pPr>
        <w:pStyle w:val="Compact"/>
        <w:numPr>
          <w:ilvl w:val="0"/>
          <w:numId w:val="1007"/>
        </w:numPr>
      </w:pPr>
      <w:r>
        <w:t xml:space="preserve">Client report generation blocking for unpaid advisor invoices</w:t>
      </w:r>
    </w:p>
    <w:p>
      <w:pPr>
        <w:pStyle w:val="Compact"/>
        <w:numPr>
          <w:ilvl w:val="0"/>
          <w:numId w:val="1007"/>
        </w:numPr>
      </w:pPr>
      <w:r>
        <w:t xml:space="preserve">Automated access restoration upon payment confirmation</w:t>
      </w:r>
    </w:p>
    <w:p>
      <w:pPr>
        <w:pStyle w:val="Compact"/>
        <w:numPr>
          <w:ilvl w:val="0"/>
          <w:numId w:val="1007"/>
        </w:numPr>
      </w:pPr>
      <w:r>
        <w:t xml:space="preserve">Grace period management</w:t>
      </w:r>
    </w:p>
    <w:bookmarkEnd w:id="17"/>
    <w:bookmarkEnd w:id="18"/>
    <w:bookmarkStart w:id="21" w:name="subscription-management"/>
    <w:p>
      <w:pPr>
        <w:pStyle w:val="Heading3"/>
      </w:pPr>
      <w:r>
        <w:t xml:space="preserve">Subscription Management</w:t>
      </w:r>
    </w:p>
    <w:bookmarkStart w:id="19" w:name="subscription-plans"/>
    <w:p>
      <w:pPr>
        <w:pStyle w:val="Heading4"/>
      </w:pPr>
      <w:r>
        <w:t xml:space="preserve">Subscription Plans</w:t>
      </w:r>
    </w:p>
    <w:p>
      <w:pPr>
        <w:pStyle w:val="Compact"/>
        <w:numPr>
          <w:ilvl w:val="0"/>
          <w:numId w:val="1008"/>
        </w:numPr>
      </w:pPr>
      <w:r>
        <w:t xml:space="preserve">ZAR pricing models</w:t>
      </w:r>
    </w:p>
    <w:p>
      <w:pPr>
        <w:pStyle w:val="Compact"/>
        <w:numPr>
          <w:ilvl w:val="0"/>
          <w:numId w:val="1008"/>
        </w:numPr>
      </w:pPr>
      <w:r>
        <w:t xml:space="preserve">Feature access control</w:t>
      </w:r>
    </w:p>
    <w:p>
      <w:pPr>
        <w:pStyle w:val="Compact"/>
        <w:numPr>
          <w:ilvl w:val="0"/>
          <w:numId w:val="1008"/>
        </w:numPr>
      </w:pPr>
      <w:r>
        <w:t xml:space="preserve">Plan upgrades/downgrades</w:t>
      </w:r>
    </w:p>
    <w:p>
      <w:pPr>
        <w:pStyle w:val="Compact"/>
        <w:numPr>
          <w:ilvl w:val="0"/>
          <w:numId w:val="1008"/>
        </w:numPr>
      </w:pPr>
      <w:r>
        <w:t xml:space="preserve">Trial period management</w:t>
      </w:r>
    </w:p>
    <w:p>
      <w:pPr>
        <w:pStyle w:val="Compact"/>
        <w:numPr>
          <w:ilvl w:val="0"/>
          <w:numId w:val="1008"/>
        </w:numPr>
      </w:pPr>
      <w:r>
        <w:t xml:space="preserve">Advisor registration fee structure</w:t>
      </w:r>
    </w:p>
    <w:p>
      <w:pPr>
        <w:pStyle w:val="Compact"/>
        <w:numPr>
          <w:ilvl w:val="0"/>
          <w:numId w:val="1008"/>
        </w:numPr>
      </w:pPr>
      <w:r>
        <w:t xml:space="preserve">Client service fee structure</w:t>
      </w:r>
    </w:p>
    <w:bookmarkEnd w:id="19"/>
    <w:bookmarkStart w:id="20" w:name="subscription-operations"/>
    <w:p>
      <w:pPr>
        <w:pStyle w:val="Heading4"/>
      </w:pPr>
      <w:r>
        <w:t xml:space="preserve">Subscription Operations</w:t>
      </w:r>
    </w:p>
    <w:p>
      <w:pPr>
        <w:pStyle w:val="Compact"/>
        <w:numPr>
          <w:ilvl w:val="0"/>
          <w:numId w:val="1009"/>
        </w:numPr>
      </w:pPr>
      <w:r>
        <w:t xml:space="preserve">Renewal reminders</w:t>
      </w:r>
    </w:p>
    <w:p>
      <w:pPr>
        <w:pStyle w:val="Compact"/>
        <w:numPr>
          <w:ilvl w:val="0"/>
          <w:numId w:val="1009"/>
        </w:numPr>
      </w:pPr>
      <w:r>
        <w:t xml:space="preserve">Payment failure handling</w:t>
      </w:r>
    </w:p>
    <w:p>
      <w:pPr>
        <w:pStyle w:val="Compact"/>
        <w:numPr>
          <w:ilvl w:val="0"/>
          <w:numId w:val="1009"/>
        </w:numPr>
      </w:pPr>
      <w:r>
        <w:t xml:space="preserve">Cancellation workflows</w:t>
      </w:r>
    </w:p>
    <w:p>
      <w:pPr>
        <w:pStyle w:val="Compact"/>
        <w:numPr>
          <w:ilvl w:val="0"/>
          <w:numId w:val="1009"/>
        </w:numPr>
      </w:pPr>
      <w:r>
        <w:t xml:space="preserve">Usage tracking</w:t>
      </w:r>
    </w:p>
    <w:p>
      <w:pPr>
        <w:pStyle w:val="Compact"/>
        <w:numPr>
          <w:ilvl w:val="0"/>
          <w:numId w:val="1009"/>
        </w:numPr>
      </w:pPr>
      <w:r>
        <w:t xml:space="preserve">Payment status monitoring</w:t>
      </w:r>
    </w:p>
    <w:p>
      <w:pPr>
        <w:pStyle w:val="Compact"/>
        <w:numPr>
          <w:ilvl w:val="0"/>
          <w:numId w:val="1009"/>
        </w:numPr>
      </w:pPr>
      <w:r>
        <w:t xml:space="preserve">Access control enforcement</w:t>
      </w:r>
    </w:p>
    <w:bookmarkEnd w:id="20"/>
    <w:bookmarkEnd w:id="21"/>
    <w:bookmarkEnd w:id="22"/>
    <w:bookmarkStart w:id="30" w:name="ai-agent-payment-integration"/>
    <w:p>
      <w:pPr>
        <w:pStyle w:val="Heading2"/>
      </w:pPr>
      <w:r>
        <w:t xml:space="preserve">AI Agent Payment Integration</w:t>
      </w:r>
    </w:p>
    <w:bookmarkStart w:id="26" w:name="agent-monetization-framework"/>
    <w:p>
      <w:pPr>
        <w:pStyle w:val="Heading3"/>
      </w:pPr>
      <w:r>
        <w:t xml:space="preserve">Agent Monetization Framework</w:t>
      </w:r>
    </w:p>
    <w:bookmarkStart w:id="23" w:name="payment-models"/>
    <w:p>
      <w:pPr>
        <w:pStyle w:val="Heading4"/>
      </w:pPr>
      <w:r>
        <w:t xml:space="preserve">Payment Models</w:t>
      </w:r>
    </w:p>
    <w:p>
      <w:pPr>
        <w:pStyle w:val="Compact"/>
        <w:numPr>
          <w:ilvl w:val="0"/>
          <w:numId w:val="1010"/>
        </w:numPr>
      </w:pPr>
      <w:r>
        <w:t xml:space="preserve">Usage-based billing for AI agent services</w:t>
      </w:r>
    </w:p>
    <w:p>
      <w:pPr>
        <w:pStyle w:val="Compact"/>
        <w:numPr>
          <w:ilvl w:val="0"/>
          <w:numId w:val="1010"/>
        </w:numPr>
      </w:pPr>
      <w:r>
        <w:t xml:space="preserve">Subscription fees for agent access</w:t>
      </w:r>
    </w:p>
    <w:p>
      <w:pPr>
        <w:pStyle w:val="Compact"/>
        <w:numPr>
          <w:ilvl w:val="0"/>
          <w:numId w:val="1010"/>
        </w:numPr>
      </w:pPr>
      <w:r>
        <w:t xml:space="preserve">Transaction fees for agent-mediated services</w:t>
      </w:r>
    </w:p>
    <w:p>
      <w:pPr>
        <w:pStyle w:val="Compact"/>
        <w:numPr>
          <w:ilvl w:val="0"/>
          <w:numId w:val="1010"/>
        </w:numPr>
      </w:pPr>
      <w:r>
        <w:t xml:space="preserve">Performance-based pricing models</w:t>
      </w:r>
    </w:p>
    <w:bookmarkEnd w:id="23"/>
    <w:bookmarkStart w:id="24" w:name="payment-processing-for-agents"/>
    <w:p>
      <w:pPr>
        <w:pStyle w:val="Heading4"/>
      </w:pPr>
      <w:r>
        <w:t xml:space="preserve">Payment Processing for Agents</w:t>
      </w:r>
    </w:p>
    <w:p>
      <w:pPr>
        <w:pStyle w:val="Compact"/>
        <w:numPr>
          <w:ilvl w:val="0"/>
          <w:numId w:val="1011"/>
        </w:numPr>
      </w:pPr>
      <w:r>
        <w:t xml:space="preserve">Automated billing for agent usage</w:t>
      </w:r>
    </w:p>
    <w:p>
      <w:pPr>
        <w:pStyle w:val="Compact"/>
        <w:numPr>
          <w:ilvl w:val="0"/>
          <w:numId w:val="1011"/>
        </w:numPr>
      </w:pPr>
      <w:r>
        <w:t xml:space="preserve">Multi-currency support for international agents</w:t>
      </w:r>
    </w:p>
    <w:p>
      <w:pPr>
        <w:pStyle w:val="Compact"/>
        <w:numPr>
          <w:ilvl w:val="0"/>
          <w:numId w:val="1011"/>
        </w:numPr>
      </w:pPr>
      <w:r>
        <w:t xml:space="preserve">Real-time payment processing</w:t>
      </w:r>
    </w:p>
    <w:p>
      <w:pPr>
        <w:pStyle w:val="Compact"/>
        <w:numPr>
          <w:ilvl w:val="0"/>
          <w:numId w:val="1011"/>
        </w:numPr>
      </w:pPr>
      <w:r>
        <w:t xml:space="preserve">Revenue sharing mechanisms</w:t>
      </w:r>
    </w:p>
    <w:p>
      <w:pPr>
        <w:pStyle w:val="Compact"/>
        <w:numPr>
          <w:ilvl w:val="0"/>
          <w:numId w:val="1011"/>
        </w:numPr>
      </w:pPr>
      <w:r>
        <w:t xml:space="preserve">Commission tracking for agent networks</w:t>
      </w:r>
    </w:p>
    <w:bookmarkEnd w:id="24"/>
    <w:bookmarkStart w:id="25" w:name="access-control-integration"/>
    <w:p>
      <w:pPr>
        <w:pStyle w:val="Heading4"/>
      </w:pPr>
      <w:r>
        <w:t xml:space="preserve">Access Control Integration</w:t>
      </w:r>
    </w:p>
    <w:p>
      <w:pPr>
        <w:pStyle w:val="Compact"/>
        <w:numPr>
          <w:ilvl w:val="0"/>
          <w:numId w:val="1012"/>
        </w:numPr>
      </w:pPr>
      <w:r>
        <w:t xml:space="preserve">Agent access tied to payment status</w:t>
      </w:r>
    </w:p>
    <w:p>
      <w:pPr>
        <w:pStyle w:val="Compact"/>
        <w:numPr>
          <w:ilvl w:val="0"/>
          <w:numId w:val="1012"/>
        </w:numPr>
      </w:pPr>
      <w:r>
        <w:t xml:space="preserve">Usage quotas based on payment tiers</w:t>
      </w:r>
    </w:p>
    <w:p>
      <w:pPr>
        <w:pStyle w:val="Compact"/>
        <w:numPr>
          <w:ilvl w:val="0"/>
          <w:numId w:val="1012"/>
        </w:numPr>
      </w:pPr>
      <w:r>
        <w:t xml:space="preserve">Service level agreements linked to payment plans</w:t>
      </w:r>
    </w:p>
    <w:p>
      <w:pPr>
        <w:pStyle w:val="Compact"/>
        <w:numPr>
          <w:ilvl w:val="0"/>
          <w:numId w:val="1012"/>
        </w:numPr>
      </w:pPr>
      <w:r>
        <w:t xml:space="preserve">Automated suspension for non-payment</w:t>
      </w:r>
    </w:p>
    <w:bookmarkEnd w:id="25"/>
    <w:bookmarkEnd w:id="26"/>
    <w:bookmarkStart w:id="29" w:name="implementation-considerations"/>
    <w:p>
      <w:pPr>
        <w:pStyle w:val="Heading3"/>
      </w:pPr>
      <w:r>
        <w:t xml:space="preserve">Implementation Considerations</w:t>
      </w:r>
    </w:p>
    <w:bookmarkStart w:id="27" w:name="security-and-compliance"/>
    <w:p>
      <w:pPr>
        <w:pStyle w:val="Heading4"/>
      </w:pPr>
      <w:r>
        <w:t xml:space="preserve">Security and Compliance</w:t>
      </w:r>
    </w:p>
    <w:p>
      <w:pPr>
        <w:pStyle w:val="Compact"/>
        <w:numPr>
          <w:ilvl w:val="0"/>
          <w:numId w:val="1013"/>
        </w:numPr>
      </w:pPr>
      <w:r>
        <w:t xml:space="preserve">PCI DSS compliance for card payments</w:t>
      </w:r>
    </w:p>
    <w:p>
      <w:pPr>
        <w:pStyle w:val="Compact"/>
        <w:numPr>
          <w:ilvl w:val="0"/>
          <w:numId w:val="1013"/>
        </w:numPr>
      </w:pPr>
      <w:r>
        <w:t xml:space="preserve">South African financial regulations adherence</w:t>
      </w:r>
    </w:p>
    <w:p>
      <w:pPr>
        <w:pStyle w:val="Compact"/>
        <w:numPr>
          <w:ilvl w:val="0"/>
          <w:numId w:val="1013"/>
        </w:numPr>
      </w:pPr>
      <w:r>
        <w:t xml:space="preserve">Data protection for payment information</w:t>
      </w:r>
    </w:p>
    <w:p>
      <w:pPr>
        <w:pStyle w:val="Compact"/>
        <w:numPr>
          <w:ilvl w:val="0"/>
          <w:numId w:val="1013"/>
        </w:numPr>
      </w:pPr>
      <w:r>
        <w:t xml:space="preserve">Audit trails for all financial transactions</w:t>
      </w:r>
    </w:p>
    <w:bookmarkEnd w:id="27"/>
    <w:bookmarkStart w:id="28" w:name="scalability"/>
    <w:p>
      <w:pPr>
        <w:pStyle w:val="Heading4"/>
      </w:pPr>
      <w:r>
        <w:t xml:space="preserve">Scalability</w:t>
      </w:r>
    </w:p>
    <w:p>
      <w:pPr>
        <w:pStyle w:val="Compact"/>
        <w:numPr>
          <w:ilvl w:val="0"/>
          <w:numId w:val="1014"/>
        </w:numPr>
      </w:pPr>
      <w:r>
        <w:t xml:space="preserve">Multi-tenant payment processing</w:t>
      </w:r>
    </w:p>
    <w:p>
      <w:pPr>
        <w:pStyle w:val="Compact"/>
        <w:numPr>
          <w:ilvl w:val="0"/>
          <w:numId w:val="1014"/>
        </w:numPr>
      </w:pPr>
      <w:r>
        <w:t xml:space="preserve">High-volume transaction handling</w:t>
      </w:r>
    </w:p>
    <w:p>
      <w:pPr>
        <w:pStyle w:val="Compact"/>
        <w:numPr>
          <w:ilvl w:val="0"/>
          <w:numId w:val="1014"/>
        </w:numPr>
      </w:pPr>
      <w:r>
        <w:t xml:space="preserve">Real-time payment status updates</w:t>
      </w:r>
    </w:p>
    <w:p>
      <w:pPr>
        <w:pStyle w:val="Compact"/>
        <w:numPr>
          <w:ilvl w:val="0"/>
          <w:numId w:val="1014"/>
        </w:numPr>
      </w:pPr>
      <w:r>
        <w:t xml:space="preserve">Automated reconciliation processes</w:t>
      </w:r>
    </w:p>
    <w:bookmarkEnd w:id="28"/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2025-08-09T12:30:26Z</dcterms:created>
  <dcterms:modified xsi:type="dcterms:W3CDTF">2025-08-09T12:30:26Z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