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porting-framework-design"/>
    <w:p>
      <w:pPr>
        <w:pStyle w:val="Heading1"/>
      </w:pPr>
      <w:r>
        <w:t xml:space="preserve">Reporting Framework Design</w:t>
      </w:r>
    </w:p>
    <w:bookmarkStart w:id="12" w:name="standard-report-templates"/>
    <w:p>
      <w:pPr>
        <w:pStyle w:val="Heading2"/>
      </w:pPr>
      <w:r>
        <w:t xml:space="preserve">Standard Report Templates</w:t>
      </w:r>
    </w:p>
    <w:bookmarkStart w:id="9" w:name="retirement-financial-forecast"/>
    <w:p>
      <w:pPr>
        <w:pStyle w:val="Heading3"/>
      </w:pPr>
      <w:r>
        <w:t xml:space="preserve">Retirement Financial Forecast</w:t>
      </w:r>
    </w:p>
    <w:p>
      <w:pPr>
        <w:pStyle w:val="Compact"/>
        <w:numPr>
          <w:ilvl w:val="0"/>
          <w:numId w:val="1001"/>
        </w:numPr>
      </w:pPr>
      <w:r>
        <w:t xml:space="preserve">Comprehensive overview</w:t>
      </w:r>
    </w:p>
    <w:p>
      <w:pPr>
        <w:pStyle w:val="Compact"/>
        <w:numPr>
          <w:ilvl w:val="0"/>
          <w:numId w:val="1001"/>
        </w:numPr>
      </w:pPr>
      <w:r>
        <w:t xml:space="preserve">Scenario comparison</w:t>
      </w:r>
    </w:p>
    <w:p>
      <w:pPr>
        <w:pStyle w:val="Compact"/>
        <w:numPr>
          <w:ilvl w:val="0"/>
          <w:numId w:val="1001"/>
        </w:numPr>
      </w:pPr>
      <w:r>
        <w:t xml:space="preserve">Risk analysis</w:t>
      </w:r>
    </w:p>
    <w:p>
      <w:pPr>
        <w:pStyle w:val="Compact"/>
        <w:numPr>
          <w:ilvl w:val="0"/>
          <w:numId w:val="1001"/>
        </w:numPr>
      </w:pPr>
      <w:r>
        <w:t xml:space="preserve">Recommendations</w:t>
      </w:r>
    </w:p>
    <w:bookmarkEnd w:id="9"/>
    <w:bookmarkStart w:id="10" w:name="net-wealth-reports"/>
    <w:p>
      <w:pPr>
        <w:pStyle w:val="Heading3"/>
      </w:pPr>
      <w:r>
        <w:t xml:space="preserve">Net Wealth Reports</w:t>
      </w:r>
    </w:p>
    <w:p>
      <w:pPr>
        <w:pStyle w:val="Compact"/>
        <w:numPr>
          <w:ilvl w:val="0"/>
          <w:numId w:val="1002"/>
        </w:numPr>
      </w:pPr>
      <w:r>
        <w:t xml:space="preserve">Annual summaries</w:t>
      </w:r>
    </w:p>
    <w:p>
      <w:pPr>
        <w:pStyle w:val="Compact"/>
        <w:numPr>
          <w:ilvl w:val="0"/>
          <w:numId w:val="1002"/>
        </w:numPr>
      </w:pPr>
      <w:r>
        <w:t xml:space="preserve">Monthly details</w:t>
      </w:r>
    </w:p>
    <w:p>
      <w:pPr>
        <w:pStyle w:val="Compact"/>
        <w:numPr>
          <w:ilvl w:val="0"/>
          <w:numId w:val="1002"/>
        </w:numPr>
      </w:pPr>
      <w:r>
        <w:t xml:space="preserve">Asset breakdowns</w:t>
      </w:r>
    </w:p>
    <w:p>
      <w:pPr>
        <w:pStyle w:val="Compact"/>
        <w:numPr>
          <w:ilvl w:val="0"/>
          <w:numId w:val="1002"/>
        </w:numPr>
      </w:pPr>
      <w:r>
        <w:t xml:space="preserve">Liability tracking</w:t>
      </w:r>
    </w:p>
    <w:bookmarkEnd w:id="10"/>
    <w:bookmarkStart w:id="11" w:name="cash-flow-reports"/>
    <w:p>
      <w:pPr>
        <w:pStyle w:val="Heading3"/>
      </w:pPr>
      <w:r>
        <w:t xml:space="preserve">Cash Flow Reports</w:t>
      </w:r>
    </w:p>
    <w:p>
      <w:pPr>
        <w:pStyle w:val="Compact"/>
        <w:numPr>
          <w:ilvl w:val="0"/>
          <w:numId w:val="1003"/>
        </w:numPr>
      </w:pPr>
      <w:r>
        <w:t xml:space="preserve">Income/expense tracking</w:t>
      </w:r>
    </w:p>
    <w:p>
      <w:pPr>
        <w:pStyle w:val="Compact"/>
        <w:numPr>
          <w:ilvl w:val="0"/>
          <w:numId w:val="1003"/>
        </w:numPr>
      </w:pPr>
      <w:r>
        <w:t xml:space="preserve">Surplus/deficit analysis</w:t>
      </w:r>
    </w:p>
    <w:p>
      <w:pPr>
        <w:pStyle w:val="Compact"/>
        <w:numPr>
          <w:ilvl w:val="0"/>
          <w:numId w:val="1003"/>
        </w:numPr>
      </w:pPr>
      <w:r>
        <w:t xml:space="preserve">Investment withdrawals</w:t>
      </w:r>
    </w:p>
    <w:p>
      <w:pPr>
        <w:pStyle w:val="Compact"/>
        <w:numPr>
          <w:ilvl w:val="0"/>
          <w:numId w:val="1003"/>
        </w:numPr>
      </w:pPr>
      <w:r>
        <w:t xml:space="preserve">Tax impact visualization</w:t>
      </w:r>
    </w:p>
    <w:bookmarkEnd w:id="11"/>
    <w:bookmarkEnd w:id="12"/>
    <w:bookmarkStart w:id="15" w:name="custom-visualization-tools"/>
    <w:p>
      <w:pPr>
        <w:pStyle w:val="Heading2"/>
      </w:pPr>
      <w:r>
        <w:t xml:space="preserve">Custom Visualization Tools</w:t>
      </w:r>
    </w:p>
    <w:bookmarkStart w:id="13" w:name="interactive-dashboards"/>
    <w:p>
      <w:pPr>
        <w:pStyle w:val="Heading3"/>
      </w:pPr>
      <w:r>
        <w:t xml:space="preserve">Interactive Dashboards</w:t>
      </w:r>
    </w:p>
    <w:p>
      <w:pPr>
        <w:pStyle w:val="Compact"/>
        <w:numPr>
          <w:ilvl w:val="0"/>
          <w:numId w:val="1004"/>
        </w:numPr>
      </w:pPr>
      <w:r>
        <w:t xml:space="preserve">Drag-and-drop widgets</w:t>
      </w:r>
    </w:p>
    <w:p>
      <w:pPr>
        <w:pStyle w:val="Compact"/>
        <w:numPr>
          <w:ilvl w:val="0"/>
          <w:numId w:val="1004"/>
        </w:numPr>
      </w:pPr>
      <w:r>
        <w:t xml:space="preserve">Real-time data updates</w:t>
      </w:r>
    </w:p>
    <w:p>
      <w:pPr>
        <w:pStyle w:val="Compact"/>
        <w:numPr>
          <w:ilvl w:val="0"/>
          <w:numId w:val="1004"/>
        </w:numPr>
      </w:pPr>
      <w:r>
        <w:t xml:space="preserve">Scenario modeling</w:t>
      </w:r>
    </w:p>
    <w:p>
      <w:pPr>
        <w:pStyle w:val="Compact"/>
        <w:numPr>
          <w:ilvl w:val="0"/>
          <w:numId w:val="1004"/>
        </w:numPr>
      </w:pPr>
      <w:r>
        <w:t xml:space="preserve">Trend analysis</w:t>
      </w:r>
    </w:p>
    <w:bookmarkEnd w:id="13"/>
    <w:bookmarkStart w:id="14" w:name="graphical-representations"/>
    <w:p>
      <w:pPr>
        <w:pStyle w:val="Heading3"/>
      </w:pPr>
      <w:r>
        <w:t xml:space="preserve">Graphical Representations</w:t>
      </w:r>
    </w:p>
    <w:p>
      <w:pPr>
        <w:pStyle w:val="Compact"/>
        <w:numPr>
          <w:ilvl w:val="0"/>
          <w:numId w:val="1005"/>
        </w:numPr>
      </w:pPr>
      <w:r>
        <w:t xml:space="preserve">Line charts</w:t>
      </w:r>
    </w:p>
    <w:p>
      <w:pPr>
        <w:pStyle w:val="Compact"/>
        <w:numPr>
          <w:ilvl w:val="0"/>
          <w:numId w:val="1005"/>
        </w:numPr>
      </w:pPr>
      <w:r>
        <w:t xml:space="preserve">Bar graphs</w:t>
      </w:r>
    </w:p>
    <w:p>
      <w:pPr>
        <w:pStyle w:val="Compact"/>
        <w:numPr>
          <w:ilvl w:val="0"/>
          <w:numId w:val="1005"/>
        </w:numPr>
      </w:pPr>
      <w:r>
        <w:t xml:space="preserve">Pie charts</w:t>
      </w:r>
    </w:p>
    <w:p>
      <w:pPr>
        <w:pStyle w:val="Compact"/>
        <w:numPr>
          <w:ilvl w:val="0"/>
          <w:numId w:val="1005"/>
        </w:numPr>
      </w:pPr>
      <w:r>
        <w:t xml:space="preserve">Heat maps</w:t>
      </w:r>
    </w:p>
    <w:bookmarkEnd w:id="14"/>
    <w:bookmarkEnd w:id="15"/>
    <w:bookmarkStart w:id="18" w:name="export-functionality"/>
    <w:p>
      <w:pPr>
        <w:pStyle w:val="Heading2"/>
      </w:pPr>
      <w:r>
        <w:t xml:space="preserve">Export Functionality</w:t>
      </w:r>
    </w:p>
    <w:bookmarkStart w:id="16" w:name="file-formats"/>
    <w:p>
      <w:pPr>
        <w:pStyle w:val="Heading3"/>
      </w:pPr>
      <w:r>
        <w:t xml:space="preserve">File Formats</w:t>
      </w:r>
    </w:p>
    <w:p>
      <w:pPr>
        <w:pStyle w:val="Compact"/>
        <w:numPr>
          <w:ilvl w:val="0"/>
          <w:numId w:val="1006"/>
        </w:numPr>
      </w:pPr>
      <w:r>
        <w:t xml:space="preserve">PDF generation</w:t>
      </w:r>
    </w:p>
    <w:p>
      <w:pPr>
        <w:pStyle w:val="Compact"/>
        <w:numPr>
          <w:ilvl w:val="0"/>
          <w:numId w:val="1006"/>
        </w:numPr>
      </w:pPr>
      <w:r>
        <w:t xml:space="preserve">Excel export</w:t>
      </w:r>
    </w:p>
    <w:p>
      <w:pPr>
        <w:pStyle w:val="Compact"/>
        <w:numPr>
          <w:ilvl w:val="0"/>
          <w:numId w:val="1006"/>
        </w:numPr>
      </w:pPr>
      <w:r>
        <w:t xml:space="preserve">Word document creation</w:t>
      </w:r>
    </w:p>
    <w:p>
      <w:pPr>
        <w:pStyle w:val="Compact"/>
        <w:numPr>
          <w:ilvl w:val="0"/>
          <w:numId w:val="1006"/>
        </w:numPr>
      </w:pPr>
      <w:r>
        <w:t xml:space="preserve">CSV data dumps</w:t>
      </w:r>
    </w:p>
    <w:bookmarkEnd w:id="16"/>
    <w:bookmarkStart w:id="17" w:name="automated-reporting"/>
    <w:p>
      <w:pPr>
        <w:pStyle w:val="Heading3"/>
      </w:pPr>
      <w:r>
        <w:t xml:space="preserve">Automated Reporting</w:t>
      </w:r>
    </w:p>
    <w:p>
      <w:pPr>
        <w:pStyle w:val="Compact"/>
        <w:numPr>
          <w:ilvl w:val="0"/>
          <w:numId w:val="1007"/>
        </w:numPr>
      </w:pPr>
      <w:r>
        <w:t xml:space="preserve">Scheduled report generation</w:t>
      </w:r>
    </w:p>
    <w:p>
      <w:pPr>
        <w:pStyle w:val="Compact"/>
        <w:numPr>
          <w:ilvl w:val="0"/>
          <w:numId w:val="1007"/>
        </w:numPr>
      </w:pPr>
      <w:r>
        <w:t xml:space="preserve">Email delivery</w:t>
      </w:r>
    </w:p>
    <w:p>
      <w:pPr>
        <w:pStyle w:val="Compact"/>
        <w:numPr>
          <w:ilvl w:val="0"/>
          <w:numId w:val="1007"/>
        </w:numPr>
      </w:pPr>
      <w:r>
        <w:t xml:space="preserve">Cloud storage integration</w:t>
      </w:r>
    </w:p>
    <w:p>
      <w:pPr>
        <w:pStyle w:val="Compact"/>
        <w:numPr>
          <w:ilvl w:val="0"/>
          <w:numId w:val="1007"/>
        </w:numPr>
      </w:pPr>
      <w:r>
        <w:t xml:space="preserve">Report versioning</w:t>
      </w:r>
    </w:p>
    <w:bookmarkEnd w:id="17"/>
    <w:bookmarkEnd w:id="18"/>
    <w:bookmarkStart w:id="21" w:name="report-customization"/>
    <w:p>
      <w:pPr>
        <w:pStyle w:val="Heading2"/>
      </w:pPr>
      <w:r>
        <w:t xml:space="preserve">Report Customization</w:t>
      </w:r>
    </w:p>
    <w:bookmarkStart w:id="19" w:name="template-management"/>
    <w:p>
      <w:pPr>
        <w:pStyle w:val="Heading3"/>
      </w:pPr>
      <w:r>
        <w:t xml:space="preserve">Template Management</w:t>
      </w:r>
    </w:p>
    <w:p>
      <w:pPr>
        <w:pStyle w:val="Compact"/>
        <w:numPr>
          <w:ilvl w:val="0"/>
          <w:numId w:val="1008"/>
        </w:numPr>
      </w:pPr>
      <w:r>
        <w:t xml:space="preserve">Custom report layouts</w:t>
      </w:r>
    </w:p>
    <w:p>
      <w:pPr>
        <w:pStyle w:val="Compact"/>
        <w:numPr>
          <w:ilvl w:val="0"/>
          <w:numId w:val="1008"/>
        </w:numPr>
      </w:pPr>
      <w:r>
        <w:t xml:space="preserve">Branding options</w:t>
      </w:r>
    </w:p>
    <w:p>
      <w:pPr>
        <w:pStyle w:val="Compact"/>
        <w:numPr>
          <w:ilvl w:val="0"/>
          <w:numId w:val="1008"/>
        </w:numPr>
      </w:pPr>
      <w:r>
        <w:t xml:space="preserve">Section ordering</w:t>
      </w:r>
    </w:p>
    <w:p>
      <w:pPr>
        <w:pStyle w:val="Compact"/>
        <w:numPr>
          <w:ilvl w:val="0"/>
          <w:numId w:val="1008"/>
        </w:numPr>
      </w:pPr>
      <w:r>
        <w:t xml:space="preserve">Content filtering</w:t>
      </w:r>
    </w:p>
    <w:bookmarkEnd w:id="19"/>
    <w:bookmarkStart w:id="20" w:name="access-control"/>
    <w:p>
      <w:pPr>
        <w:pStyle w:val="Heading3"/>
      </w:pPr>
      <w:r>
        <w:t xml:space="preserve">Access Control</w:t>
      </w:r>
    </w:p>
    <w:p>
      <w:pPr>
        <w:pStyle w:val="Compact"/>
        <w:numPr>
          <w:ilvl w:val="0"/>
          <w:numId w:val="1009"/>
        </w:numPr>
      </w:pPr>
      <w:r>
        <w:t xml:space="preserve">Role-based permissions</w:t>
      </w:r>
    </w:p>
    <w:p>
      <w:pPr>
        <w:pStyle w:val="Compact"/>
        <w:numPr>
          <w:ilvl w:val="0"/>
          <w:numId w:val="1009"/>
        </w:numPr>
      </w:pPr>
      <w:r>
        <w:t xml:space="preserve">Report sharing options</w:t>
      </w:r>
    </w:p>
    <w:p>
      <w:pPr>
        <w:pStyle w:val="Compact"/>
        <w:numPr>
          <w:ilvl w:val="0"/>
          <w:numId w:val="1009"/>
        </w:numPr>
      </w:pPr>
      <w:r>
        <w:t xml:space="preserve">Watermarking</w:t>
      </w:r>
    </w:p>
    <w:p>
      <w:pPr>
        <w:pStyle w:val="Compact"/>
        <w:numPr>
          <w:ilvl w:val="0"/>
          <w:numId w:val="1009"/>
        </w:numPr>
      </w:pPr>
      <w:r>
        <w:t xml:space="preserve">Audit trails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2025-08-09T12:30:26Z</dcterms:created>
  <dcterms:modified xsi:type="dcterms:W3CDTF">2025-08-09T12:30:26Z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