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vp-focused-implementation-roadmap"/>
    <w:p>
      <w:pPr>
        <w:pStyle w:val="Heading1"/>
      </w:pPr>
      <w:r>
        <w:t xml:space="preserve">MVP-Focused Implementation Roadmap</w:t>
      </w:r>
    </w:p>
    <w:bookmarkStart w:id="11" w:name="phase-1-mvp-development-months-1-3"/>
    <w:p>
      <w:pPr>
        <w:pStyle w:val="Heading2"/>
      </w:pPr>
      <w:r>
        <w:t xml:space="preserve">Phase 1: MVP Development (Months 1-3)</w:t>
      </w:r>
    </w:p>
    <w:bookmarkStart w:id="9" w:name="core-features"/>
    <w:p>
      <w:pPr>
        <w:pStyle w:val="Heading3"/>
      </w:pPr>
      <w:r>
        <w:t xml:space="preserve">Core Features</w:t>
      </w:r>
    </w:p>
    <w:p>
      <w:pPr>
        <w:pStyle w:val="Compact"/>
        <w:numPr>
          <w:ilvl w:val="0"/>
          <w:numId w:val="1001"/>
        </w:numPr>
      </w:pPr>
      <w:r>
        <w:t xml:space="preserve">Basic financial projection engine</w:t>
      </w:r>
    </w:p>
    <w:p>
      <w:pPr>
        <w:pStyle w:val="Compact"/>
        <w:numPr>
          <w:ilvl w:val="0"/>
          <w:numId w:val="1001"/>
        </w:numPr>
      </w:pPr>
      <w:r>
        <w:t xml:space="preserve">Essential asset/liability tracking</w:t>
      </w:r>
    </w:p>
    <w:p>
      <w:pPr>
        <w:pStyle w:val="Compact"/>
        <w:numPr>
          <w:ilvl w:val="0"/>
          <w:numId w:val="1001"/>
        </w:numPr>
      </w:pPr>
      <w:r>
        <w:t xml:space="preserve">Simplified tax computation</w:t>
      </w:r>
    </w:p>
    <w:p>
      <w:pPr>
        <w:pStyle w:val="Compact"/>
        <w:numPr>
          <w:ilvl w:val="0"/>
          <w:numId w:val="1001"/>
        </w:numPr>
      </w:pPr>
      <w:r>
        <w:t xml:space="preserve">Basic reporting templates</w:t>
      </w:r>
    </w:p>
    <w:bookmarkEnd w:id="9"/>
    <w:bookmarkStart w:id="10" w:name="approach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2"/>
        </w:numPr>
      </w:pPr>
      <w:r>
        <w:t xml:space="preserve">Focus on core functionality</w:t>
      </w:r>
    </w:p>
    <w:p>
      <w:pPr>
        <w:pStyle w:val="Compact"/>
        <w:numPr>
          <w:ilvl w:val="0"/>
          <w:numId w:val="1002"/>
        </w:numPr>
      </w:pPr>
      <w:r>
        <w:t xml:space="preserve">Minimal viable feature set</w:t>
      </w:r>
    </w:p>
    <w:p>
      <w:pPr>
        <w:pStyle w:val="Compact"/>
        <w:numPr>
          <w:ilvl w:val="0"/>
          <w:numId w:val="1002"/>
        </w:numPr>
      </w:pPr>
      <w:r>
        <w:t xml:space="preserve">Weekly sprint cycles</w:t>
      </w:r>
    </w:p>
    <w:p>
      <w:pPr>
        <w:pStyle w:val="Compact"/>
        <w:numPr>
          <w:ilvl w:val="0"/>
          <w:numId w:val="1002"/>
        </w:numPr>
      </w:pPr>
      <w:r>
        <w:t xml:space="preserve">Early user testing</w:t>
      </w:r>
    </w:p>
    <w:bookmarkEnd w:id="10"/>
    <w:bookmarkEnd w:id="11"/>
    <w:bookmarkStart w:id="14" w:name="phase-2-uk-implementation-months-4-6"/>
    <w:p>
      <w:pPr>
        <w:pStyle w:val="Heading2"/>
      </w:pPr>
      <w:r>
        <w:t xml:space="preserve">Phase 2: UK Implementation (Months 4-6)</w:t>
      </w:r>
    </w:p>
    <w:bookmarkStart w:id="12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GBP currency support</w:t>
      </w:r>
    </w:p>
    <w:p>
      <w:pPr>
        <w:pStyle w:val="Compact"/>
        <w:numPr>
          <w:ilvl w:val="0"/>
          <w:numId w:val="1003"/>
        </w:numPr>
      </w:pPr>
      <w:r>
        <w:t xml:space="preserve">UK tax rule engine</w:t>
      </w:r>
    </w:p>
    <w:p>
      <w:pPr>
        <w:pStyle w:val="Compact"/>
        <w:numPr>
          <w:ilvl w:val="0"/>
          <w:numId w:val="1003"/>
        </w:numPr>
      </w:pPr>
      <w:r>
        <w:t xml:space="preserve">Localized reporting templates (UK)</w:t>
      </w:r>
    </w:p>
    <w:p>
      <w:pPr>
        <w:pStyle w:val="Compact"/>
        <w:numPr>
          <w:ilvl w:val="0"/>
          <w:numId w:val="1003"/>
        </w:numPr>
      </w:pPr>
      <w:r>
        <w:t xml:space="preserve">UK compliance integration</w:t>
      </w:r>
    </w:p>
    <w:bookmarkEnd w:id="12"/>
    <w:bookmarkStart w:id="13" w:name="approach-1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4"/>
        </w:numPr>
      </w:pPr>
      <w:r>
        <w:t xml:space="preserve">Focused UK development</w:t>
      </w:r>
    </w:p>
    <w:p>
      <w:pPr>
        <w:pStyle w:val="Compact"/>
        <w:numPr>
          <w:ilvl w:val="0"/>
          <w:numId w:val="1004"/>
        </w:numPr>
      </w:pPr>
      <w:r>
        <w:t xml:space="preserve">Localized testing</w:t>
      </w:r>
    </w:p>
    <w:p>
      <w:pPr>
        <w:pStyle w:val="Compact"/>
        <w:numPr>
          <w:ilvl w:val="0"/>
          <w:numId w:val="1004"/>
        </w:numPr>
      </w:pPr>
      <w:r>
        <w:t xml:space="preserve">Continuous user feedback</w:t>
      </w:r>
    </w:p>
    <w:p>
      <w:pPr>
        <w:pStyle w:val="Compact"/>
        <w:numPr>
          <w:ilvl w:val="0"/>
          <w:numId w:val="1004"/>
        </w:numPr>
      </w:pPr>
      <w:r>
        <w:t xml:space="preserve">Performance optimization</w:t>
      </w:r>
    </w:p>
    <w:bookmarkEnd w:id="13"/>
    <w:bookmarkEnd w:id="14"/>
    <w:bookmarkStart w:id="17" w:name="Xbd191f2ba3a301a31c08b90be5fa3572c36eaf5"/>
    <w:p>
      <w:pPr>
        <w:pStyle w:val="Heading2"/>
      </w:pPr>
      <w:r>
        <w:t xml:space="preserve">Phase 3: Australia Implementation (Months 7-9)</w:t>
      </w:r>
    </w:p>
    <w:bookmarkStart w:id="15" w:name="key-features-1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5"/>
        </w:numPr>
      </w:pPr>
      <w:r>
        <w:t xml:space="preserve">AUD currency support</w:t>
      </w:r>
    </w:p>
    <w:p>
      <w:pPr>
        <w:pStyle w:val="Compact"/>
        <w:numPr>
          <w:ilvl w:val="0"/>
          <w:numId w:val="1005"/>
        </w:numPr>
      </w:pPr>
      <w:r>
        <w:t xml:space="preserve">Australian tax rule engine</w:t>
      </w:r>
    </w:p>
    <w:p>
      <w:pPr>
        <w:pStyle w:val="Compact"/>
        <w:numPr>
          <w:ilvl w:val="0"/>
          <w:numId w:val="1005"/>
        </w:numPr>
      </w:pPr>
      <w:r>
        <w:t xml:space="preserve">Localized reporting templates (Australia)</w:t>
      </w:r>
    </w:p>
    <w:p>
      <w:pPr>
        <w:pStyle w:val="Compact"/>
        <w:numPr>
          <w:ilvl w:val="0"/>
          <w:numId w:val="1005"/>
        </w:numPr>
      </w:pPr>
      <w:r>
        <w:t xml:space="preserve">Australian compliance integration</w:t>
      </w:r>
    </w:p>
    <w:bookmarkEnd w:id="15"/>
    <w:bookmarkStart w:id="16" w:name="approach-2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6"/>
        </w:numPr>
      </w:pPr>
      <w:r>
        <w:t xml:space="preserve">Focused Australia development</w:t>
      </w:r>
    </w:p>
    <w:p>
      <w:pPr>
        <w:pStyle w:val="Compact"/>
        <w:numPr>
          <w:ilvl w:val="0"/>
          <w:numId w:val="1006"/>
        </w:numPr>
      </w:pPr>
      <w:r>
        <w:t xml:space="preserve">Localized testing</w:t>
      </w:r>
    </w:p>
    <w:p>
      <w:pPr>
        <w:pStyle w:val="Compact"/>
        <w:numPr>
          <w:ilvl w:val="0"/>
          <w:numId w:val="1006"/>
        </w:numPr>
      </w:pPr>
      <w:r>
        <w:t xml:space="preserve">Continuous user feedback</w:t>
      </w:r>
    </w:p>
    <w:p>
      <w:pPr>
        <w:pStyle w:val="Compact"/>
        <w:numPr>
          <w:ilvl w:val="0"/>
          <w:numId w:val="1006"/>
        </w:numPr>
      </w:pPr>
      <w:r>
        <w:t xml:space="preserve">Performance optimization</w:t>
      </w:r>
    </w:p>
    <w:bookmarkEnd w:id="16"/>
    <w:bookmarkEnd w:id="17"/>
    <w:bookmarkStart w:id="20" w:name="X5e8ab601ec8f83e912dde5c7b8c9fd3a08a8a80"/>
    <w:p>
      <w:pPr>
        <w:pStyle w:val="Heading2"/>
      </w:pPr>
      <w:r>
        <w:t xml:space="preserve">Phase 4: New Zealand Implementation (Months 10-12)</w:t>
      </w:r>
    </w:p>
    <w:bookmarkStart w:id="18" w:name="key-features-2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7"/>
        </w:numPr>
      </w:pPr>
      <w:r>
        <w:t xml:space="preserve">NZD currency support</w:t>
      </w:r>
    </w:p>
    <w:p>
      <w:pPr>
        <w:pStyle w:val="Compact"/>
        <w:numPr>
          <w:ilvl w:val="0"/>
          <w:numId w:val="1007"/>
        </w:numPr>
      </w:pPr>
      <w:r>
        <w:t xml:space="preserve">New Zealand tax rule engine</w:t>
      </w:r>
    </w:p>
    <w:p>
      <w:pPr>
        <w:pStyle w:val="Compact"/>
        <w:numPr>
          <w:ilvl w:val="0"/>
          <w:numId w:val="1007"/>
        </w:numPr>
      </w:pPr>
      <w:r>
        <w:t xml:space="preserve">Localized reporting templates (New Zealand)</w:t>
      </w:r>
    </w:p>
    <w:p>
      <w:pPr>
        <w:pStyle w:val="Compact"/>
        <w:numPr>
          <w:ilvl w:val="0"/>
          <w:numId w:val="1007"/>
        </w:numPr>
      </w:pPr>
      <w:r>
        <w:t xml:space="preserve">New Zealand compliance integration</w:t>
      </w:r>
    </w:p>
    <w:bookmarkEnd w:id="18"/>
    <w:bookmarkStart w:id="19" w:name="approach-3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8"/>
        </w:numPr>
      </w:pPr>
      <w:r>
        <w:t xml:space="preserve">Focused New Zealand development</w:t>
      </w:r>
    </w:p>
    <w:p>
      <w:pPr>
        <w:pStyle w:val="Compact"/>
        <w:numPr>
          <w:ilvl w:val="0"/>
          <w:numId w:val="1008"/>
        </w:numPr>
      </w:pPr>
      <w:r>
        <w:t xml:space="preserve">Localized testing</w:t>
      </w:r>
    </w:p>
    <w:p>
      <w:pPr>
        <w:pStyle w:val="Compact"/>
        <w:numPr>
          <w:ilvl w:val="0"/>
          <w:numId w:val="1008"/>
        </w:numPr>
      </w:pPr>
      <w:r>
        <w:t xml:space="preserve">Continuous user feedback</w:t>
      </w:r>
    </w:p>
    <w:p>
      <w:pPr>
        <w:pStyle w:val="Compact"/>
        <w:numPr>
          <w:ilvl w:val="0"/>
          <w:numId w:val="1008"/>
        </w:numPr>
      </w:pPr>
      <w:r>
        <w:t xml:space="preserve">Performance optimization</w:t>
      </w:r>
    </w:p>
    <w:bookmarkEnd w:id="19"/>
    <w:bookmarkEnd w:id="20"/>
    <w:bookmarkStart w:id="23" w:name="X419ad02a0c9dc2ce36ced0fc2cb45a93aacc5e7"/>
    <w:p>
      <w:pPr>
        <w:pStyle w:val="Heading2"/>
      </w:pPr>
      <w:r>
        <w:t xml:space="preserve">Phase 5: Commercial Operations Implementation (Months 13-15)</w:t>
      </w:r>
    </w:p>
    <w:bookmarkStart w:id="21" w:name="key-features-3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9"/>
        </w:numPr>
      </w:pPr>
      <w:r>
        <w:t xml:space="preserve">Multi-tier billing system</w:t>
      </w:r>
    </w:p>
    <w:p>
      <w:pPr>
        <w:pStyle w:val="Compact"/>
        <w:numPr>
          <w:ilvl w:val="0"/>
          <w:numId w:val="1009"/>
        </w:numPr>
      </w:pPr>
      <w:r>
        <w:t xml:space="preserve">Payment processing integration</w:t>
      </w:r>
    </w:p>
    <w:p>
      <w:pPr>
        <w:pStyle w:val="Compact"/>
        <w:numPr>
          <w:ilvl w:val="0"/>
          <w:numId w:val="1009"/>
        </w:numPr>
      </w:pPr>
      <w:r>
        <w:t xml:space="preserve">Advisor/client payment workflows</w:t>
      </w:r>
    </w:p>
    <w:p>
      <w:pPr>
        <w:pStyle w:val="Compact"/>
        <w:numPr>
          <w:ilvl w:val="0"/>
          <w:numId w:val="1009"/>
        </w:numPr>
      </w:pPr>
      <w:r>
        <w:t xml:space="preserve">Access control enforcement</w:t>
      </w:r>
    </w:p>
    <w:p>
      <w:pPr>
        <w:pStyle w:val="Compact"/>
        <w:numPr>
          <w:ilvl w:val="0"/>
          <w:numId w:val="1009"/>
        </w:numPr>
      </w:pPr>
      <w:r>
        <w:t xml:space="preserve">AI agent monetization framework</w:t>
      </w:r>
    </w:p>
    <w:bookmarkEnd w:id="21"/>
    <w:bookmarkStart w:id="22" w:name="approach-4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10"/>
        </w:numPr>
      </w:pPr>
      <w:r>
        <w:t xml:space="preserve">Payment gateway integration</w:t>
      </w:r>
    </w:p>
    <w:p>
      <w:pPr>
        <w:pStyle w:val="Compact"/>
        <w:numPr>
          <w:ilvl w:val="0"/>
          <w:numId w:val="1010"/>
        </w:numPr>
      </w:pPr>
      <w:r>
        <w:t xml:space="preserve">Security and compliance implementation</w:t>
      </w:r>
    </w:p>
    <w:p>
      <w:pPr>
        <w:pStyle w:val="Compact"/>
        <w:numPr>
          <w:ilvl w:val="0"/>
          <w:numId w:val="1010"/>
        </w:numPr>
      </w:pPr>
      <w:r>
        <w:t xml:space="preserve">Automated access control deployment</w:t>
      </w:r>
    </w:p>
    <w:p>
      <w:pPr>
        <w:pStyle w:val="Compact"/>
        <w:numPr>
          <w:ilvl w:val="0"/>
          <w:numId w:val="1010"/>
        </w:numPr>
      </w:pPr>
      <w:r>
        <w:t xml:space="preserve">Real-time payment processing</w:t>
      </w:r>
    </w:p>
    <w:p>
      <w:pPr>
        <w:pStyle w:val="Compact"/>
        <w:numPr>
          <w:ilvl w:val="0"/>
          <w:numId w:val="1010"/>
        </w:numPr>
      </w:pPr>
      <w:r>
        <w:t xml:space="preserve">User acceptance testing for commercial features</w:t>
      </w:r>
    </w:p>
    <w:bookmarkEnd w:id="22"/>
    <w:bookmarkEnd w:id="23"/>
    <w:bookmarkStart w:id="26" w:name="ongoing-maintenance"/>
    <w:p>
      <w:pPr>
        <w:pStyle w:val="Heading2"/>
      </w:pPr>
      <w:r>
        <w:t xml:space="preserve">Ongoing Maintenance</w:t>
      </w:r>
    </w:p>
    <w:bookmarkStart w:id="24" w:name="key-activities"/>
    <w:p>
      <w:pPr>
        <w:pStyle w:val="Heading3"/>
      </w:pPr>
      <w:r>
        <w:t xml:space="preserve">Key Activities</w:t>
      </w:r>
    </w:p>
    <w:p>
      <w:pPr>
        <w:pStyle w:val="Compact"/>
        <w:numPr>
          <w:ilvl w:val="0"/>
          <w:numId w:val="1011"/>
        </w:numPr>
      </w:pPr>
      <w:r>
        <w:t xml:space="preserve">Continuous improvement</w:t>
      </w:r>
    </w:p>
    <w:p>
      <w:pPr>
        <w:pStyle w:val="Compact"/>
        <w:numPr>
          <w:ilvl w:val="0"/>
          <w:numId w:val="1011"/>
        </w:numPr>
      </w:pPr>
      <w:r>
        <w:t xml:space="preserve">Feature updates</w:t>
      </w:r>
    </w:p>
    <w:p>
      <w:pPr>
        <w:pStyle w:val="Compact"/>
        <w:numPr>
          <w:ilvl w:val="0"/>
          <w:numId w:val="1011"/>
        </w:numPr>
      </w:pPr>
      <w:r>
        <w:t xml:space="preserve">User support</w:t>
      </w:r>
    </w:p>
    <w:p>
      <w:pPr>
        <w:pStyle w:val="Compact"/>
        <w:numPr>
          <w:ilvl w:val="0"/>
          <w:numId w:val="1011"/>
        </w:numPr>
      </w:pPr>
      <w:r>
        <w:t xml:space="preserve">Security patches</w:t>
      </w:r>
    </w:p>
    <w:p>
      <w:pPr>
        <w:pStyle w:val="Compact"/>
        <w:numPr>
          <w:ilvl w:val="0"/>
          <w:numId w:val="1011"/>
        </w:numPr>
      </w:pPr>
      <w:r>
        <w:t xml:space="preserve">Payment system monitoring</w:t>
      </w:r>
    </w:p>
    <w:p>
      <w:pPr>
        <w:pStyle w:val="Compact"/>
        <w:numPr>
          <w:ilvl w:val="0"/>
          <w:numId w:val="1011"/>
        </w:numPr>
      </w:pPr>
      <w:r>
        <w:t xml:space="preserve">Compliance updates</w:t>
      </w:r>
    </w:p>
    <w:bookmarkEnd w:id="24"/>
    <w:bookmarkStart w:id="25" w:name="timeline"/>
    <w:p>
      <w:pPr>
        <w:pStyle w:val="Heading3"/>
      </w:pPr>
      <w:r>
        <w:t xml:space="preserve">Timeline</w:t>
      </w:r>
    </w:p>
    <w:p>
      <w:pPr>
        <w:pStyle w:val="Compact"/>
        <w:numPr>
          <w:ilvl w:val="0"/>
          <w:numId w:val="1012"/>
        </w:numPr>
      </w:pPr>
      <w:r>
        <w:t xml:space="preserve">Continuous from Month 16 onwards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2025-08-09T12:30:27Z</dcterms:created>
  <dcterms:modified xsi:type="dcterms:W3CDTF">2025-08-09T12:30:27Z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