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084ea1b37aaf76825175ddcb8d2185cafef5b0"/>
    <w:p>
      <w:pPr>
        <w:pStyle w:val="Heading1"/>
      </w:pPr>
      <w:r>
        <w:t xml:space="preserve">Agent Architecture and Communication Design</w:t>
      </w:r>
    </w:p>
    <w:bookmarkStart w:id="11" w:name="mcp-server-implementation"/>
    <w:p>
      <w:pPr>
        <w:pStyle w:val="Heading2"/>
      </w:pPr>
      <w:r>
        <w:t xml:space="preserve">MCP Server Implementation</w:t>
      </w:r>
    </w:p>
    <w:bookmarkStart w:id="9" w:name="core-components"/>
    <w:p>
      <w:pPr>
        <w:pStyle w:val="Heading3"/>
      </w:pPr>
      <w:r>
        <w:t xml:space="preserve">Core Components</w:t>
      </w:r>
    </w:p>
    <w:p>
      <w:pPr>
        <w:pStyle w:val="Compact"/>
        <w:numPr>
          <w:ilvl w:val="0"/>
          <w:numId w:val="1001"/>
        </w:numPr>
      </w:pPr>
      <w:r>
        <w:t xml:space="preserve">Agent registration and discovery</w:t>
      </w:r>
    </w:p>
    <w:p>
      <w:pPr>
        <w:pStyle w:val="Compact"/>
        <w:numPr>
          <w:ilvl w:val="0"/>
          <w:numId w:val="1001"/>
        </w:numPr>
      </w:pPr>
      <w:r>
        <w:t xml:space="preserve">Message routing and delivery</w:t>
      </w:r>
    </w:p>
    <w:p>
      <w:pPr>
        <w:pStyle w:val="Compact"/>
        <w:numPr>
          <w:ilvl w:val="0"/>
          <w:numId w:val="1001"/>
        </w:numPr>
      </w:pPr>
      <w:r>
        <w:t xml:space="preserve">Protocol translation</w:t>
      </w:r>
    </w:p>
    <w:p>
      <w:pPr>
        <w:pStyle w:val="Compact"/>
        <w:numPr>
          <w:ilvl w:val="0"/>
          <w:numId w:val="1001"/>
        </w:numPr>
      </w:pPr>
      <w:r>
        <w:t xml:space="preserve">Security and authentication</w:t>
      </w:r>
    </w:p>
    <w:bookmarkEnd w:id="9"/>
    <w:bookmarkStart w:id="10" w:name="implementation-details"/>
    <w:p>
      <w:pPr>
        <w:pStyle w:val="Heading3"/>
      </w:pPr>
      <w:r>
        <w:t xml:space="preserve">Implementation Details</w:t>
      </w:r>
    </w:p>
    <w:p>
      <w:pPr>
        <w:pStyle w:val="Compact"/>
        <w:numPr>
          <w:ilvl w:val="0"/>
          <w:numId w:val="1002"/>
        </w:numPr>
      </w:pPr>
      <w:r>
        <w:t xml:space="preserve">RESTful API endpoints</w:t>
      </w:r>
    </w:p>
    <w:p>
      <w:pPr>
        <w:pStyle w:val="Compact"/>
        <w:numPr>
          <w:ilvl w:val="0"/>
          <w:numId w:val="1002"/>
        </w:numPr>
      </w:pPr>
      <w:r>
        <w:t xml:space="preserve">WebSocket support for real-time communication</w:t>
      </w:r>
    </w:p>
    <w:p>
      <w:pPr>
        <w:pStyle w:val="Compact"/>
        <w:numPr>
          <w:ilvl w:val="0"/>
          <w:numId w:val="1002"/>
        </w:numPr>
      </w:pPr>
      <w:r>
        <w:t xml:space="preserve">Protocol buffers for efficient message serialization</w:t>
      </w:r>
    </w:p>
    <w:p>
      <w:pPr>
        <w:pStyle w:val="Compact"/>
        <w:numPr>
          <w:ilvl w:val="0"/>
          <w:numId w:val="1002"/>
        </w:numPr>
      </w:pPr>
      <w:r>
        <w:t xml:space="preserve">Load balancing and scalability</w:t>
      </w:r>
    </w:p>
    <w:bookmarkEnd w:id="10"/>
    <w:bookmarkEnd w:id="11"/>
    <w:bookmarkStart w:id="14" w:name="agent-to-agent-communication"/>
    <w:p>
      <w:pPr>
        <w:pStyle w:val="Heading2"/>
      </w:pPr>
      <w:r>
        <w:t xml:space="preserve">Agent-to-Agent Communication</w:t>
      </w:r>
    </w:p>
    <w:bookmarkStart w:id="12" w:name="communication-protocols"/>
    <w:p>
      <w:pPr>
        <w:pStyle w:val="Heading3"/>
      </w:pPr>
      <w:r>
        <w:t xml:space="preserve">Communication Protocols</w:t>
      </w:r>
    </w:p>
    <w:p>
      <w:pPr>
        <w:pStyle w:val="Compact"/>
        <w:numPr>
          <w:ilvl w:val="0"/>
          <w:numId w:val="1003"/>
        </w:numPr>
      </w:pPr>
      <w:r>
        <w:t xml:space="preserve">MCP standard protocol</w:t>
      </w:r>
    </w:p>
    <w:p>
      <w:pPr>
        <w:pStyle w:val="Compact"/>
        <w:numPr>
          <w:ilvl w:val="0"/>
          <w:numId w:val="1003"/>
        </w:numPr>
      </w:pPr>
      <w:r>
        <w:t xml:space="preserve">REST API for synchronous communication</w:t>
      </w:r>
    </w:p>
    <w:p>
      <w:pPr>
        <w:pStyle w:val="Compact"/>
        <w:numPr>
          <w:ilvl w:val="0"/>
          <w:numId w:val="1003"/>
        </w:numPr>
      </w:pPr>
      <w:r>
        <w:t xml:space="preserve">WebSocket for real-time updates</w:t>
      </w:r>
    </w:p>
    <w:p>
      <w:pPr>
        <w:pStyle w:val="Compact"/>
        <w:numPr>
          <w:ilvl w:val="0"/>
          <w:numId w:val="1003"/>
        </w:numPr>
      </w:pPr>
      <w:r>
        <w:t xml:space="preserve">Message queue for asynchronous processing</w:t>
      </w:r>
    </w:p>
    <w:bookmarkEnd w:id="12"/>
    <w:bookmarkStart w:id="13" w:name="message-formats"/>
    <w:p>
      <w:pPr>
        <w:pStyle w:val="Heading3"/>
      </w:pPr>
      <w:r>
        <w:t xml:space="preserve">Message Formats</w:t>
      </w:r>
    </w:p>
    <w:p>
      <w:pPr>
        <w:pStyle w:val="Compact"/>
        <w:numPr>
          <w:ilvl w:val="0"/>
          <w:numId w:val="1004"/>
        </w:numPr>
      </w:pPr>
      <w:r>
        <w:t xml:space="preserve">JSON for API payloads</w:t>
      </w:r>
    </w:p>
    <w:p>
      <w:pPr>
        <w:pStyle w:val="Compact"/>
        <w:numPr>
          <w:ilvl w:val="0"/>
          <w:numId w:val="1004"/>
        </w:numPr>
      </w:pPr>
      <w:r>
        <w:t xml:space="preserve">Protocol buffers for internal messaging</w:t>
      </w:r>
    </w:p>
    <w:p>
      <w:pPr>
        <w:pStyle w:val="Compact"/>
        <w:numPr>
          <w:ilvl w:val="0"/>
          <w:numId w:val="1004"/>
        </w:numPr>
      </w:pPr>
      <w:r>
        <w:t xml:space="preserve">Standardized error responses</w:t>
      </w:r>
    </w:p>
    <w:p>
      <w:pPr>
        <w:pStyle w:val="Compact"/>
        <w:numPr>
          <w:ilvl w:val="0"/>
          <w:numId w:val="1004"/>
        </w:numPr>
      </w:pPr>
      <w:r>
        <w:t xml:space="preserve">Versioned message schemas</w:t>
      </w:r>
    </w:p>
    <w:bookmarkEnd w:id="13"/>
    <w:bookmarkEnd w:id="14"/>
    <w:bookmarkStart w:id="17" w:name="api-design-for-agent-interactions"/>
    <w:p>
      <w:pPr>
        <w:pStyle w:val="Heading2"/>
      </w:pPr>
      <w:r>
        <w:t xml:space="preserve">API Design for Agent Interactions</w:t>
      </w:r>
    </w:p>
    <w:bookmarkStart w:id="15" w:name="core-apis"/>
    <w:p>
      <w:pPr>
        <w:pStyle w:val="Heading3"/>
      </w:pPr>
      <w:r>
        <w:t xml:space="preserve">Core APIs</w:t>
      </w:r>
    </w:p>
    <w:p>
      <w:pPr>
        <w:pStyle w:val="Compact"/>
        <w:numPr>
          <w:ilvl w:val="0"/>
          <w:numId w:val="1005"/>
        </w:numPr>
      </w:pPr>
      <w:r>
        <w:t xml:space="preserve">Agent registration API</w:t>
      </w:r>
    </w:p>
    <w:p>
      <w:pPr>
        <w:pStyle w:val="Compact"/>
        <w:numPr>
          <w:ilvl w:val="0"/>
          <w:numId w:val="1005"/>
        </w:numPr>
      </w:pPr>
      <w:r>
        <w:t xml:space="preserve">Message routing API</w:t>
      </w:r>
    </w:p>
    <w:p>
      <w:pPr>
        <w:pStyle w:val="Compact"/>
        <w:numPr>
          <w:ilvl w:val="0"/>
          <w:numId w:val="1005"/>
        </w:numPr>
      </w:pPr>
      <w:r>
        <w:t xml:space="preserve">Status monitoring API</w:t>
      </w:r>
    </w:p>
    <w:p>
      <w:pPr>
        <w:pStyle w:val="Compact"/>
        <w:numPr>
          <w:ilvl w:val="0"/>
          <w:numId w:val="1005"/>
        </w:numPr>
      </w:pPr>
      <w:r>
        <w:t xml:space="preserve">Configuration management API</w:t>
      </w:r>
    </w:p>
    <w:bookmarkEnd w:id="15"/>
    <w:bookmarkStart w:id="16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06"/>
        </w:numPr>
      </w:pPr>
      <w:r>
        <w:t xml:space="preserve">OAuth 2.0 authentication</w:t>
      </w:r>
    </w:p>
    <w:p>
      <w:pPr>
        <w:pStyle w:val="Compact"/>
        <w:numPr>
          <w:ilvl w:val="0"/>
          <w:numId w:val="1006"/>
        </w:numPr>
      </w:pPr>
      <w:r>
        <w:t xml:space="preserve">Role-based access control</w:t>
      </w:r>
    </w:p>
    <w:p>
      <w:pPr>
        <w:pStyle w:val="Compact"/>
        <w:numPr>
          <w:ilvl w:val="0"/>
          <w:numId w:val="1006"/>
        </w:numPr>
      </w:pPr>
      <w:r>
        <w:t xml:space="preserve">Message encryption</w:t>
      </w:r>
    </w:p>
    <w:p>
      <w:pPr>
        <w:pStyle w:val="Compact"/>
        <w:numPr>
          <w:ilvl w:val="0"/>
          <w:numId w:val="1006"/>
        </w:numPr>
      </w:pPr>
      <w:r>
        <w:t xml:space="preserve">Audit logging</w:t>
      </w:r>
    </w:p>
    <w:bookmarkEnd w:id="16"/>
    <w:bookmarkEnd w:id="17"/>
    <w:bookmarkStart w:id="20" w:name="agent-orchestration"/>
    <w:p>
      <w:pPr>
        <w:pStyle w:val="Heading2"/>
      </w:pPr>
      <w:r>
        <w:t xml:space="preserve">Agent Orchestration</w:t>
      </w:r>
    </w:p>
    <w:bookmarkStart w:id="18" w:name="orchestration-patterns"/>
    <w:p>
      <w:pPr>
        <w:pStyle w:val="Heading3"/>
      </w:pPr>
      <w:r>
        <w:t xml:space="preserve">Orchestration Patterns</w:t>
      </w:r>
    </w:p>
    <w:p>
      <w:pPr>
        <w:pStyle w:val="Compact"/>
        <w:numPr>
          <w:ilvl w:val="0"/>
          <w:numId w:val="1007"/>
        </w:numPr>
      </w:pPr>
      <w:r>
        <w:t xml:space="preserve">Centralized orchestration</w:t>
      </w:r>
    </w:p>
    <w:p>
      <w:pPr>
        <w:pStyle w:val="Compact"/>
        <w:numPr>
          <w:ilvl w:val="0"/>
          <w:numId w:val="1007"/>
        </w:numPr>
      </w:pPr>
      <w:r>
        <w:t xml:space="preserve">Decentralized peer-to-peer</w:t>
      </w:r>
    </w:p>
    <w:p>
      <w:pPr>
        <w:pStyle w:val="Compact"/>
        <w:numPr>
          <w:ilvl w:val="0"/>
          <w:numId w:val="1007"/>
        </w:numPr>
      </w:pPr>
      <w:r>
        <w:t xml:space="preserve">Hybrid approach</w:t>
      </w:r>
    </w:p>
    <w:bookmarkEnd w:id="18"/>
    <w:bookmarkStart w:id="19" w:name="management-features"/>
    <w:p>
      <w:pPr>
        <w:pStyle w:val="Heading3"/>
      </w:pPr>
      <w:r>
        <w:t xml:space="preserve">Management Features</w:t>
      </w:r>
    </w:p>
    <w:p>
      <w:pPr>
        <w:pStyle w:val="Compact"/>
        <w:numPr>
          <w:ilvl w:val="0"/>
          <w:numId w:val="1008"/>
        </w:numPr>
      </w:pPr>
      <w:r>
        <w:t xml:space="preserve">Agent lifecycle management</w:t>
      </w:r>
    </w:p>
    <w:p>
      <w:pPr>
        <w:pStyle w:val="Compact"/>
        <w:numPr>
          <w:ilvl w:val="0"/>
          <w:numId w:val="1008"/>
        </w:numPr>
      </w:pPr>
      <w:r>
        <w:t xml:space="preserve">Health monitoring</w:t>
      </w:r>
    </w:p>
    <w:p>
      <w:pPr>
        <w:pStyle w:val="Compact"/>
        <w:numPr>
          <w:ilvl w:val="0"/>
          <w:numId w:val="1008"/>
        </w:numPr>
      </w:pPr>
      <w:r>
        <w:t xml:space="preserve">Configuration management</w:t>
      </w:r>
    </w:p>
    <w:p>
      <w:pPr>
        <w:pStyle w:val="Compact"/>
        <w:numPr>
          <w:ilvl w:val="0"/>
          <w:numId w:val="1008"/>
        </w:numPr>
      </w:pPr>
      <w:r>
        <w:t xml:space="preserve">Performance optimization</w:t>
      </w:r>
    </w:p>
    <w:bookmarkEnd w:id="19"/>
    <w:bookmarkEnd w:id="20"/>
    <w:bookmarkStart w:id="24" w:name="implementation-roadmap"/>
    <w:p>
      <w:pPr>
        <w:pStyle w:val="Heading2"/>
      </w:pPr>
      <w:r>
        <w:t xml:space="preserve">Implementation Roadmap</w:t>
      </w:r>
    </w:p>
    <w:bookmarkStart w:id="21" w:name="phase-1-core-mcp-server-months-1-2"/>
    <w:p>
      <w:pPr>
        <w:pStyle w:val="Heading3"/>
      </w:pPr>
      <w:r>
        <w:t xml:space="preserve">Phase 1: Core MCP Server (Months 1-2)</w:t>
      </w:r>
    </w:p>
    <w:p>
      <w:pPr>
        <w:pStyle w:val="Compact"/>
        <w:numPr>
          <w:ilvl w:val="0"/>
          <w:numId w:val="1009"/>
        </w:numPr>
      </w:pPr>
      <w:r>
        <w:t xml:space="preserve">Basic agent registration</w:t>
      </w:r>
    </w:p>
    <w:p>
      <w:pPr>
        <w:pStyle w:val="Compact"/>
        <w:numPr>
          <w:ilvl w:val="0"/>
          <w:numId w:val="1009"/>
        </w:numPr>
      </w:pPr>
      <w:r>
        <w:t xml:space="preserve">Message routing</w:t>
      </w:r>
    </w:p>
    <w:p>
      <w:pPr>
        <w:pStyle w:val="Compact"/>
        <w:numPr>
          <w:ilvl w:val="0"/>
          <w:numId w:val="1009"/>
        </w:numPr>
      </w:pPr>
      <w:r>
        <w:t xml:space="preserve">Security framework</w:t>
      </w:r>
    </w:p>
    <w:bookmarkEnd w:id="21"/>
    <w:bookmarkStart w:id="22" w:name="phase-2-advanced-features-months-3-4"/>
    <w:p>
      <w:pPr>
        <w:pStyle w:val="Heading3"/>
      </w:pPr>
      <w:r>
        <w:t xml:space="preserve">Phase 2: Advanced Features (Months 3-4)</w:t>
      </w:r>
    </w:p>
    <w:p>
      <w:pPr>
        <w:pStyle w:val="Compact"/>
        <w:numPr>
          <w:ilvl w:val="0"/>
          <w:numId w:val="1010"/>
        </w:numPr>
      </w:pPr>
      <w:r>
        <w:t xml:space="preserve">Protocol translation</w:t>
      </w:r>
    </w:p>
    <w:p>
      <w:pPr>
        <w:pStyle w:val="Compact"/>
        <w:numPr>
          <w:ilvl w:val="0"/>
          <w:numId w:val="1010"/>
        </w:numPr>
      </w:pPr>
      <w:r>
        <w:t xml:space="preserve">Load balancing</w:t>
      </w:r>
    </w:p>
    <w:p>
      <w:pPr>
        <w:pStyle w:val="Compact"/>
        <w:numPr>
          <w:ilvl w:val="0"/>
          <w:numId w:val="1010"/>
        </w:numPr>
      </w:pPr>
      <w:r>
        <w:t xml:space="preserve">Monitoring tools</w:t>
      </w:r>
    </w:p>
    <w:p>
      <w:pPr>
        <w:pStyle w:val="Compact"/>
        <w:numPr>
          <w:ilvl w:val="0"/>
          <w:numId w:val="1010"/>
        </w:numPr>
      </w:pPr>
      <w:r>
        <w:t xml:space="preserve">Payment integration framework</w:t>
      </w:r>
    </w:p>
    <w:bookmarkEnd w:id="22"/>
    <w:bookmarkStart w:id="23" w:name="phase-3-optimization-months-5-6"/>
    <w:p>
      <w:pPr>
        <w:pStyle w:val="Heading3"/>
      </w:pPr>
      <w:r>
        <w:t xml:space="preserve">Phase 3: Optimization (Months 5-6)</w:t>
      </w:r>
    </w:p>
    <w:p>
      <w:pPr>
        <w:pStyle w:val="Compact"/>
        <w:numPr>
          <w:ilvl w:val="0"/>
          <w:numId w:val="1011"/>
        </w:numPr>
      </w:pPr>
      <w:r>
        <w:t xml:space="preserve">Performance tuning</w:t>
      </w:r>
    </w:p>
    <w:p>
      <w:pPr>
        <w:pStyle w:val="Compact"/>
        <w:numPr>
          <w:ilvl w:val="0"/>
          <w:numId w:val="1011"/>
        </w:numPr>
      </w:pPr>
      <w:r>
        <w:t xml:space="preserve">Scalability enhancements</w:t>
      </w:r>
    </w:p>
    <w:p>
      <w:pPr>
        <w:pStyle w:val="Compact"/>
        <w:numPr>
          <w:ilvl w:val="0"/>
          <w:numId w:val="1011"/>
        </w:numPr>
      </w:pPr>
      <w:r>
        <w:t xml:space="preserve">Advanced security features</w:t>
      </w:r>
    </w:p>
    <w:p>
      <w:pPr>
        <w:pStyle w:val="Compact"/>
        <w:numPr>
          <w:ilvl w:val="0"/>
          <w:numId w:val="1011"/>
        </w:numPr>
      </w:pPr>
      <w:r>
        <w:t xml:space="preserve">Monetization system implementation</w:t>
      </w:r>
    </w:p>
    <w:bookmarkEnd w:id="23"/>
    <w:bookmarkEnd w:id="24"/>
    <w:bookmarkStart w:id="30" w:name="ai-agent-payment-mechanisms"/>
    <w:p>
      <w:pPr>
        <w:pStyle w:val="Heading2"/>
      </w:pPr>
      <w:r>
        <w:t xml:space="preserve">AI Agent Payment Mechanisms</w:t>
      </w:r>
    </w:p>
    <w:bookmarkStart w:id="29" w:name="payment-integration-framework"/>
    <w:p>
      <w:pPr>
        <w:pStyle w:val="Heading3"/>
      </w:pPr>
      <w:r>
        <w:t xml:space="preserve">Payment Integration Framework</w:t>
      </w:r>
    </w:p>
    <w:bookmarkStart w:id="25" w:name="billing-models"/>
    <w:p>
      <w:pPr>
        <w:pStyle w:val="Heading4"/>
      </w:pPr>
      <w:r>
        <w:t xml:space="preserve">Billing Models</w:t>
      </w:r>
    </w:p>
    <w:p>
      <w:pPr>
        <w:pStyle w:val="Compact"/>
        <w:numPr>
          <w:ilvl w:val="0"/>
          <w:numId w:val="1012"/>
        </w:numPr>
      </w:pPr>
      <w:r>
        <w:t xml:space="preserve">Usage-based billing for agent services</w:t>
      </w:r>
    </w:p>
    <w:p>
      <w:pPr>
        <w:pStyle w:val="Compact"/>
        <w:numPr>
          <w:ilvl w:val="0"/>
          <w:numId w:val="1012"/>
        </w:numPr>
      </w:pPr>
      <w:r>
        <w:t xml:space="preserve">Subscription fees for agent access</w:t>
      </w:r>
    </w:p>
    <w:p>
      <w:pPr>
        <w:pStyle w:val="Compact"/>
        <w:numPr>
          <w:ilvl w:val="0"/>
          <w:numId w:val="1012"/>
        </w:numPr>
      </w:pPr>
      <w:r>
        <w:t xml:space="preserve">Transaction fees for agent-mediated operations</w:t>
      </w:r>
    </w:p>
    <w:p>
      <w:pPr>
        <w:pStyle w:val="Compact"/>
        <w:numPr>
          <w:ilvl w:val="0"/>
          <w:numId w:val="1012"/>
        </w:numPr>
      </w:pPr>
      <w:r>
        <w:t xml:space="preserve">Performance-based pricing models</w:t>
      </w:r>
    </w:p>
    <w:bookmarkEnd w:id="25"/>
    <w:bookmarkStart w:id="26" w:name="payment-processing-integration"/>
    <w:p>
      <w:pPr>
        <w:pStyle w:val="Heading4"/>
      </w:pPr>
      <w:r>
        <w:t xml:space="preserve">Payment Processing Integration</w:t>
      </w:r>
    </w:p>
    <w:p>
      <w:pPr>
        <w:pStyle w:val="Compact"/>
        <w:numPr>
          <w:ilvl w:val="0"/>
          <w:numId w:val="1013"/>
        </w:numPr>
      </w:pPr>
      <w:r>
        <w:t xml:space="preserve">Multi-currency support for international agents</w:t>
      </w:r>
    </w:p>
    <w:p>
      <w:pPr>
        <w:pStyle w:val="Compact"/>
        <w:numPr>
          <w:ilvl w:val="0"/>
          <w:numId w:val="1013"/>
        </w:numPr>
      </w:pPr>
      <w:r>
        <w:t xml:space="preserve">Real-time payment status monitoring</w:t>
      </w:r>
    </w:p>
    <w:p>
      <w:pPr>
        <w:pStyle w:val="Compact"/>
        <w:numPr>
          <w:ilvl w:val="0"/>
          <w:numId w:val="1013"/>
        </w:numPr>
      </w:pPr>
      <w:r>
        <w:t xml:space="preserve">Automated access control based on payment status</w:t>
      </w:r>
    </w:p>
    <w:p>
      <w:pPr>
        <w:pStyle w:val="Compact"/>
        <w:numPr>
          <w:ilvl w:val="0"/>
          <w:numId w:val="1013"/>
        </w:numPr>
      </w:pPr>
      <w:r>
        <w:t xml:space="preserve">Revenue sharing mechanisms for agent networks</w:t>
      </w:r>
    </w:p>
    <w:bookmarkEnd w:id="26"/>
    <w:bookmarkStart w:id="27" w:name="access-control-and-enforcement"/>
    <w:p>
      <w:pPr>
        <w:pStyle w:val="Heading4"/>
      </w:pPr>
      <w:r>
        <w:t xml:space="preserve">Access Control and Enforcement</w:t>
      </w:r>
    </w:p>
    <w:p>
      <w:pPr>
        <w:pStyle w:val="Compact"/>
        <w:numPr>
          <w:ilvl w:val="0"/>
          <w:numId w:val="1014"/>
        </w:numPr>
      </w:pPr>
      <w:r>
        <w:t xml:space="preserve">Agent access tied to payment verification</w:t>
      </w:r>
    </w:p>
    <w:p>
      <w:pPr>
        <w:pStyle w:val="Compact"/>
        <w:numPr>
          <w:ilvl w:val="0"/>
          <w:numId w:val="1014"/>
        </w:numPr>
      </w:pPr>
      <w:r>
        <w:t xml:space="preserve">Usage quotas based on payment tiers</w:t>
      </w:r>
    </w:p>
    <w:p>
      <w:pPr>
        <w:pStyle w:val="Compact"/>
        <w:numPr>
          <w:ilvl w:val="0"/>
          <w:numId w:val="1014"/>
        </w:numPr>
      </w:pPr>
      <w:r>
        <w:t xml:space="preserve">Service level agreements linked to payment plans</w:t>
      </w:r>
    </w:p>
    <w:p>
      <w:pPr>
        <w:pStyle w:val="Compact"/>
        <w:numPr>
          <w:ilvl w:val="0"/>
          <w:numId w:val="1014"/>
        </w:numPr>
      </w:pPr>
      <w:r>
        <w:t xml:space="preserve">Automated suspension for non-payment</w:t>
      </w:r>
    </w:p>
    <w:p>
      <w:pPr>
        <w:pStyle w:val="Compact"/>
        <w:numPr>
          <w:ilvl w:val="0"/>
          <w:numId w:val="1014"/>
        </w:numPr>
      </w:pPr>
      <w:r>
        <w:t xml:space="preserve">Grace period management</w:t>
      </w:r>
    </w:p>
    <w:bookmarkEnd w:id="27"/>
    <w:bookmarkStart w:id="28" w:name="implementation-considerations"/>
    <w:p>
      <w:pPr>
        <w:pStyle w:val="Heading4"/>
      </w:pPr>
      <w:r>
        <w:t xml:space="preserve">Implementation Considerations</w:t>
      </w:r>
    </w:p>
    <w:p>
      <w:pPr>
        <w:pStyle w:val="Compact"/>
        <w:numPr>
          <w:ilvl w:val="0"/>
          <w:numId w:val="1015"/>
        </w:numPr>
      </w:pPr>
      <w:r>
        <w:t xml:space="preserve">PCI DSS compliance for card payments</w:t>
      </w:r>
    </w:p>
    <w:p>
      <w:pPr>
        <w:pStyle w:val="Compact"/>
        <w:numPr>
          <w:ilvl w:val="0"/>
          <w:numId w:val="1015"/>
        </w:numPr>
      </w:pPr>
      <w:r>
        <w:t xml:space="preserve">Secure payment information handling</w:t>
      </w:r>
    </w:p>
    <w:p>
      <w:pPr>
        <w:pStyle w:val="Compact"/>
        <w:numPr>
          <w:ilvl w:val="0"/>
          <w:numId w:val="1015"/>
        </w:numPr>
      </w:pPr>
      <w:r>
        <w:t xml:space="preserve">Audit trails for all financial transactions</w:t>
      </w:r>
    </w:p>
    <w:p>
      <w:pPr>
        <w:pStyle w:val="Compact"/>
        <w:numPr>
          <w:ilvl w:val="0"/>
          <w:numId w:val="1015"/>
        </w:numPr>
      </w:pPr>
      <w:r>
        <w:t xml:space="preserve">Real-time payment status updates</w:t>
      </w:r>
    </w:p>
    <w:p>
      <w:pPr>
        <w:pStyle w:val="Compact"/>
        <w:numPr>
          <w:ilvl w:val="0"/>
          <w:numId w:val="1015"/>
        </w:numPr>
      </w:pPr>
      <w:r>
        <w:t xml:space="preserve">Multi-tenant payment processing capabilities</w:t>
      </w:r>
    </w:p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