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Xe7e286ca9839e4103b26eb5f9a43835272a9c6b"/>
    <w:p>
      <w:pPr>
        <w:pStyle w:val="Heading1"/>
      </w:pPr>
      <w:r>
        <w:t xml:space="preserve">Standing Data and Calculation Specifications</w:t>
      </w:r>
    </w:p>
    <w:bookmarkStart w:id="13" w:name="input-data-standing-data-requirements"/>
    <w:p>
      <w:pPr>
        <w:pStyle w:val="Heading2"/>
      </w:pPr>
      <w:r>
        <w:t xml:space="preserve">Input Data / Standing Data Requirements</w:t>
      </w:r>
    </w:p>
    <w:bookmarkStart w:id="9" w:name="app-administrator-owners-domain"/>
    <w:p>
      <w:pPr>
        <w:pStyle w:val="Heading3"/>
      </w:pPr>
      <w:r>
        <w:t xml:space="preserve">App Administrator / Owner’s Domain</w:t>
      </w:r>
    </w:p>
    <w:p>
      <w:pPr>
        <w:pStyle w:val="Compact"/>
        <w:numPr>
          <w:ilvl w:val="0"/>
          <w:numId w:val="1001"/>
        </w:numPr>
      </w:pPr>
      <w:r>
        <w:t xml:space="preserve">Name / Business Name</w:t>
      </w:r>
    </w:p>
    <w:p>
      <w:pPr>
        <w:pStyle w:val="Compact"/>
        <w:numPr>
          <w:ilvl w:val="0"/>
          <w:numId w:val="1001"/>
        </w:numPr>
      </w:pPr>
      <w:r>
        <w:t xml:space="preserve">Address</w:t>
      </w:r>
    </w:p>
    <w:p>
      <w:pPr>
        <w:pStyle w:val="Compact"/>
        <w:numPr>
          <w:ilvl w:val="0"/>
          <w:numId w:val="1001"/>
        </w:numPr>
      </w:pPr>
      <w:r>
        <w:t xml:space="preserve">Contact Number</w:t>
      </w:r>
    </w:p>
    <w:p>
      <w:pPr>
        <w:pStyle w:val="Compact"/>
        <w:numPr>
          <w:ilvl w:val="0"/>
          <w:numId w:val="1001"/>
        </w:numPr>
      </w:pPr>
      <w:r>
        <w:t xml:space="preserve">Email Address</w:t>
      </w:r>
    </w:p>
    <w:p>
      <w:pPr>
        <w:pStyle w:val="Compact"/>
        <w:numPr>
          <w:ilvl w:val="0"/>
          <w:numId w:val="1001"/>
        </w:numPr>
      </w:pPr>
      <w:r>
        <w:t xml:space="preserve">Website Address</w:t>
      </w:r>
    </w:p>
    <w:p>
      <w:pPr>
        <w:pStyle w:val="Compact"/>
        <w:numPr>
          <w:ilvl w:val="0"/>
          <w:numId w:val="1001"/>
        </w:numPr>
      </w:pPr>
      <w:r>
        <w:t xml:space="preserve">Business Logo</w:t>
      </w:r>
    </w:p>
    <w:p>
      <w:pPr>
        <w:pStyle w:val="Compact"/>
        <w:numPr>
          <w:ilvl w:val="0"/>
          <w:numId w:val="1001"/>
        </w:numPr>
      </w:pPr>
      <w:r>
        <w:t xml:space="preserve">Bank name</w:t>
      </w:r>
    </w:p>
    <w:p>
      <w:pPr>
        <w:pStyle w:val="Compact"/>
        <w:numPr>
          <w:ilvl w:val="0"/>
          <w:numId w:val="1001"/>
        </w:numPr>
      </w:pPr>
      <w:r>
        <w:t xml:space="preserve">Bank Account Number</w:t>
      </w:r>
    </w:p>
    <w:p>
      <w:pPr>
        <w:pStyle w:val="Compact"/>
        <w:numPr>
          <w:ilvl w:val="0"/>
          <w:numId w:val="1001"/>
        </w:numPr>
      </w:pPr>
      <w:r>
        <w:t xml:space="preserve">Bank Clearing Code</w:t>
      </w:r>
    </w:p>
    <w:bookmarkEnd w:id="9"/>
    <w:bookmarkStart w:id="10" w:name="advisor-details-within-app-owners-domain"/>
    <w:p>
      <w:pPr>
        <w:pStyle w:val="Heading3"/>
      </w:pPr>
      <w:r>
        <w:t xml:space="preserve">Advisor Details (within App Owner’s Domain)</w:t>
      </w:r>
    </w:p>
    <w:p>
      <w:pPr>
        <w:pStyle w:val="Compact"/>
        <w:numPr>
          <w:ilvl w:val="0"/>
          <w:numId w:val="1002"/>
        </w:numPr>
      </w:pPr>
      <w:r>
        <w:t xml:space="preserve">Initials</w:t>
      </w:r>
    </w:p>
    <w:p>
      <w:pPr>
        <w:pStyle w:val="Compact"/>
        <w:numPr>
          <w:ilvl w:val="0"/>
          <w:numId w:val="1002"/>
        </w:numPr>
      </w:pPr>
      <w:r>
        <w:t xml:space="preserve">Surname</w:t>
      </w:r>
    </w:p>
    <w:p>
      <w:pPr>
        <w:pStyle w:val="Compact"/>
        <w:numPr>
          <w:ilvl w:val="0"/>
          <w:numId w:val="1002"/>
        </w:numPr>
      </w:pPr>
      <w:r>
        <w:t xml:space="preserve">City</w:t>
      </w:r>
    </w:p>
    <w:p>
      <w:pPr>
        <w:pStyle w:val="Compact"/>
        <w:numPr>
          <w:ilvl w:val="0"/>
          <w:numId w:val="1002"/>
        </w:numPr>
      </w:pPr>
      <w:r>
        <w:t xml:space="preserve">Province</w:t>
      </w:r>
    </w:p>
    <w:p>
      <w:pPr>
        <w:pStyle w:val="Compact"/>
        <w:numPr>
          <w:ilvl w:val="0"/>
          <w:numId w:val="1002"/>
        </w:numPr>
      </w:pPr>
      <w:r>
        <w:t xml:space="preserve">Country</w:t>
      </w:r>
    </w:p>
    <w:p>
      <w:pPr>
        <w:pStyle w:val="Compact"/>
        <w:numPr>
          <w:ilvl w:val="0"/>
          <w:numId w:val="1002"/>
        </w:numPr>
      </w:pPr>
      <w:r>
        <w:t xml:space="preserve">Contact number</w:t>
      </w:r>
    </w:p>
    <w:p>
      <w:pPr>
        <w:pStyle w:val="Compact"/>
        <w:numPr>
          <w:ilvl w:val="0"/>
          <w:numId w:val="1002"/>
        </w:numPr>
      </w:pPr>
      <w:r>
        <w:t xml:space="preserve">Email Address</w:t>
      </w:r>
    </w:p>
    <w:p>
      <w:pPr>
        <w:pStyle w:val="Compact"/>
        <w:numPr>
          <w:ilvl w:val="0"/>
          <w:numId w:val="1002"/>
        </w:numPr>
      </w:pPr>
      <w:r>
        <w:t xml:space="preserve">Website Address</w:t>
      </w:r>
    </w:p>
    <w:p>
      <w:pPr>
        <w:pStyle w:val="Compact"/>
        <w:numPr>
          <w:ilvl w:val="0"/>
          <w:numId w:val="1002"/>
        </w:numPr>
      </w:pPr>
      <w:r>
        <w:t xml:space="preserve">Date Registered</w:t>
      </w:r>
    </w:p>
    <w:p>
      <w:pPr>
        <w:pStyle w:val="Compact"/>
        <w:numPr>
          <w:ilvl w:val="0"/>
          <w:numId w:val="1002"/>
        </w:numPr>
      </w:pPr>
      <w:r>
        <w:t xml:space="preserve">Current Status</w:t>
      </w:r>
    </w:p>
    <w:p>
      <w:pPr>
        <w:pStyle w:val="Compact"/>
        <w:numPr>
          <w:ilvl w:val="0"/>
          <w:numId w:val="1002"/>
        </w:numPr>
      </w:pPr>
      <w:r>
        <w:t xml:space="preserve">Registration Expiry Date</w:t>
      </w:r>
    </w:p>
    <w:p>
      <w:pPr>
        <w:pStyle w:val="Compact"/>
        <w:numPr>
          <w:ilvl w:val="0"/>
          <w:numId w:val="1002"/>
        </w:numPr>
      </w:pPr>
      <w:r>
        <w:t xml:space="preserve">Multiple advisors accommodation</w:t>
      </w:r>
    </w:p>
    <w:bookmarkEnd w:id="10"/>
    <w:bookmarkStart w:id="11" w:name="advisors-domain"/>
    <w:p>
      <w:pPr>
        <w:pStyle w:val="Heading3"/>
      </w:pPr>
      <w:r>
        <w:t xml:space="preserve">Advisor’s Domain</w:t>
      </w:r>
    </w:p>
    <w:p>
      <w:pPr>
        <w:pStyle w:val="Compact"/>
        <w:numPr>
          <w:ilvl w:val="0"/>
          <w:numId w:val="1003"/>
        </w:numPr>
      </w:pPr>
      <w:r>
        <w:t xml:space="preserve">Name</w:t>
      </w:r>
    </w:p>
    <w:p>
      <w:pPr>
        <w:pStyle w:val="Compact"/>
        <w:numPr>
          <w:ilvl w:val="0"/>
          <w:numId w:val="1003"/>
        </w:numPr>
      </w:pPr>
      <w:r>
        <w:t xml:space="preserve">Surname</w:t>
      </w:r>
    </w:p>
    <w:p>
      <w:pPr>
        <w:pStyle w:val="Compact"/>
        <w:numPr>
          <w:ilvl w:val="0"/>
          <w:numId w:val="1003"/>
        </w:numPr>
      </w:pPr>
      <w:r>
        <w:t xml:space="preserve">Qualification</w:t>
      </w:r>
    </w:p>
    <w:p>
      <w:pPr>
        <w:pStyle w:val="Compact"/>
        <w:numPr>
          <w:ilvl w:val="0"/>
          <w:numId w:val="1003"/>
        </w:numPr>
      </w:pPr>
      <w:r>
        <w:t xml:space="preserve">Professional Body Membership Number</w:t>
      </w:r>
    </w:p>
    <w:p>
      <w:pPr>
        <w:pStyle w:val="Compact"/>
        <w:numPr>
          <w:ilvl w:val="0"/>
          <w:numId w:val="1003"/>
        </w:numPr>
      </w:pPr>
      <w:r>
        <w:t xml:space="preserve">Address</w:t>
      </w:r>
    </w:p>
    <w:p>
      <w:pPr>
        <w:pStyle w:val="Compact"/>
        <w:numPr>
          <w:ilvl w:val="0"/>
          <w:numId w:val="1003"/>
        </w:numPr>
      </w:pPr>
      <w:r>
        <w:t xml:space="preserve">Country Selected for Retirement Financial Forecasting</w:t>
      </w:r>
    </w:p>
    <w:p>
      <w:pPr>
        <w:pStyle w:val="Compact"/>
        <w:numPr>
          <w:ilvl w:val="0"/>
          <w:numId w:val="1003"/>
        </w:numPr>
      </w:pPr>
      <w:r>
        <w:t xml:space="preserve">Email Address</w:t>
      </w:r>
    </w:p>
    <w:p>
      <w:pPr>
        <w:pStyle w:val="Compact"/>
        <w:numPr>
          <w:ilvl w:val="0"/>
          <w:numId w:val="1003"/>
        </w:numPr>
      </w:pPr>
      <w:r>
        <w:t xml:space="preserve">Contact Number</w:t>
      </w:r>
    </w:p>
    <w:p>
      <w:pPr>
        <w:pStyle w:val="Compact"/>
        <w:numPr>
          <w:ilvl w:val="0"/>
          <w:numId w:val="1003"/>
        </w:numPr>
      </w:pPr>
      <w:r>
        <w:t xml:space="preserve">Website address</w:t>
      </w:r>
    </w:p>
    <w:p>
      <w:pPr>
        <w:pStyle w:val="Compact"/>
        <w:numPr>
          <w:ilvl w:val="0"/>
          <w:numId w:val="1003"/>
        </w:numPr>
      </w:pPr>
      <w:r>
        <w:t xml:space="preserve">Business Logo</w:t>
      </w:r>
    </w:p>
    <w:p>
      <w:pPr>
        <w:pStyle w:val="Compact"/>
        <w:numPr>
          <w:ilvl w:val="0"/>
          <w:numId w:val="1003"/>
        </w:numPr>
      </w:pPr>
      <w:r>
        <w:t xml:space="preserve">Bank name</w:t>
      </w:r>
    </w:p>
    <w:p>
      <w:pPr>
        <w:pStyle w:val="Compact"/>
        <w:numPr>
          <w:ilvl w:val="0"/>
          <w:numId w:val="1003"/>
        </w:numPr>
      </w:pPr>
      <w:r>
        <w:t xml:space="preserve">Bank Account Number</w:t>
      </w:r>
    </w:p>
    <w:p>
      <w:pPr>
        <w:pStyle w:val="Compact"/>
        <w:numPr>
          <w:ilvl w:val="0"/>
          <w:numId w:val="1003"/>
        </w:numPr>
      </w:pPr>
      <w:r>
        <w:t xml:space="preserve">Bank Clearing Code</w:t>
      </w:r>
    </w:p>
    <w:bookmarkEnd w:id="11"/>
    <w:bookmarkStart w:id="12" w:name="client-data-within-advisors-domain"/>
    <w:p>
      <w:pPr>
        <w:pStyle w:val="Heading3"/>
      </w:pPr>
      <w:r>
        <w:t xml:space="preserve">Client Data (within Advisor’s Domain)</w:t>
      </w:r>
    </w:p>
    <w:p>
      <w:pPr>
        <w:pStyle w:val="Compact"/>
        <w:numPr>
          <w:ilvl w:val="0"/>
          <w:numId w:val="1004"/>
        </w:numPr>
      </w:pPr>
      <w:r>
        <w:t xml:space="preserve">Multiple individuals accommodation</w:t>
      </w:r>
    </w:p>
    <w:p>
      <w:pPr>
        <w:pStyle w:val="Compact"/>
        <w:numPr>
          <w:ilvl w:val="0"/>
          <w:numId w:val="1004"/>
        </w:numPr>
      </w:pPr>
      <w:r>
        <w:t xml:space="preserve">Principal Individual details</w:t>
      </w:r>
    </w:p>
    <w:p>
      <w:pPr>
        <w:pStyle w:val="Compact"/>
        <w:numPr>
          <w:ilvl w:val="0"/>
          <w:numId w:val="1004"/>
        </w:numPr>
      </w:pPr>
      <w:r>
        <w:t xml:space="preserve">Spouse details</w:t>
      </w:r>
    </w:p>
    <w:p>
      <w:pPr>
        <w:pStyle w:val="Compact"/>
        <w:numPr>
          <w:ilvl w:val="0"/>
          <w:numId w:val="1004"/>
        </w:numPr>
      </w:pPr>
      <w:r>
        <w:t xml:space="preserve">Currency Symbol (R)</w:t>
      </w:r>
    </w:p>
    <w:p>
      <w:pPr>
        <w:pStyle w:val="Compact"/>
        <w:numPr>
          <w:ilvl w:val="0"/>
          <w:numId w:val="1004"/>
        </w:numPr>
      </w:pPr>
      <w:r>
        <w:t xml:space="preserve">Plan Start Date (Month &amp; Year)</w:t>
      </w:r>
    </w:p>
    <w:p>
      <w:pPr>
        <w:pStyle w:val="Compact"/>
        <w:numPr>
          <w:ilvl w:val="0"/>
          <w:numId w:val="1004"/>
        </w:numPr>
      </w:pPr>
      <w:r>
        <w:t xml:space="preserve">Retirement plan type (Individual or Combined Estate)</w:t>
      </w:r>
    </w:p>
    <w:bookmarkEnd w:id="12"/>
    <w:bookmarkEnd w:id="13"/>
    <w:bookmarkStart w:id="19" w:name="X8019c24dd5ab5c434eca62233da48e63689496a"/>
    <w:p>
      <w:pPr>
        <w:pStyle w:val="Heading2"/>
      </w:pPr>
      <w:r>
        <w:t xml:space="preserve">Revenue, Expenses and Bank/Investment Fund Transfers</w:t>
      </w:r>
    </w:p>
    <w:bookmarkStart w:id="14" w:name="income-assumptions"/>
    <w:p>
      <w:pPr>
        <w:pStyle w:val="Heading3"/>
      </w:pPr>
      <w:r>
        <w:t xml:space="preserve">Income Assumptions</w:t>
      </w:r>
    </w:p>
    <w:p>
      <w:pPr>
        <w:pStyle w:val="FirstParagraph"/>
      </w:pPr>
      <w:r>
        <w:t xml:space="preserve">Non-Investment Fund Income Streams:</w:t>
      </w:r>
      <w:r>
        <w:t xml:space="preserve"> </w:t>
      </w:r>
      <w:r>
        <w:t xml:space="preserve">- Description</w:t>
      </w:r>
      <w:r>
        <w:t xml:space="preserve"> </w:t>
      </w:r>
      <w:r>
        <w:t xml:space="preserve">- Applicable Bank Account (Primary Personal, Personal or Business)</w:t>
      </w:r>
      <w:r>
        <w:t xml:space="preserve"> </w:t>
      </w:r>
      <w:r>
        <w:t xml:space="preserve">- Start Year (1 to 25)</w:t>
      </w:r>
      <w:r>
        <w:t xml:space="preserve"> </w:t>
      </w:r>
      <w:r>
        <w:t xml:space="preserve">- Start month (1 to 12)</w:t>
      </w:r>
      <w:r>
        <w:t xml:space="preserve"> </w:t>
      </w:r>
      <w:r>
        <w:t xml:space="preserve">- Starting Amount (Rand)</w:t>
      </w:r>
      <w:r>
        <w:t xml:space="preserve"> </w:t>
      </w:r>
      <w:r>
        <w:t xml:space="preserve">- End year (1 to 25)</w:t>
      </w:r>
      <w:r>
        <w:t xml:space="preserve"> </w:t>
      </w:r>
      <w:r>
        <w:t xml:space="preserve">- End month (1 to 12)</w:t>
      </w:r>
      <w:r>
        <w:t xml:space="preserve"> </w:t>
      </w:r>
      <w:r>
        <w:t xml:space="preserve">- Regularity (monthly, bi-monthly, quarterly, every 4th month, bi-annually)</w:t>
      </w:r>
      <w:r>
        <w:t xml:space="preserve"> </w:t>
      </w:r>
      <w:r>
        <w:t xml:space="preserve">- Annual Inflation Rate %</w:t>
      </w:r>
      <w:r>
        <w:t xml:space="preserve"> </w:t>
      </w:r>
      <w:r>
        <w:t xml:space="preserve">- Adjusted Monthly Inflation Rate % (calculated to reflect monthly rate that when compounded equals Annual Growth Rate)</w:t>
      </w:r>
      <w:r>
        <w:t xml:space="preserve"> </w:t>
      </w:r>
      <w:r>
        <w:t xml:space="preserve">- Standard deviation for inflation rate over past 25 years (searched and calculated by app)</w:t>
      </w:r>
      <w:r>
        <w:t xml:space="preserve"> </w:t>
      </w:r>
      <w:r>
        <w:t xml:space="preserve">- Transaction Taxable (Yes or No)</w:t>
      </w:r>
    </w:p>
    <w:bookmarkEnd w:id="14"/>
    <w:bookmarkStart w:id="15" w:name="bank-transfers"/>
    <w:p>
      <w:pPr>
        <w:pStyle w:val="Heading3"/>
      </w:pPr>
      <w:r>
        <w:t xml:space="preserve">Bank Transfers</w:t>
      </w:r>
    </w:p>
    <w:p>
      <w:pPr>
        <w:pStyle w:val="Compact"/>
        <w:numPr>
          <w:ilvl w:val="0"/>
          <w:numId w:val="1005"/>
        </w:numPr>
      </w:pPr>
      <w:r>
        <w:t xml:space="preserve">Incoming transfers to Primary Personal Bank Account from other accounts when exceeding maximum balance</w:t>
      </w:r>
    </w:p>
    <w:p>
      <w:pPr>
        <w:pStyle w:val="Compact"/>
        <w:numPr>
          <w:ilvl w:val="0"/>
          <w:numId w:val="1005"/>
        </w:numPr>
      </w:pPr>
      <w:r>
        <w:t xml:space="preserve">Outgoing transfers from Primary Personal Bank Account to other accounts when falling below minimum balance</w:t>
      </w:r>
    </w:p>
    <w:bookmarkEnd w:id="15"/>
    <w:bookmarkStart w:id="16" w:name="X8e9ce609c9e37d05a2bcac40d4c559343156b79"/>
    <w:p>
      <w:pPr>
        <w:pStyle w:val="Heading3"/>
      </w:pPr>
      <w:r>
        <w:t xml:space="preserve">Bank Payments/Transfers to Investment Funds</w:t>
      </w:r>
    </w:p>
    <w:p>
      <w:pPr>
        <w:pStyle w:val="Compact"/>
        <w:numPr>
          <w:ilvl w:val="0"/>
          <w:numId w:val="1006"/>
        </w:numPr>
      </w:pPr>
      <w:r>
        <w:t xml:space="preserve">Description</w:t>
      </w:r>
    </w:p>
    <w:p>
      <w:pPr>
        <w:pStyle w:val="Compact"/>
        <w:numPr>
          <w:ilvl w:val="0"/>
          <w:numId w:val="1006"/>
        </w:numPr>
      </w:pPr>
      <w:r>
        <w:t xml:space="preserve">Applicable Investment Account</w:t>
      </w:r>
    </w:p>
    <w:p>
      <w:pPr>
        <w:pStyle w:val="Compact"/>
        <w:numPr>
          <w:ilvl w:val="0"/>
          <w:numId w:val="1006"/>
        </w:numPr>
      </w:pPr>
      <w:r>
        <w:t xml:space="preserve">Start Year (1 to 25)</w:t>
      </w:r>
    </w:p>
    <w:p>
      <w:pPr>
        <w:pStyle w:val="Compact"/>
        <w:numPr>
          <w:ilvl w:val="0"/>
          <w:numId w:val="1006"/>
        </w:numPr>
      </w:pPr>
      <w:r>
        <w:t xml:space="preserve">Start month (1 to 12)</w:t>
      </w:r>
    </w:p>
    <w:p>
      <w:pPr>
        <w:pStyle w:val="Compact"/>
        <w:numPr>
          <w:ilvl w:val="0"/>
          <w:numId w:val="1006"/>
        </w:numPr>
      </w:pPr>
      <w:r>
        <w:t xml:space="preserve">Transfer Amount (Rand)</w:t>
      </w:r>
    </w:p>
    <w:p>
      <w:pPr>
        <w:pStyle w:val="Compact"/>
        <w:numPr>
          <w:ilvl w:val="0"/>
          <w:numId w:val="1006"/>
        </w:numPr>
      </w:pPr>
      <w:r>
        <w:t xml:space="preserve">End year (1 to 25)</w:t>
      </w:r>
    </w:p>
    <w:p>
      <w:pPr>
        <w:pStyle w:val="Compact"/>
        <w:numPr>
          <w:ilvl w:val="0"/>
          <w:numId w:val="1006"/>
        </w:numPr>
      </w:pPr>
      <w:r>
        <w:t xml:space="preserve">End month (1 to 12)</w:t>
      </w:r>
    </w:p>
    <w:p>
      <w:pPr>
        <w:pStyle w:val="Compact"/>
        <w:numPr>
          <w:ilvl w:val="0"/>
          <w:numId w:val="1006"/>
        </w:numPr>
      </w:pPr>
      <w:r>
        <w:t xml:space="preserve">Regularity (monthly, bi-monthly, quarterly, every 4th month, bi-annually)</w:t>
      </w:r>
    </w:p>
    <w:bookmarkEnd w:id="16"/>
    <w:bookmarkStart w:id="17" w:name="X4c2a23aab923f227ad460dc7b50952ff7f71b8e"/>
    <w:p>
      <w:pPr>
        <w:pStyle w:val="Heading3"/>
      </w:pPr>
      <w:r>
        <w:t xml:space="preserve">Asset Rentals, Asset Sale Proceeds and Acquisition Costs</w:t>
      </w:r>
    </w:p>
    <w:p>
      <w:pPr>
        <w:pStyle w:val="Compact"/>
        <w:numPr>
          <w:ilvl w:val="0"/>
          <w:numId w:val="1007"/>
        </w:numPr>
      </w:pPr>
      <w:r>
        <w:t xml:space="preserve">Rental income reflected in Primary Personal Bank Account for rented assets</w:t>
      </w:r>
    </w:p>
    <w:p>
      <w:pPr>
        <w:pStyle w:val="Compact"/>
        <w:numPr>
          <w:ilvl w:val="0"/>
          <w:numId w:val="1007"/>
        </w:numPr>
      </w:pPr>
      <w:r>
        <w:t xml:space="preserve">Rental income escalation annually by inflation rate</w:t>
      </w:r>
    </w:p>
    <w:p>
      <w:pPr>
        <w:pStyle w:val="Compact"/>
        <w:numPr>
          <w:ilvl w:val="0"/>
          <w:numId w:val="1007"/>
        </w:numPr>
      </w:pPr>
      <w:r>
        <w:t xml:space="preserve">Sale proceeds reflected as income in Primary Personal Bank Account</w:t>
      </w:r>
    </w:p>
    <w:p>
      <w:pPr>
        <w:pStyle w:val="Compact"/>
        <w:numPr>
          <w:ilvl w:val="0"/>
          <w:numId w:val="1007"/>
        </w:numPr>
      </w:pPr>
      <w:r>
        <w:t xml:space="preserve">Acquisition costs reflected as expenditure in Primary Personal Bank Account</w:t>
      </w:r>
    </w:p>
    <w:bookmarkEnd w:id="17"/>
    <w:bookmarkStart w:id="18" w:name="system-bank-clearing-account-transfers"/>
    <w:p>
      <w:pPr>
        <w:pStyle w:val="Heading3"/>
      </w:pPr>
      <w:r>
        <w:t xml:space="preserve">System Bank Clearing Account Transfers</w:t>
      </w:r>
    </w:p>
    <w:p>
      <w:pPr>
        <w:pStyle w:val="Compact"/>
        <w:numPr>
          <w:ilvl w:val="0"/>
          <w:numId w:val="1008"/>
        </w:numPr>
      </w:pPr>
      <w:r>
        <w:t xml:space="preserve">Centralized system-generated account for managing transfers between bank accounts and investments</w:t>
      </w:r>
    </w:p>
    <w:p>
      <w:pPr>
        <w:pStyle w:val="Compact"/>
        <w:numPr>
          <w:ilvl w:val="0"/>
          <w:numId w:val="1008"/>
        </w:numPr>
      </w:pPr>
      <w:r>
        <w:t xml:space="preserve">Calculations based on net shortfall or excesses of Primary Personal Bank account</w:t>
      </w:r>
    </w:p>
    <w:p>
      <w:pPr>
        <w:pStyle w:val="Compact"/>
        <w:numPr>
          <w:ilvl w:val="0"/>
          <w:numId w:val="1008"/>
        </w:numPr>
      </w:pPr>
      <w:r>
        <w:t xml:space="preserve">Incoming and outgoing transfers based on monthly cash shortfalls or excesses</w:t>
      </w:r>
    </w:p>
    <w:bookmarkEnd w:id="18"/>
    <w:bookmarkEnd w:id="19"/>
    <w:bookmarkStart w:id="20" w:name="expense-assumptions"/>
    <w:p>
      <w:pPr>
        <w:pStyle w:val="Heading2"/>
      </w:pPr>
      <w:r>
        <w:t xml:space="preserve">Expense Assumptions</w:t>
      </w:r>
    </w:p>
    <w:p>
      <w:pPr>
        <w:pStyle w:val="Compact"/>
        <w:numPr>
          <w:ilvl w:val="0"/>
          <w:numId w:val="1009"/>
        </w:numPr>
      </w:pPr>
      <w:r>
        <w:t xml:space="preserve">Description</w:t>
      </w:r>
    </w:p>
    <w:p>
      <w:pPr>
        <w:pStyle w:val="Compact"/>
        <w:numPr>
          <w:ilvl w:val="0"/>
          <w:numId w:val="1009"/>
        </w:numPr>
      </w:pPr>
      <w:r>
        <w:t xml:space="preserve">Applicable Bank Account (Personal or Business)</w:t>
      </w:r>
    </w:p>
    <w:p>
      <w:pPr>
        <w:pStyle w:val="Compact"/>
        <w:numPr>
          <w:ilvl w:val="0"/>
          <w:numId w:val="1009"/>
        </w:numPr>
      </w:pPr>
      <w:r>
        <w:t xml:space="preserve">Category (Fixed, Discretionary)</w:t>
      </w:r>
    </w:p>
    <w:p>
      <w:pPr>
        <w:pStyle w:val="Compact"/>
        <w:numPr>
          <w:ilvl w:val="0"/>
          <w:numId w:val="1009"/>
        </w:numPr>
      </w:pPr>
      <w:r>
        <w:t xml:space="preserve">Start Year (1 to 25)</w:t>
      </w:r>
    </w:p>
    <w:p>
      <w:pPr>
        <w:pStyle w:val="Compact"/>
        <w:numPr>
          <w:ilvl w:val="0"/>
          <w:numId w:val="1009"/>
        </w:numPr>
      </w:pPr>
      <w:r>
        <w:t xml:space="preserve">Start month (1 to 12)</w:t>
      </w:r>
    </w:p>
    <w:p>
      <w:pPr>
        <w:pStyle w:val="Compact"/>
        <w:numPr>
          <w:ilvl w:val="0"/>
          <w:numId w:val="1009"/>
        </w:numPr>
      </w:pPr>
      <w:r>
        <w:t xml:space="preserve">Starting Amount (Rand)</w:t>
      </w:r>
    </w:p>
    <w:p>
      <w:pPr>
        <w:pStyle w:val="Compact"/>
        <w:numPr>
          <w:ilvl w:val="0"/>
          <w:numId w:val="1009"/>
        </w:numPr>
      </w:pPr>
      <w:r>
        <w:t xml:space="preserve">End year (1 to 25)</w:t>
      </w:r>
    </w:p>
    <w:p>
      <w:pPr>
        <w:pStyle w:val="Compact"/>
        <w:numPr>
          <w:ilvl w:val="0"/>
          <w:numId w:val="1009"/>
        </w:numPr>
      </w:pPr>
      <w:r>
        <w:t xml:space="preserve">End month (1 to 12)</w:t>
      </w:r>
    </w:p>
    <w:p>
      <w:pPr>
        <w:pStyle w:val="Compact"/>
        <w:numPr>
          <w:ilvl w:val="0"/>
          <w:numId w:val="1009"/>
        </w:numPr>
      </w:pPr>
      <w:r>
        <w:t xml:space="preserve">Regularity (monthly, bi-monthly, quarterly, every 4th month, bi-annually)</w:t>
      </w:r>
    </w:p>
    <w:p>
      <w:pPr>
        <w:pStyle w:val="Compact"/>
        <w:numPr>
          <w:ilvl w:val="0"/>
          <w:numId w:val="1009"/>
        </w:numPr>
      </w:pPr>
      <w:r>
        <w:t xml:space="preserve">Annual Inflation Rate %</w:t>
      </w:r>
    </w:p>
    <w:p>
      <w:pPr>
        <w:pStyle w:val="Compact"/>
        <w:numPr>
          <w:ilvl w:val="0"/>
          <w:numId w:val="1009"/>
        </w:numPr>
      </w:pPr>
      <w:r>
        <w:t xml:space="preserve">Adjusted Monthly Inflation Rate % (calculated to reflect monthly rate that when compounded equals Annual Growth Rate)</w:t>
      </w:r>
    </w:p>
    <w:p>
      <w:pPr>
        <w:pStyle w:val="Compact"/>
        <w:numPr>
          <w:ilvl w:val="0"/>
          <w:numId w:val="1009"/>
        </w:numPr>
      </w:pPr>
      <w:r>
        <w:t xml:space="preserve">Standard deviation for inflation rate over past 25 years (searched and calculated by app)</w:t>
      </w:r>
    </w:p>
    <w:p>
      <w:pPr>
        <w:pStyle w:val="Compact"/>
        <w:numPr>
          <w:ilvl w:val="0"/>
          <w:numId w:val="1009"/>
        </w:numPr>
      </w:pPr>
      <w:r>
        <w:t xml:space="preserve">Transaction Tax Deductible (Yes or No)</w:t>
      </w:r>
    </w:p>
    <w:bookmarkEnd w:id="20"/>
    <w:bookmarkStart w:id="26" w:name="balance-sheet-components"/>
    <w:p>
      <w:pPr>
        <w:pStyle w:val="Heading2"/>
      </w:pPr>
      <w:r>
        <w:t xml:space="preserve">Balance Sheet Components</w:t>
      </w:r>
    </w:p>
    <w:bookmarkStart w:id="21" w:name="X61afce575031675ca737ff21d7cfcd40e368da3"/>
    <w:p>
      <w:pPr>
        <w:pStyle w:val="Heading3"/>
      </w:pPr>
      <w:r>
        <w:t xml:space="preserve">Liquid Assets - Transactional Bank Accounts</w:t>
      </w:r>
    </w:p>
    <w:p>
      <w:pPr>
        <w:pStyle w:val="Compact"/>
        <w:numPr>
          <w:ilvl w:val="0"/>
          <w:numId w:val="1010"/>
        </w:numPr>
      </w:pPr>
      <w:r>
        <w:t xml:space="preserve">Description</w:t>
      </w:r>
    </w:p>
    <w:p>
      <w:pPr>
        <w:pStyle w:val="Compact"/>
        <w:numPr>
          <w:ilvl w:val="0"/>
          <w:numId w:val="1010"/>
        </w:numPr>
      </w:pPr>
      <w:r>
        <w:t xml:space="preserve">Applicable Bank Account (Primary Personal, Other Personal or Business)</w:t>
      </w:r>
    </w:p>
    <w:p>
      <w:pPr>
        <w:pStyle w:val="Compact"/>
        <w:numPr>
          <w:ilvl w:val="0"/>
          <w:numId w:val="1010"/>
        </w:numPr>
      </w:pPr>
      <w:r>
        <w:t xml:space="preserve">Start Year (1 to 25)</w:t>
      </w:r>
    </w:p>
    <w:p>
      <w:pPr>
        <w:pStyle w:val="Compact"/>
        <w:numPr>
          <w:ilvl w:val="0"/>
          <w:numId w:val="1010"/>
        </w:numPr>
      </w:pPr>
      <w:r>
        <w:t xml:space="preserve">Start month (1 to 12)</w:t>
      </w:r>
    </w:p>
    <w:p>
      <w:pPr>
        <w:pStyle w:val="Compact"/>
        <w:numPr>
          <w:ilvl w:val="0"/>
          <w:numId w:val="1010"/>
        </w:numPr>
      </w:pPr>
      <w:r>
        <w:t xml:space="preserve">Starting Balance (Rand)</w:t>
      </w:r>
    </w:p>
    <w:p>
      <w:pPr>
        <w:pStyle w:val="Compact"/>
        <w:numPr>
          <w:ilvl w:val="0"/>
          <w:numId w:val="1010"/>
        </w:numPr>
      </w:pPr>
      <w:r>
        <w:t xml:space="preserve">End Year (1 to 25) - triggers transfer of balance to Primary Personal Bank Account</w:t>
      </w:r>
    </w:p>
    <w:p>
      <w:pPr>
        <w:pStyle w:val="Compact"/>
        <w:numPr>
          <w:ilvl w:val="0"/>
          <w:numId w:val="1010"/>
        </w:numPr>
      </w:pPr>
      <w:r>
        <w:t xml:space="preserve">End month (1 to 12)</w:t>
      </w:r>
    </w:p>
    <w:p>
      <w:pPr>
        <w:pStyle w:val="Compact"/>
        <w:numPr>
          <w:ilvl w:val="0"/>
          <w:numId w:val="1010"/>
        </w:numPr>
      </w:pPr>
      <w:r>
        <w:t xml:space="preserve">Minimum Balance (triggers transfer from Primary Personal Bank Account)</w:t>
      </w:r>
    </w:p>
    <w:p>
      <w:pPr>
        <w:pStyle w:val="Compact"/>
        <w:numPr>
          <w:ilvl w:val="0"/>
          <w:numId w:val="1010"/>
        </w:numPr>
      </w:pPr>
      <w:r>
        <w:t xml:space="preserve">Maximum Balance (triggers transfer to Primary Personal Bank Account)</w:t>
      </w:r>
    </w:p>
    <w:p>
      <w:pPr>
        <w:pStyle w:val="Compact"/>
        <w:numPr>
          <w:ilvl w:val="0"/>
          <w:numId w:val="1010"/>
        </w:numPr>
      </w:pPr>
      <w:r>
        <w:t xml:space="preserve">Applicable Growth Rate Variable (e.g., bank interest rate%)</w:t>
      </w:r>
    </w:p>
    <w:p>
      <w:pPr>
        <w:pStyle w:val="Compact"/>
        <w:numPr>
          <w:ilvl w:val="0"/>
          <w:numId w:val="1010"/>
        </w:numPr>
      </w:pPr>
      <w:r>
        <w:t xml:space="preserve">Standard deviation for country’s prime interest rate over past 25 years (searched and calculated by app)</w:t>
      </w:r>
    </w:p>
    <w:p>
      <w:pPr>
        <w:pStyle w:val="Compact"/>
        <w:numPr>
          <w:ilvl w:val="0"/>
          <w:numId w:val="1010"/>
        </w:numPr>
      </w:pPr>
      <w:r>
        <w:t xml:space="preserve">Interest Taxable (Yes or No)</w:t>
      </w:r>
    </w:p>
    <w:p>
      <w:pPr>
        <w:pStyle w:val="Compact"/>
        <w:numPr>
          <w:ilvl w:val="0"/>
          <w:numId w:val="1010"/>
        </w:numPr>
      </w:pPr>
      <w:r>
        <w:t xml:space="preserve">Monthly fees (%)</w:t>
      </w:r>
    </w:p>
    <w:bookmarkEnd w:id="21"/>
    <w:bookmarkStart w:id="22" w:name="system-bank-clearing-account"/>
    <w:p>
      <w:pPr>
        <w:pStyle w:val="Heading3"/>
      </w:pPr>
      <w:r>
        <w:t xml:space="preserve">System Bank Clearing Account</w:t>
      </w:r>
    </w:p>
    <w:p>
      <w:pPr>
        <w:pStyle w:val="Compact"/>
        <w:numPr>
          <w:ilvl w:val="0"/>
          <w:numId w:val="1011"/>
        </w:numPr>
      </w:pPr>
      <w:r>
        <w:t xml:space="preserve">System-generated account for managing all transfers between bank accounts and investment accounts</w:t>
      </w:r>
    </w:p>
    <w:bookmarkEnd w:id="22"/>
    <w:bookmarkStart w:id="23" w:name="bank-investment-accounts"/>
    <w:p>
      <w:pPr>
        <w:pStyle w:val="Heading3"/>
      </w:pPr>
      <w:r>
        <w:t xml:space="preserve">Bank Investment Accounts</w:t>
      </w:r>
    </w:p>
    <w:p>
      <w:pPr>
        <w:pStyle w:val="Compact"/>
        <w:numPr>
          <w:ilvl w:val="0"/>
          <w:numId w:val="1012"/>
        </w:numPr>
      </w:pPr>
      <w:r>
        <w:t xml:space="preserve">Description (Bank &amp; Account type)</w:t>
      </w:r>
    </w:p>
    <w:p>
      <w:pPr>
        <w:pStyle w:val="Compact"/>
        <w:numPr>
          <w:ilvl w:val="0"/>
          <w:numId w:val="1012"/>
        </w:numPr>
      </w:pPr>
      <w:r>
        <w:t xml:space="preserve">Applicable Bank Account (account reference number)</w:t>
      </w:r>
    </w:p>
    <w:p>
      <w:pPr>
        <w:pStyle w:val="Compact"/>
        <w:numPr>
          <w:ilvl w:val="0"/>
          <w:numId w:val="1012"/>
        </w:numPr>
      </w:pPr>
      <w:r>
        <w:t xml:space="preserve">Start Year (1 to 25)</w:t>
      </w:r>
    </w:p>
    <w:p>
      <w:pPr>
        <w:pStyle w:val="Compact"/>
        <w:numPr>
          <w:ilvl w:val="0"/>
          <w:numId w:val="1012"/>
        </w:numPr>
      </w:pPr>
      <w:r>
        <w:t xml:space="preserve">Start month (1 to 12)</w:t>
      </w:r>
    </w:p>
    <w:p>
      <w:pPr>
        <w:pStyle w:val="Compact"/>
        <w:numPr>
          <w:ilvl w:val="0"/>
          <w:numId w:val="1012"/>
        </w:numPr>
      </w:pPr>
      <w:r>
        <w:t xml:space="preserve">Starting Balance (Rand)</w:t>
      </w:r>
    </w:p>
    <w:p>
      <w:pPr>
        <w:pStyle w:val="Compact"/>
        <w:numPr>
          <w:ilvl w:val="0"/>
          <w:numId w:val="1012"/>
        </w:numPr>
      </w:pPr>
      <w:r>
        <w:t xml:space="preserve">Annual Growth Rate (e.g., interest rate %)</w:t>
      </w:r>
    </w:p>
    <w:p>
      <w:pPr>
        <w:pStyle w:val="Compact"/>
        <w:numPr>
          <w:ilvl w:val="0"/>
          <w:numId w:val="1012"/>
        </w:numPr>
      </w:pPr>
      <w:r>
        <w:t xml:space="preserve">Standard deviation for country’s prime interest rate over past 25 years (searched and calculated by app)</w:t>
      </w:r>
    </w:p>
    <w:p>
      <w:pPr>
        <w:pStyle w:val="Compact"/>
        <w:numPr>
          <w:ilvl w:val="0"/>
          <w:numId w:val="1012"/>
        </w:numPr>
      </w:pPr>
      <w:r>
        <w:t xml:space="preserve">Adjusted Monthly Growth Rate % (calculated to reflect monthly rate that when compounded equals Annual Growth Rate)</w:t>
      </w:r>
    </w:p>
    <w:p>
      <w:pPr>
        <w:pStyle w:val="Compact"/>
        <w:numPr>
          <w:ilvl w:val="0"/>
          <w:numId w:val="1012"/>
        </w:numPr>
      </w:pPr>
      <w:r>
        <w:t xml:space="preserve">Monthly fees (%)</w:t>
      </w:r>
    </w:p>
    <w:p>
      <w:pPr>
        <w:pStyle w:val="Compact"/>
        <w:numPr>
          <w:ilvl w:val="0"/>
          <w:numId w:val="1012"/>
        </w:numPr>
      </w:pPr>
      <w:r>
        <w:t xml:space="preserve">Drawdown order relative to other investment sources (1st, 2nd, etc.)</w:t>
      </w:r>
    </w:p>
    <w:p>
      <w:pPr>
        <w:pStyle w:val="Compact"/>
        <w:numPr>
          <w:ilvl w:val="0"/>
          <w:numId w:val="1012"/>
        </w:numPr>
      </w:pPr>
      <w:r>
        <w:t xml:space="preserve">Drawdown parameter (% or Amount)</w:t>
      </w:r>
    </w:p>
    <w:p>
      <w:pPr>
        <w:pStyle w:val="Compact"/>
        <w:numPr>
          <w:ilvl w:val="0"/>
          <w:numId w:val="1012"/>
        </w:numPr>
      </w:pPr>
      <w:r>
        <w:t xml:space="preserve">Minimum Balance (after which no further withdrawals, triggers transfer to Primary Personal Bank Account)</w:t>
      </w:r>
    </w:p>
    <w:p>
      <w:pPr>
        <w:pStyle w:val="Compact"/>
        <w:numPr>
          <w:ilvl w:val="0"/>
          <w:numId w:val="1012"/>
        </w:numPr>
      </w:pPr>
      <w:r>
        <w:t xml:space="preserve">Drawdowns Tax status (Taxable or Not Taxable)</w:t>
      </w:r>
    </w:p>
    <w:p>
      <w:pPr>
        <w:pStyle w:val="Compact"/>
        <w:numPr>
          <w:ilvl w:val="0"/>
          <w:numId w:val="1012"/>
        </w:numPr>
      </w:pPr>
      <w:r>
        <w:t xml:space="preserve">Drawdown Tax Withheld %</w:t>
      </w:r>
    </w:p>
    <w:bookmarkEnd w:id="23"/>
    <w:bookmarkStart w:id="24" w:name="investment-funds"/>
    <w:p>
      <w:pPr>
        <w:pStyle w:val="Heading3"/>
      </w:pPr>
      <w:r>
        <w:t xml:space="preserve">Investment Funds</w:t>
      </w:r>
    </w:p>
    <w:p>
      <w:pPr>
        <w:pStyle w:val="Compact"/>
        <w:numPr>
          <w:ilvl w:val="0"/>
          <w:numId w:val="1013"/>
        </w:numPr>
      </w:pPr>
      <w:r>
        <w:t xml:space="preserve">Description (Fund Name)</w:t>
      </w:r>
    </w:p>
    <w:p>
      <w:pPr>
        <w:pStyle w:val="Compact"/>
        <w:numPr>
          <w:ilvl w:val="0"/>
          <w:numId w:val="1013"/>
        </w:numPr>
      </w:pPr>
      <w:r>
        <w:t xml:space="preserve">Fund Type (Retirement Annuity, Investment Fund, etc.)</w:t>
      </w:r>
    </w:p>
    <w:p>
      <w:pPr>
        <w:pStyle w:val="Compact"/>
        <w:numPr>
          <w:ilvl w:val="0"/>
          <w:numId w:val="1013"/>
        </w:numPr>
      </w:pPr>
      <w:r>
        <w:t xml:space="preserve">Start Year (1 to 25)</w:t>
      </w:r>
    </w:p>
    <w:p>
      <w:pPr>
        <w:pStyle w:val="Compact"/>
        <w:numPr>
          <w:ilvl w:val="0"/>
          <w:numId w:val="1013"/>
        </w:numPr>
      </w:pPr>
      <w:r>
        <w:t xml:space="preserve">Start month (1 to 12)</w:t>
      </w:r>
    </w:p>
    <w:p>
      <w:pPr>
        <w:pStyle w:val="Compact"/>
        <w:numPr>
          <w:ilvl w:val="0"/>
          <w:numId w:val="1013"/>
        </w:numPr>
      </w:pPr>
      <w:r>
        <w:t xml:space="preserve">Starting Balance (Rand)</w:t>
      </w:r>
    </w:p>
    <w:p>
      <w:pPr>
        <w:pStyle w:val="Compact"/>
        <w:numPr>
          <w:ilvl w:val="0"/>
          <w:numId w:val="1013"/>
        </w:numPr>
      </w:pPr>
      <w:r>
        <w:t xml:space="preserve">Starting Drawdown (Amount or %) until overridden by calculated income shortfalls</w:t>
      </w:r>
    </w:p>
    <w:p>
      <w:pPr>
        <w:pStyle w:val="Compact"/>
        <w:numPr>
          <w:ilvl w:val="0"/>
          <w:numId w:val="1013"/>
        </w:numPr>
      </w:pPr>
      <w:r>
        <w:t xml:space="preserve">Annual Growth Rate % (Gross)</w:t>
      </w:r>
    </w:p>
    <w:p>
      <w:pPr>
        <w:pStyle w:val="Compact"/>
        <w:numPr>
          <w:ilvl w:val="0"/>
          <w:numId w:val="1013"/>
        </w:numPr>
      </w:pPr>
      <w:r>
        <w:t xml:space="preserve">Adjusted Monthly Growth Rate % (calculated to reflect monthly rate that when compounded equals Annual Growth Rate)</w:t>
      </w:r>
    </w:p>
    <w:p>
      <w:pPr>
        <w:pStyle w:val="Compact"/>
        <w:numPr>
          <w:ilvl w:val="0"/>
          <w:numId w:val="1013"/>
        </w:numPr>
      </w:pPr>
      <w:r>
        <w:t xml:space="preserve">Standard deviation for investment (0 if searched and calculated by app)</w:t>
      </w:r>
    </w:p>
    <w:p>
      <w:pPr>
        <w:pStyle w:val="Compact"/>
        <w:numPr>
          <w:ilvl w:val="0"/>
          <w:numId w:val="1013"/>
        </w:numPr>
      </w:pPr>
      <w:r>
        <w:t xml:space="preserve">Monthly fees (%)</w:t>
      </w:r>
    </w:p>
    <w:p>
      <w:pPr>
        <w:pStyle w:val="Compact"/>
        <w:numPr>
          <w:ilvl w:val="0"/>
          <w:numId w:val="1013"/>
        </w:numPr>
      </w:pPr>
      <w:r>
        <w:t xml:space="preserve">Drawdown order, relative to other investment sources (1st, 2nd, etc)</w:t>
      </w:r>
    </w:p>
    <w:p>
      <w:pPr>
        <w:pStyle w:val="Compact"/>
        <w:numPr>
          <w:ilvl w:val="0"/>
          <w:numId w:val="1013"/>
        </w:numPr>
      </w:pPr>
      <w:r>
        <w:t xml:space="preserve">Drawdown parameter (% of fund balance or fixed amount)</w:t>
      </w:r>
    </w:p>
    <w:p>
      <w:pPr>
        <w:pStyle w:val="Compact"/>
        <w:numPr>
          <w:ilvl w:val="0"/>
          <w:numId w:val="1013"/>
        </w:numPr>
      </w:pPr>
      <w:r>
        <w:t xml:space="preserve">Minimum balance (after which no further withdrawals, triggers transfer to Primary Personal Bank Account)</w:t>
      </w:r>
    </w:p>
    <w:p>
      <w:pPr>
        <w:pStyle w:val="Compact"/>
        <w:numPr>
          <w:ilvl w:val="0"/>
          <w:numId w:val="1013"/>
        </w:numPr>
      </w:pPr>
      <w:r>
        <w:t xml:space="preserve">Disbursements/Drawdowns tax status (Taxable or Not Taxable)</w:t>
      </w:r>
    </w:p>
    <w:p>
      <w:pPr>
        <w:pStyle w:val="Compact"/>
        <w:numPr>
          <w:ilvl w:val="0"/>
          <w:numId w:val="1013"/>
        </w:numPr>
      </w:pPr>
      <w:r>
        <w:t xml:space="preserve">Monthly disbursement proceeds net of tax (Yes or No)</w:t>
      </w:r>
    </w:p>
    <w:bookmarkEnd w:id="24"/>
    <w:bookmarkStart w:id="25" w:name="primary-investment-fund"/>
    <w:p>
      <w:pPr>
        <w:pStyle w:val="Heading3"/>
      </w:pPr>
      <w:r>
        <w:t xml:space="preserve">Primary Investment Fund</w:t>
      </w:r>
    </w:p>
    <w:p>
      <w:pPr>
        <w:pStyle w:val="Compact"/>
        <w:numPr>
          <w:ilvl w:val="0"/>
          <w:numId w:val="1014"/>
        </w:numPr>
      </w:pPr>
      <w:r>
        <w:t xml:space="preserve">Last fund to be drawn down from</w:t>
      </w:r>
    </w:p>
    <w:p>
      <w:pPr>
        <w:pStyle w:val="Compact"/>
        <w:numPr>
          <w:ilvl w:val="0"/>
          <w:numId w:val="1014"/>
        </w:numPr>
      </w:pPr>
      <w:r>
        <w:t xml:space="preserve">Same data structure as Investment Funds</w:t>
      </w:r>
    </w:p>
    <w:bookmarkEnd w:id="25"/>
    <w:bookmarkEnd w:id="26"/>
    <w:bookmarkStart w:id="32" w:name="cash-flow-calculation-methodology"/>
    <w:p>
      <w:pPr>
        <w:pStyle w:val="Heading2"/>
      </w:pPr>
      <w:r>
        <w:t xml:space="preserve">Cash Flow Calculation Methodology</w:t>
      </w:r>
    </w:p>
    <w:bookmarkStart w:id="27" w:name="income-calculation-logic"/>
    <w:p>
      <w:pPr>
        <w:pStyle w:val="Heading3"/>
      </w:pPr>
      <w:r>
        <w:t xml:space="preserve">Income Calculation Logic</w:t>
      </w:r>
    </w:p>
    <w:p>
      <w:pPr>
        <w:pStyle w:val="Compact"/>
        <w:numPr>
          <w:ilvl w:val="0"/>
          <w:numId w:val="1015"/>
        </w:numPr>
      </w:pPr>
      <w:r>
        <w:t xml:space="preserve">Place starting amount in specified year and month</w:t>
      </w:r>
    </w:p>
    <w:p>
      <w:pPr>
        <w:pStyle w:val="Compact"/>
        <w:numPr>
          <w:ilvl w:val="0"/>
          <w:numId w:val="1015"/>
        </w:numPr>
      </w:pPr>
      <w:r>
        <w:t xml:space="preserve">Repeat according to chosen frequency until end dates</w:t>
      </w:r>
    </w:p>
    <w:p>
      <w:pPr>
        <w:pStyle w:val="Compact"/>
        <w:numPr>
          <w:ilvl w:val="0"/>
          <w:numId w:val="1015"/>
        </w:numPr>
      </w:pPr>
      <w:r>
        <w:t xml:space="preserve">Increase amount annually from first month of each new year</w:t>
      </w:r>
    </w:p>
    <w:p>
      <w:pPr>
        <w:pStyle w:val="Compact"/>
        <w:numPr>
          <w:ilvl w:val="0"/>
          <w:numId w:val="1015"/>
        </w:numPr>
      </w:pPr>
      <w:r>
        <w:t xml:space="preserve">End revenue item in end year and end month</w:t>
      </w:r>
    </w:p>
    <w:bookmarkEnd w:id="27"/>
    <w:bookmarkStart w:id="28" w:name="expenses-calculation-logic"/>
    <w:p>
      <w:pPr>
        <w:pStyle w:val="Heading3"/>
      </w:pPr>
      <w:r>
        <w:t xml:space="preserve">Expenses Calculation Logic</w:t>
      </w:r>
    </w:p>
    <w:p>
      <w:pPr>
        <w:pStyle w:val="Compact"/>
        <w:numPr>
          <w:ilvl w:val="0"/>
          <w:numId w:val="1016"/>
        </w:numPr>
      </w:pPr>
      <w:r>
        <w:t xml:space="preserve">Place starting amount in specified year and month</w:t>
      </w:r>
    </w:p>
    <w:p>
      <w:pPr>
        <w:pStyle w:val="Compact"/>
        <w:numPr>
          <w:ilvl w:val="0"/>
          <w:numId w:val="1016"/>
        </w:numPr>
      </w:pPr>
      <w:r>
        <w:t xml:space="preserve">Repeat according to chosen frequency until end dates</w:t>
      </w:r>
    </w:p>
    <w:p>
      <w:pPr>
        <w:pStyle w:val="Compact"/>
        <w:numPr>
          <w:ilvl w:val="0"/>
          <w:numId w:val="1016"/>
        </w:numPr>
      </w:pPr>
      <w:r>
        <w:t xml:space="preserve">Increase amount annually from first month of each new year</w:t>
      </w:r>
    </w:p>
    <w:p>
      <w:pPr>
        <w:pStyle w:val="Compact"/>
        <w:numPr>
          <w:ilvl w:val="0"/>
          <w:numId w:val="1016"/>
        </w:numPr>
      </w:pPr>
      <w:r>
        <w:t xml:space="preserve">End expense item in end year and end month</w:t>
      </w:r>
    </w:p>
    <w:bookmarkEnd w:id="28"/>
    <w:bookmarkStart w:id="29" w:name="X8431f6a57f283dead62245b42e7be95c2ad8958"/>
    <w:p>
      <w:pPr>
        <w:pStyle w:val="Heading3"/>
      </w:pPr>
      <w:r>
        <w:t xml:space="preserve">Transfers to Primary Personal Bank Account</w:t>
      </w:r>
    </w:p>
    <w:p>
      <w:pPr>
        <w:pStyle w:val="Compact"/>
        <w:numPr>
          <w:ilvl w:val="0"/>
          <w:numId w:val="1017"/>
        </w:numPr>
      </w:pPr>
      <w:r>
        <w:t xml:space="preserve">Triggered when Primary Personal Bank Account becomes negative</w:t>
      </w:r>
    </w:p>
    <w:p>
      <w:pPr>
        <w:pStyle w:val="Compact"/>
        <w:numPr>
          <w:ilvl w:val="0"/>
          <w:numId w:val="1017"/>
        </w:numPr>
      </w:pPr>
      <w:r>
        <w:t xml:space="preserve">Transfer amount rounded up to nearest R10,000 from System Bank Clearing Account</w:t>
      </w:r>
    </w:p>
    <w:p>
      <w:pPr>
        <w:pStyle w:val="Compact"/>
        <w:numPr>
          <w:ilvl w:val="0"/>
          <w:numId w:val="1017"/>
        </w:numPr>
      </w:pPr>
      <w:r>
        <w:t xml:space="preserve">System Bank Clearing Account withdraws from investment accounts based on drawdown order and minimum balances</w:t>
      </w:r>
    </w:p>
    <w:bookmarkEnd w:id="29"/>
    <w:bookmarkStart w:id="30" w:name="taxable-drawdowns"/>
    <w:p>
      <w:pPr>
        <w:pStyle w:val="Heading3"/>
      </w:pPr>
      <w:r>
        <w:t xml:space="preserve">Taxable Drawdowns</w:t>
      </w:r>
    </w:p>
    <w:p>
      <w:pPr>
        <w:pStyle w:val="Compact"/>
        <w:numPr>
          <w:ilvl w:val="0"/>
          <w:numId w:val="1018"/>
        </w:numPr>
      </w:pPr>
      <w:r>
        <w:t xml:space="preserve">Drawdown amount increased by multiplying by one divided by Drawdown Tax Withheld %</w:t>
      </w:r>
    </w:p>
    <w:p>
      <w:pPr>
        <w:pStyle w:val="Compact"/>
        <w:numPr>
          <w:ilvl w:val="0"/>
          <w:numId w:val="1018"/>
        </w:numPr>
      </w:pPr>
      <w:r>
        <w:t xml:space="preserve">Net amount after tax transferred to System Bank Clearing Account</w:t>
      </w:r>
    </w:p>
    <w:p>
      <w:pPr>
        <w:pStyle w:val="Compact"/>
        <w:numPr>
          <w:ilvl w:val="0"/>
          <w:numId w:val="1018"/>
        </w:numPr>
      </w:pPr>
      <w:r>
        <w:t xml:space="preserve">Tax withheld transferred to</w:t>
      </w:r>
      <w:r>
        <w:t xml:space="preserve"> </w:t>
      </w:r>
      <w:r>
        <w:t xml:space="preserve">“Tax-Paid-In-Advance”</w:t>
      </w:r>
      <w:r>
        <w:t xml:space="preserve"> </w:t>
      </w:r>
      <w:r>
        <w:t xml:space="preserve">debtors account</w:t>
      </w:r>
    </w:p>
    <w:bookmarkEnd w:id="30"/>
    <w:bookmarkStart w:id="31" w:name="insufficient-funds-handling"/>
    <w:p>
      <w:pPr>
        <w:pStyle w:val="Heading3"/>
      </w:pPr>
      <w:r>
        <w:t xml:space="preserve">Insufficient Funds Handling</w:t>
      </w:r>
    </w:p>
    <w:p>
      <w:pPr>
        <w:pStyle w:val="Compact"/>
        <w:numPr>
          <w:ilvl w:val="0"/>
          <w:numId w:val="1019"/>
        </w:numPr>
      </w:pPr>
      <w:r>
        <w:t xml:space="preserve">If remaining balance &lt; drawdown amount, transfer balance on hand</w:t>
      </w:r>
    </w:p>
    <w:p>
      <w:pPr>
        <w:pStyle w:val="Compact"/>
        <w:numPr>
          <w:ilvl w:val="0"/>
          <w:numId w:val="1019"/>
        </w:numPr>
      </w:pPr>
      <w:r>
        <w:t xml:space="preserve">Balance of drawdown amount made from next investment account on drawdown list</w:t>
      </w:r>
    </w:p>
    <w:p>
      <w:pPr>
        <w:pStyle w:val="Compact"/>
        <w:numPr>
          <w:ilvl w:val="0"/>
          <w:numId w:val="1019"/>
        </w:numPr>
      </w:pPr>
      <w:r>
        <w:t xml:space="preserve">If insufficient funds in any investment accounts, System Bank Clearing Account becomes negative</w:t>
      </w:r>
    </w:p>
    <w:bookmarkEnd w:id="31"/>
    <w:bookmarkEnd w:id="32"/>
    <w:bookmarkStart w:id="35" w:name="investment-account-and-fund-computations"/>
    <w:p>
      <w:pPr>
        <w:pStyle w:val="Heading2"/>
      </w:pPr>
      <w:r>
        <w:t xml:space="preserve">Investment Account and Fund Computations</w:t>
      </w:r>
    </w:p>
    <w:bookmarkStart w:id="33" w:name="growth-calculations"/>
    <w:p>
      <w:pPr>
        <w:pStyle w:val="Heading3"/>
      </w:pPr>
      <w:r>
        <w:t xml:space="preserve">Growth Calculations</w:t>
      </w:r>
    </w:p>
    <w:p>
      <w:pPr>
        <w:pStyle w:val="Compact"/>
        <w:numPr>
          <w:ilvl w:val="0"/>
          <w:numId w:val="1020"/>
        </w:numPr>
      </w:pPr>
      <w:r>
        <w:t xml:space="preserve">Individual investments start on start date and grow monthly at</w:t>
      </w:r>
      <w:r>
        <w:t xml:space="preserve"> </w:t>
      </w:r>
      <w:r>
        <w:t xml:space="preserve">“Adjusted monthly growth rate”</w:t>
      </w:r>
    </w:p>
    <w:p>
      <w:pPr>
        <w:pStyle w:val="Compact"/>
        <w:numPr>
          <w:ilvl w:val="0"/>
          <w:numId w:val="1020"/>
        </w:numPr>
      </w:pPr>
      <w:r>
        <w:t xml:space="preserve">Adjusted monthly growth rate calculated to compound to annual growth rate</w:t>
      </w:r>
    </w:p>
    <w:p>
      <w:pPr>
        <w:pStyle w:val="Compact"/>
        <w:numPr>
          <w:ilvl w:val="0"/>
          <w:numId w:val="1020"/>
        </w:numPr>
      </w:pPr>
      <w:r>
        <w:t xml:space="preserve">Monthly drawdowns generated from System Clearing Account</w:t>
      </w:r>
    </w:p>
    <w:bookmarkEnd w:id="33"/>
    <w:bookmarkStart w:id="34" w:name="X6b5327ebac4b3a8df7b05ba80ed200dd4839066"/>
    <w:p>
      <w:pPr>
        <w:pStyle w:val="Heading3"/>
      </w:pPr>
      <w:r>
        <w:t xml:space="preserve">Professional Investment Management Features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Portfolio Optimization</w:t>
      </w:r>
    </w:p>
    <w:p>
      <w:pPr>
        <w:pStyle w:val="Compact"/>
        <w:numPr>
          <w:ilvl w:val="1"/>
          <w:numId w:val="1022"/>
        </w:numPr>
      </w:pPr>
      <w:r>
        <w:t xml:space="preserve">Modern Portfolio Theory (MPT) implementation</w:t>
      </w:r>
    </w:p>
    <w:p>
      <w:pPr>
        <w:pStyle w:val="Compact"/>
        <w:numPr>
          <w:ilvl w:val="1"/>
          <w:numId w:val="1022"/>
        </w:numPr>
      </w:pPr>
      <w:r>
        <w:t xml:space="preserve">Risk-return optimization algorithms</w:t>
      </w:r>
    </w:p>
    <w:p>
      <w:pPr>
        <w:pStyle w:val="Compact"/>
        <w:numPr>
          <w:ilvl w:val="1"/>
          <w:numId w:val="1022"/>
        </w:numPr>
      </w:pPr>
      <w:r>
        <w:t xml:space="preserve">Asset allocation rebalancing triggers</w:t>
      </w:r>
    </w:p>
    <w:p>
      <w:pPr>
        <w:pStyle w:val="Compact"/>
        <w:numPr>
          <w:ilvl w:val="1"/>
          <w:numId w:val="1022"/>
        </w:numPr>
      </w:pPr>
      <w:r>
        <w:t xml:space="preserve">Correlation analysis between asset classes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Advanced Withdrawal Strategies</w:t>
      </w:r>
    </w:p>
    <w:p>
      <w:pPr>
        <w:pStyle w:val="Compact"/>
        <w:numPr>
          <w:ilvl w:val="1"/>
          <w:numId w:val="1023"/>
        </w:numPr>
      </w:pPr>
      <w:r>
        <w:t xml:space="preserve">Dynamic spending rule calculations</w:t>
      </w:r>
    </w:p>
    <w:p>
      <w:pPr>
        <w:pStyle w:val="Compact"/>
        <w:numPr>
          <w:ilvl w:val="1"/>
          <w:numId w:val="1023"/>
        </w:numPr>
      </w:pPr>
      <w:r>
        <w:t xml:space="preserve">Floor and ceiling spending limits</w:t>
      </w:r>
    </w:p>
    <w:p>
      <w:pPr>
        <w:pStyle w:val="Compact"/>
        <w:numPr>
          <w:ilvl w:val="1"/>
          <w:numId w:val="1023"/>
        </w:numPr>
      </w:pPr>
      <w:r>
        <w:t xml:space="preserve">Inflation-adjusted withdrawal rates</w:t>
      </w:r>
    </w:p>
    <w:p>
      <w:pPr>
        <w:pStyle w:val="Compact"/>
        <w:numPr>
          <w:ilvl w:val="1"/>
          <w:numId w:val="1023"/>
        </w:numPr>
      </w:pPr>
      <w:r>
        <w:t xml:space="preserve">Sequence of returns risk management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Tax-Loss Harvesting</w:t>
      </w:r>
    </w:p>
    <w:p>
      <w:pPr>
        <w:pStyle w:val="Compact"/>
        <w:numPr>
          <w:ilvl w:val="1"/>
          <w:numId w:val="1024"/>
        </w:numPr>
      </w:pPr>
      <w:r>
        <w:t xml:space="preserve">Automated loss identification</w:t>
      </w:r>
    </w:p>
    <w:p>
      <w:pPr>
        <w:pStyle w:val="Compact"/>
        <w:numPr>
          <w:ilvl w:val="1"/>
          <w:numId w:val="1024"/>
        </w:numPr>
      </w:pPr>
      <w:r>
        <w:t xml:space="preserve">Wash sale rule compliance</w:t>
      </w:r>
    </w:p>
    <w:p>
      <w:pPr>
        <w:pStyle w:val="Compact"/>
        <w:numPr>
          <w:ilvl w:val="1"/>
          <w:numId w:val="1024"/>
        </w:numPr>
      </w:pPr>
      <w:r>
        <w:t xml:space="preserve">Tax-efficient transaction timing</w:t>
      </w:r>
    </w:p>
    <w:p>
      <w:pPr>
        <w:pStyle w:val="Compact"/>
        <w:numPr>
          <w:ilvl w:val="1"/>
          <w:numId w:val="1024"/>
        </w:numPr>
      </w:pPr>
      <w:r>
        <w:t xml:space="preserve">Capital gains optimization</w:t>
      </w:r>
    </w:p>
    <w:bookmarkEnd w:id="34"/>
    <w:bookmarkEnd w:id="35"/>
    <w:bookmarkStart w:id="41" w:name="taxation"/>
    <w:p>
      <w:pPr>
        <w:pStyle w:val="Heading2"/>
      </w:pPr>
      <w:r>
        <w:t xml:space="preserve">Taxation</w:t>
      </w:r>
    </w:p>
    <w:bookmarkStart w:id="36" w:name="enhanced-tax-planning-features"/>
    <w:p>
      <w:pPr>
        <w:pStyle w:val="Heading3"/>
      </w:pPr>
      <w:r>
        <w:t xml:space="preserve">Enhanced Tax Planning Features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Multi-Jurisdictional Tax Optimization</w:t>
      </w:r>
    </w:p>
    <w:p>
      <w:pPr>
        <w:pStyle w:val="Compact"/>
        <w:numPr>
          <w:ilvl w:val="1"/>
          <w:numId w:val="1026"/>
        </w:numPr>
      </w:pPr>
      <w:r>
        <w:t xml:space="preserve">Double taxation agreement integration</w:t>
      </w:r>
    </w:p>
    <w:p>
      <w:pPr>
        <w:pStyle w:val="Compact"/>
        <w:numPr>
          <w:ilvl w:val="1"/>
          <w:numId w:val="1026"/>
        </w:numPr>
      </w:pPr>
      <w:r>
        <w:t xml:space="preserve">Tax treaty benefit calculations</w:t>
      </w:r>
    </w:p>
    <w:p>
      <w:pPr>
        <w:pStyle w:val="Compact"/>
        <w:numPr>
          <w:ilvl w:val="1"/>
          <w:numId w:val="1026"/>
        </w:numPr>
      </w:pPr>
      <w:r>
        <w:t xml:space="preserve">Withholding tax optimization</w:t>
      </w:r>
    </w:p>
    <w:p>
      <w:pPr>
        <w:pStyle w:val="Compact"/>
        <w:numPr>
          <w:ilvl w:val="1"/>
          <w:numId w:val="1026"/>
        </w:numPr>
      </w:pPr>
      <w:r>
        <w:t xml:space="preserve">Cross-border tax planning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Advanced Tax Strategies</w:t>
      </w:r>
    </w:p>
    <w:p>
      <w:pPr>
        <w:pStyle w:val="Compact"/>
        <w:numPr>
          <w:ilvl w:val="1"/>
          <w:numId w:val="1027"/>
        </w:numPr>
      </w:pPr>
      <w:r>
        <w:t xml:space="preserve">Tax-deferred growth maximization</w:t>
      </w:r>
    </w:p>
    <w:p>
      <w:pPr>
        <w:pStyle w:val="Compact"/>
        <w:numPr>
          <w:ilvl w:val="1"/>
          <w:numId w:val="1027"/>
        </w:numPr>
      </w:pPr>
      <w:r>
        <w:t xml:space="preserve">Taxable account ordering strategies</w:t>
      </w:r>
    </w:p>
    <w:p>
      <w:pPr>
        <w:pStyle w:val="Compact"/>
        <w:numPr>
          <w:ilvl w:val="1"/>
          <w:numId w:val="1027"/>
        </w:numPr>
      </w:pPr>
      <w:r>
        <w:t xml:space="preserve">Roth conversion optimization</w:t>
      </w:r>
    </w:p>
    <w:p>
      <w:pPr>
        <w:pStyle w:val="Compact"/>
        <w:numPr>
          <w:ilvl w:val="1"/>
          <w:numId w:val="1027"/>
        </w:numPr>
      </w:pPr>
      <w:r>
        <w:t xml:space="preserve">Asset location strategies</w:t>
      </w:r>
    </w:p>
    <w:bookmarkEnd w:id="36"/>
    <w:bookmarkStart w:id="37" w:name="tax-agent-requirements"/>
    <w:p>
      <w:pPr>
        <w:pStyle w:val="Heading3"/>
      </w:pPr>
      <w:r>
        <w:t xml:space="preserve">Tax Agent Requirements</w:t>
      </w:r>
    </w:p>
    <w:p>
      <w:pPr>
        <w:pStyle w:val="Compact"/>
        <w:numPr>
          <w:ilvl w:val="0"/>
          <w:numId w:val="1028"/>
        </w:numPr>
      </w:pPr>
      <w:r>
        <w:t xml:space="preserve">Chartered accountant and income tax specialist from relevant country</w:t>
      </w:r>
    </w:p>
    <w:p>
      <w:pPr>
        <w:pStyle w:val="Compact"/>
        <w:numPr>
          <w:ilvl w:val="0"/>
          <w:numId w:val="1028"/>
        </w:numPr>
      </w:pPr>
      <w:r>
        <w:t xml:space="preserve">Uses country’s tax authorities’ income tax tables and computation methodologies</w:t>
      </w:r>
    </w:p>
    <w:p>
      <w:pPr>
        <w:pStyle w:val="Compact"/>
        <w:numPr>
          <w:ilvl w:val="0"/>
          <w:numId w:val="1028"/>
        </w:numPr>
      </w:pPr>
      <w:r>
        <w:t xml:space="preserve">Includes capital gains tax tables and computation methodologies</w:t>
      </w:r>
    </w:p>
    <w:bookmarkEnd w:id="37"/>
    <w:bookmarkStart w:id="38" w:name="tax-table-adjustments"/>
    <w:p>
      <w:pPr>
        <w:pStyle w:val="Heading3"/>
      </w:pPr>
      <w:r>
        <w:t xml:space="preserve">Tax Table Adjustments</w:t>
      </w:r>
    </w:p>
    <w:p>
      <w:pPr>
        <w:pStyle w:val="Compact"/>
        <w:numPr>
          <w:ilvl w:val="0"/>
          <w:numId w:val="1029"/>
        </w:numPr>
      </w:pPr>
      <w:r>
        <w:t xml:space="preserve">Tax tables as at Start Date adjusted by inflation rate for future years</w:t>
      </w:r>
    </w:p>
    <w:p>
      <w:pPr>
        <w:pStyle w:val="Compact"/>
        <w:numPr>
          <w:ilvl w:val="0"/>
          <w:numId w:val="1029"/>
        </w:numPr>
      </w:pPr>
      <w:r>
        <w:t xml:space="preserve">Methodologies remain same for full forecast period</w:t>
      </w:r>
    </w:p>
    <w:bookmarkEnd w:id="38"/>
    <w:bookmarkStart w:id="39" w:name="annual-tax-calculation"/>
    <w:p>
      <w:pPr>
        <w:pStyle w:val="Heading3"/>
      </w:pPr>
      <w:r>
        <w:t xml:space="preserve">Annual Tax Calculation</w:t>
      </w:r>
    </w:p>
    <w:p>
      <w:pPr>
        <w:pStyle w:val="Compact"/>
        <w:numPr>
          <w:ilvl w:val="0"/>
          <w:numId w:val="1030"/>
        </w:numPr>
      </w:pPr>
      <w:r>
        <w:t xml:space="preserve">Computed in month of country’s tax year-end each year</w:t>
      </w:r>
    </w:p>
    <w:p>
      <w:pPr>
        <w:pStyle w:val="Compact"/>
        <w:numPr>
          <w:ilvl w:val="0"/>
          <w:numId w:val="1030"/>
        </w:numPr>
      </w:pPr>
      <w:r>
        <w:t xml:space="preserve">Based on taxable income and tax-deductible expenditure</w:t>
      </w:r>
    </w:p>
    <w:p>
      <w:pPr>
        <w:pStyle w:val="Compact"/>
        <w:numPr>
          <w:ilvl w:val="0"/>
          <w:numId w:val="1030"/>
        </w:numPr>
      </w:pPr>
      <w:r>
        <w:t xml:space="preserve">Capital gains tax from asset sales during tax year</w:t>
      </w:r>
    </w:p>
    <w:p>
      <w:pPr>
        <w:pStyle w:val="Compact"/>
        <w:numPr>
          <w:ilvl w:val="0"/>
          <w:numId w:val="1030"/>
        </w:numPr>
      </w:pPr>
      <w:r>
        <w:t xml:space="preserve">Reflected as Tax Creditor (if tax payable) or Tax-Paid-in-Advance Debtor (if refund due)</w:t>
      </w:r>
    </w:p>
    <w:bookmarkEnd w:id="39"/>
    <w:bookmarkStart w:id="40" w:name="tax-settlement"/>
    <w:p>
      <w:pPr>
        <w:pStyle w:val="Heading3"/>
      </w:pPr>
      <w:r>
        <w:t xml:space="preserve">Tax Settlement</w:t>
      </w:r>
    </w:p>
    <w:p>
      <w:pPr>
        <w:pStyle w:val="Compact"/>
        <w:numPr>
          <w:ilvl w:val="0"/>
          <w:numId w:val="1031"/>
        </w:numPr>
      </w:pPr>
      <w:r>
        <w:t xml:space="preserve">Settled 6 months after tax year end each year</w:t>
      </w:r>
    </w:p>
    <w:p>
      <w:pPr>
        <w:pStyle w:val="Compact"/>
        <w:numPr>
          <w:ilvl w:val="0"/>
          <w:numId w:val="1031"/>
        </w:numPr>
      </w:pPr>
      <w:r>
        <w:t xml:space="preserve">Reflected in Primary Personal Bank Account as Tax Paid or Tax Refund</w:t>
      </w:r>
    </w:p>
    <w:p>
      <w:pPr>
        <w:pStyle w:val="Compact"/>
        <w:numPr>
          <w:ilvl w:val="0"/>
          <w:numId w:val="1031"/>
        </w:numPr>
      </w:pPr>
      <w:r>
        <w:t xml:space="preserve">Balance sheet tax accounts adjusted by these bank transactions</w:t>
      </w:r>
    </w:p>
    <w:bookmarkEnd w:id="40"/>
    <w:bookmarkEnd w:id="41"/>
    <w:bookmarkStart w:id="46" w:name="fixed-assets"/>
    <w:p>
      <w:pPr>
        <w:pStyle w:val="Heading2"/>
      </w:pPr>
      <w:r>
        <w:t xml:space="preserve">Fixed Assets</w:t>
      </w:r>
    </w:p>
    <w:bookmarkStart w:id="42" w:name="houses-and-properties"/>
    <w:p>
      <w:pPr>
        <w:pStyle w:val="Heading3"/>
      </w:pPr>
      <w:r>
        <w:t xml:space="preserve">Houses and Properties</w:t>
      </w:r>
    </w:p>
    <w:p>
      <w:pPr>
        <w:pStyle w:val="Compact"/>
        <w:numPr>
          <w:ilvl w:val="0"/>
          <w:numId w:val="1032"/>
        </w:numPr>
      </w:pPr>
      <w:r>
        <w:t xml:space="preserve">Description (Asset Name)</w:t>
      </w:r>
    </w:p>
    <w:p>
      <w:pPr>
        <w:pStyle w:val="Compact"/>
        <w:numPr>
          <w:ilvl w:val="0"/>
          <w:numId w:val="1032"/>
        </w:numPr>
      </w:pPr>
      <w:r>
        <w:t xml:space="preserve">Asset Type (Primary House, Other House, Property, Motor Vehicle, etc.)</w:t>
      </w:r>
    </w:p>
    <w:p>
      <w:pPr>
        <w:pStyle w:val="Compact"/>
        <w:numPr>
          <w:ilvl w:val="0"/>
          <w:numId w:val="1032"/>
        </w:numPr>
      </w:pPr>
      <w:r>
        <w:t xml:space="preserve">Rented to Third Parties? (Yes or No)</w:t>
      </w:r>
    </w:p>
    <w:p>
      <w:pPr>
        <w:pStyle w:val="Compact"/>
        <w:numPr>
          <w:ilvl w:val="0"/>
          <w:numId w:val="1032"/>
        </w:numPr>
      </w:pPr>
      <w:r>
        <w:t xml:space="preserve">Start Year (1 to 25)</w:t>
      </w:r>
    </w:p>
    <w:p>
      <w:pPr>
        <w:pStyle w:val="Compact"/>
        <w:numPr>
          <w:ilvl w:val="0"/>
          <w:numId w:val="1032"/>
        </w:numPr>
      </w:pPr>
      <w:r>
        <w:t xml:space="preserve">Start month (1 to 12)</w:t>
      </w:r>
    </w:p>
    <w:p>
      <w:pPr>
        <w:pStyle w:val="Compact"/>
        <w:numPr>
          <w:ilvl w:val="0"/>
          <w:numId w:val="1032"/>
        </w:numPr>
      </w:pPr>
      <w:r>
        <w:t xml:space="preserve">Starting Balance (Rand)</w:t>
      </w:r>
    </w:p>
    <w:p>
      <w:pPr>
        <w:pStyle w:val="Compact"/>
        <w:numPr>
          <w:ilvl w:val="0"/>
          <w:numId w:val="1032"/>
        </w:numPr>
      </w:pPr>
      <w:r>
        <w:t xml:space="preserve">Original Cost Price plus Improvements at Start Date (for capital gains tax calculation)</w:t>
      </w:r>
    </w:p>
    <w:p>
      <w:pPr>
        <w:pStyle w:val="Compact"/>
        <w:numPr>
          <w:ilvl w:val="0"/>
          <w:numId w:val="1032"/>
        </w:numPr>
      </w:pPr>
      <w:r>
        <w:t xml:space="preserve">Annual Growth Rate % (Depreciation reflected as negative)</w:t>
      </w:r>
    </w:p>
    <w:p>
      <w:pPr>
        <w:pStyle w:val="Compact"/>
        <w:numPr>
          <w:ilvl w:val="0"/>
          <w:numId w:val="1032"/>
        </w:numPr>
      </w:pPr>
      <w:r>
        <w:t xml:space="preserve">Adjusted Monthly Growth Rate % (calculated to reflect monthly rate that when compounded equals Annual Growth Rate)</w:t>
      </w:r>
    </w:p>
    <w:p>
      <w:pPr>
        <w:pStyle w:val="Compact"/>
        <w:numPr>
          <w:ilvl w:val="0"/>
          <w:numId w:val="1032"/>
        </w:numPr>
      </w:pPr>
      <w:r>
        <w:t xml:space="preserve">Planned Sale Date – Year (26 if asset not planned to be sold)</w:t>
      </w:r>
    </w:p>
    <w:p>
      <w:pPr>
        <w:pStyle w:val="Compact"/>
        <w:numPr>
          <w:ilvl w:val="0"/>
          <w:numId w:val="1032"/>
        </w:numPr>
      </w:pPr>
      <w:r>
        <w:t xml:space="preserve">Planned Sale Date – Month (0 if asset not planned to be sold)</w:t>
      </w:r>
    </w:p>
    <w:p>
      <w:pPr>
        <w:pStyle w:val="Compact"/>
        <w:numPr>
          <w:ilvl w:val="0"/>
          <w:numId w:val="1032"/>
        </w:numPr>
      </w:pPr>
      <w:r>
        <w:t xml:space="preserve">Sale Proceeds % (% of valuation at date of sale)</w:t>
      </w:r>
    </w:p>
    <w:p>
      <w:pPr>
        <w:pStyle w:val="Compact"/>
        <w:numPr>
          <w:ilvl w:val="0"/>
          <w:numId w:val="1032"/>
        </w:numPr>
      </w:pPr>
      <w:r>
        <w:t xml:space="preserve">Automatic Sale Trigger Value (Value of Primary Investment Fund when sale should occur)</w:t>
      </w:r>
    </w:p>
    <w:p>
      <w:pPr>
        <w:pStyle w:val="Compact"/>
        <w:numPr>
          <w:ilvl w:val="0"/>
          <w:numId w:val="1032"/>
        </w:numPr>
      </w:pPr>
      <w:r>
        <w:t xml:space="preserve">Replacement Flag (</w:t>
      </w:r>
      <w:r>
        <w:t xml:space="preserve">“1”</w:t>
      </w:r>
      <w:r>
        <w:t xml:space="preserve"> </w:t>
      </w:r>
      <w:r>
        <w:t xml:space="preserve">if replacement house will be rented,</w:t>
      </w:r>
      <w:r>
        <w:t xml:space="preserve"> </w:t>
      </w:r>
      <w:r>
        <w:t xml:space="preserve">“0”</w:t>
      </w:r>
      <w:r>
        <w:t xml:space="preserve"> </w:t>
      </w:r>
      <w:r>
        <w:t xml:space="preserve">if replacement house to be bought)</w:t>
      </w:r>
    </w:p>
    <w:p>
      <w:pPr>
        <w:pStyle w:val="Compact"/>
        <w:numPr>
          <w:ilvl w:val="0"/>
          <w:numId w:val="1032"/>
        </w:numPr>
      </w:pPr>
      <w:r>
        <w:t xml:space="preserve">Third Party Financing (Yes or No)</w:t>
      </w:r>
    </w:p>
    <w:p>
      <w:pPr>
        <w:pStyle w:val="Compact"/>
        <w:numPr>
          <w:ilvl w:val="0"/>
          <w:numId w:val="1032"/>
        </w:numPr>
      </w:pPr>
      <w:r>
        <w:t xml:space="preserve">Replacement Value % (multiplied by sales value for cost price of new house)</w:t>
      </w:r>
    </w:p>
    <w:p>
      <w:pPr>
        <w:pStyle w:val="Compact"/>
        <w:numPr>
          <w:ilvl w:val="0"/>
          <w:numId w:val="1032"/>
        </w:numPr>
      </w:pPr>
      <w:r>
        <w:t xml:space="preserve">Monthly Rental Value at Start Date (current market-related rental)</w:t>
      </w:r>
    </w:p>
    <w:p>
      <w:pPr>
        <w:pStyle w:val="Compact"/>
        <w:numPr>
          <w:ilvl w:val="0"/>
          <w:numId w:val="1032"/>
        </w:numPr>
      </w:pPr>
      <w:r>
        <w:t xml:space="preserve">Rental %. (percentage applied for replacement rental calculation)</w:t>
      </w:r>
    </w:p>
    <w:bookmarkEnd w:id="42"/>
    <w:bookmarkStart w:id="43" w:name="enhanced-asset-management-features"/>
    <w:p>
      <w:pPr>
        <w:pStyle w:val="Heading3"/>
      </w:pPr>
      <w:r>
        <w:t xml:space="preserve">Enhanced Asset Management Features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Asset Class Categorization</w:t>
      </w:r>
    </w:p>
    <w:p>
      <w:pPr>
        <w:pStyle w:val="Compact"/>
        <w:numPr>
          <w:ilvl w:val="1"/>
          <w:numId w:val="1034"/>
        </w:numPr>
      </w:pPr>
      <w:r>
        <w:t xml:space="preserve">Residential Real Estate</w:t>
      </w:r>
    </w:p>
    <w:p>
      <w:pPr>
        <w:pStyle w:val="Compact"/>
        <w:numPr>
          <w:ilvl w:val="1"/>
          <w:numId w:val="1034"/>
        </w:numPr>
      </w:pPr>
      <w:r>
        <w:t xml:space="preserve">Commercial Real Estate</w:t>
      </w:r>
    </w:p>
    <w:p>
      <w:pPr>
        <w:pStyle w:val="Compact"/>
        <w:numPr>
          <w:ilvl w:val="1"/>
          <w:numId w:val="1034"/>
        </w:numPr>
      </w:pPr>
      <w:r>
        <w:t xml:space="preserve">Investment Properties</w:t>
      </w:r>
    </w:p>
    <w:p>
      <w:pPr>
        <w:pStyle w:val="Compact"/>
        <w:numPr>
          <w:ilvl w:val="1"/>
          <w:numId w:val="1034"/>
        </w:numPr>
      </w:pPr>
      <w:r>
        <w:t xml:space="preserve">Personal Use Assets</w:t>
      </w:r>
    </w:p>
    <w:p>
      <w:pPr>
        <w:pStyle w:val="Compact"/>
        <w:numPr>
          <w:ilvl w:val="1"/>
          <w:numId w:val="1034"/>
        </w:numPr>
      </w:pPr>
      <w:r>
        <w:t xml:space="preserve">Business Assets</w:t>
      </w:r>
    </w:p>
    <w:p>
      <w:pPr>
        <w:pStyle w:val="Compact"/>
        <w:numPr>
          <w:ilvl w:val="1"/>
          <w:numId w:val="1034"/>
        </w:numPr>
      </w:pPr>
      <w:r>
        <w:t xml:space="preserve">Collectibles and Alternative Investments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Advanced Depreciation Methods</w:t>
      </w:r>
    </w:p>
    <w:p>
      <w:pPr>
        <w:pStyle w:val="Compact"/>
        <w:numPr>
          <w:ilvl w:val="1"/>
          <w:numId w:val="1035"/>
        </w:numPr>
      </w:pPr>
      <w:r>
        <w:t xml:space="preserve">Straight-line depreciation</w:t>
      </w:r>
    </w:p>
    <w:p>
      <w:pPr>
        <w:pStyle w:val="Compact"/>
        <w:numPr>
          <w:ilvl w:val="1"/>
          <w:numId w:val="1035"/>
        </w:numPr>
      </w:pPr>
      <w:r>
        <w:t xml:space="preserve">Declining balance depreciation</w:t>
      </w:r>
    </w:p>
    <w:p>
      <w:pPr>
        <w:pStyle w:val="Compact"/>
        <w:numPr>
          <w:ilvl w:val="1"/>
          <w:numId w:val="1035"/>
        </w:numPr>
      </w:pPr>
      <w:r>
        <w:t xml:space="preserve">Sum-of-years-digits depreciation</w:t>
      </w:r>
    </w:p>
    <w:p>
      <w:pPr>
        <w:pStyle w:val="Compact"/>
        <w:numPr>
          <w:ilvl w:val="1"/>
          <w:numId w:val="1035"/>
        </w:numPr>
      </w:pPr>
      <w:r>
        <w:t xml:space="preserve">Units of production depreciation</w:t>
      </w:r>
    </w:p>
    <w:p>
      <w:pPr>
        <w:pStyle w:val="Compact"/>
        <w:numPr>
          <w:ilvl w:val="1"/>
          <w:numId w:val="1035"/>
        </w:numPr>
      </w:pPr>
      <w:r>
        <w:t xml:space="preserve">Custom depreciation schedules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Asset Performance Tracking</w:t>
      </w:r>
    </w:p>
    <w:p>
      <w:pPr>
        <w:pStyle w:val="Compact"/>
        <w:numPr>
          <w:ilvl w:val="1"/>
          <w:numId w:val="1036"/>
        </w:numPr>
      </w:pPr>
      <w:r>
        <w:t xml:space="preserve">Historical performance data integration</w:t>
      </w:r>
    </w:p>
    <w:p>
      <w:pPr>
        <w:pStyle w:val="Compact"/>
        <w:numPr>
          <w:ilvl w:val="1"/>
          <w:numId w:val="1036"/>
        </w:numPr>
      </w:pPr>
      <w:r>
        <w:t xml:space="preserve">Market index correlation analysis</w:t>
      </w:r>
    </w:p>
    <w:p>
      <w:pPr>
        <w:pStyle w:val="Compact"/>
        <w:numPr>
          <w:ilvl w:val="1"/>
          <w:numId w:val="1036"/>
        </w:numPr>
      </w:pPr>
      <w:r>
        <w:t xml:space="preserve">Risk-adjusted return calculations</w:t>
      </w:r>
    </w:p>
    <w:p>
      <w:pPr>
        <w:pStyle w:val="Compact"/>
        <w:numPr>
          <w:ilvl w:val="1"/>
          <w:numId w:val="1036"/>
        </w:numPr>
      </w:pPr>
      <w:r>
        <w:t xml:space="preserve">Asset allocation optimization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Insurance and Maintenance</w:t>
      </w:r>
    </w:p>
    <w:p>
      <w:pPr>
        <w:pStyle w:val="Compact"/>
        <w:numPr>
          <w:ilvl w:val="1"/>
          <w:numId w:val="1037"/>
        </w:numPr>
      </w:pPr>
      <w:r>
        <w:t xml:space="preserve">Insurance premium calculations</w:t>
      </w:r>
    </w:p>
    <w:p>
      <w:pPr>
        <w:pStyle w:val="Compact"/>
        <w:numPr>
          <w:ilvl w:val="1"/>
          <w:numId w:val="1037"/>
        </w:numPr>
      </w:pPr>
      <w:r>
        <w:t xml:space="preserve">Maintenance cost projections</w:t>
      </w:r>
    </w:p>
    <w:p>
      <w:pPr>
        <w:pStyle w:val="Compact"/>
        <w:numPr>
          <w:ilvl w:val="1"/>
          <w:numId w:val="1037"/>
        </w:numPr>
      </w:pPr>
      <w:r>
        <w:t xml:space="preserve">Replacement reserve calculations</w:t>
      </w:r>
    </w:p>
    <w:p>
      <w:pPr>
        <w:pStyle w:val="Compact"/>
        <w:numPr>
          <w:ilvl w:val="1"/>
          <w:numId w:val="1037"/>
        </w:numPr>
      </w:pPr>
      <w:r>
        <w:t xml:space="preserve">Total cost of ownership analysis</w:t>
      </w:r>
    </w:p>
    <w:bookmarkEnd w:id="43"/>
    <w:bookmarkStart w:id="44" w:name="motor-vehicles"/>
    <w:p>
      <w:pPr>
        <w:pStyle w:val="Heading3"/>
      </w:pPr>
      <w:r>
        <w:t xml:space="preserve">Motor Vehicles</w:t>
      </w:r>
    </w:p>
    <w:p>
      <w:pPr>
        <w:pStyle w:val="Compact"/>
        <w:numPr>
          <w:ilvl w:val="0"/>
          <w:numId w:val="1038"/>
        </w:numPr>
      </w:pPr>
      <w:r>
        <w:t xml:space="preserve">Description (Asset Name)</w:t>
      </w:r>
    </w:p>
    <w:p>
      <w:pPr>
        <w:pStyle w:val="Compact"/>
        <w:numPr>
          <w:ilvl w:val="0"/>
          <w:numId w:val="1038"/>
        </w:numPr>
      </w:pPr>
      <w:r>
        <w:t xml:space="preserve">Asset Type (House, Property, Motor Vehicle, etc.)</w:t>
      </w:r>
    </w:p>
    <w:p>
      <w:pPr>
        <w:pStyle w:val="Compact"/>
        <w:numPr>
          <w:ilvl w:val="0"/>
          <w:numId w:val="1038"/>
        </w:numPr>
      </w:pPr>
      <w:r>
        <w:t xml:space="preserve">Start Year (1 to 25)</w:t>
      </w:r>
    </w:p>
    <w:p>
      <w:pPr>
        <w:pStyle w:val="Compact"/>
        <w:numPr>
          <w:ilvl w:val="0"/>
          <w:numId w:val="1038"/>
        </w:numPr>
      </w:pPr>
      <w:r>
        <w:t xml:space="preserve">Start month (1 to 12)</w:t>
      </w:r>
    </w:p>
    <w:p>
      <w:pPr>
        <w:pStyle w:val="Compact"/>
        <w:numPr>
          <w:ilvl w:val="0"/>
          <w:numId w:val="1038"/>
        </w:numPr>
      </w:pPr>
      <w:r>
        <w:t xml:space="preserve">Start Value</w:t>
      </w:r>
    </w:p>
    <w:p>
      <w:pPr>
        <w:pStyle w:val="Compact"/>
        <w:numPr>
          <w:ilvl w:val="0"/>
          <w:numId w:val="1038"/>
        </w:numPr>
      </w:pPr>
      <w:r>
        <w:t xml:space="preserve">Annual Growth Rate % (reflected as negative depreciation rate)</w:t>
      </w:r>
    </w:p>
    <w:p>
      <w:pPr>
        <w:pStyle w:val="Compact"/>
        <w:numPr>
          <w:ilvl w:val="0"/>
          <w:numId w:val="1038"/>
        </w:numPr>
      </w:pPr>
      <w:r>
        <w:t xml:space="preserve">Adjusted Monthly Growth Rate % (calculated to reflect monthly rate that when compounded equals Annual Growth Rate)</w:t>
      </w:r>
    </w:p>
    <w:p>
      <w:pPr>
        <w:pStyle w:val="Compact"/>
        <w:numPr>
          <w:ilvl w:val="0"/>
          <w:numId w:val="1038"/>
        </w:numPr>
      </w:pPr>
      <w:r>
        <w:t xml:space="preserve">Planned Sale Date – Year (26 if asset not planned to be sold)</w:t>
      </w:r>
    </w:p>
    <w:p>
      <w:pPr>
        <w:pStyle w:val="Compact"/>
        <w:numPr>
          <w:ilvl w:val="0"/>
          <w:numId w:val="1038"/>
        </w:numPr>
      </w:pPr>
      <w:r>
        <w:t xml:space="preserve">Planned Sale Date – Month (0 if asset not planned to be sold)</w:t>
      </w:r>
    </w:p>
    <w:p>
      <w:pPr>
        <w:pStyle w:val="Compact"/>
        <w:numPr>
          <w:ilvl w:val="0"/>
          <w:numId w:val="1038"/>
        </w:numPr>
      </w:pPr>
      <w:r>
        <w:t xml:space="preserve">Sale Proceeds % (of valuation at date of sale)</w:t>
      </w:r>
    </w:p>
    <w:p>
      <w:pPr>
        <w:pStyle w:val="Compact"/>
        <w:numPr>
          <w:ilvl w:val="0"/>
          <w:numId w:val="1038"/>
        </w:numPr>
      </w:pPr>
      <w:r>
        <w:t xml:space="preserve">Replacement Flag (1 if replacement vehicle will be acquired, 0 if no replacement)</w:t>
      </w:r>
    </w:p>
    <w:p>
      <w:pPr>
        <w:pStyle w:val="Compact"/>
        <w:numPr>
          <w:ilvl w:val="0"/>
          <w:numId w:val="1038"/>
        </w:numPr>
      </w:pPr>
      <w:r>
        <w:t xml:space="preserve">Replacement Value % (multiplied by sales value for cost price of new vehicle)</w:t>
      </w:r>
    </w:p>
    <w:p>
      <w:pPr>
        <w:pStyle w:val="Compact"/>
        <w:numPr>
          <w:ilvl w:val="0"/>
          <w:numId w:val="1038"/>
        </w:numPr>
      </w:pPr>
      <w:r>
        <w:t xml:space="preserve">Third Party Financing (Yes or No)</w:t>
      </w:r>
    </w:p>
    <w:bookmarkEnd w:id="44"/>
    <w:bookmarkStart w:id="45" w:name="other-assets"/>
    <w:p>
      <w:pPr>
        <w:pStyle w:val="Heading3"/>
      </w:pPr>
      <w:r>
        <w:t xml:space="preserve">Other Assets</w:t>
      </w:r>
    </w:p>
    <w:p>
      <w:pPr>
        <w:pStyle w:val="Compact"/>
        <w:numPr>
          <w:ilvl w:val="0"/>
          <w:numId w:val="1039"/>
        </w:numPr>
      </w:pPr>
      <w:r>
        <w:t xml:space="preserve">Description (Asset Name)</w:t>
      </w:r>
    </w:p>
    <w:p>
      <w:pPr>
        <w:pStyle w:val="Compact"/>
        <w:numPr>
          <w:ilvl w:val="0"/>
          <w:numId w:val="1039"/>
        </w:numPr>
      </w:pPr>
      <w:r>
        <w:t xml:space="preserve">Asset Type (House, Property, Motor Vehicle, Bitcoin, Jewellery, etc.)</w:t>
      </w:r>
    </w:p>
    <w:p>
      <w:pPr>
        <w:pStyle w:val="Compact"/>
        <w:numPr>
          <w:ilvl w:val="0"/>
          <w:numId w:val="1039"/>
        </w:numPr>
      </w:pPr>
      <w:r>
        <w:t xml:space="preserve">Start Year (1 to 25)</w:t>
      </w:r>
    </w:p>
    <w:p>
      <w:pPr>
        <w:pStyle w:val="Compact"/>
        <w:numPr>
          <w:ilvl w:val="0"/>
          <w:numId w:val="1039"/>
        </w:numPr>
      </w:pPr>
      <w:r>
        <w:t xml:space="preserve">Start month (1 to 12)</w:t>
      </w:r>
    </w:p>
    <w:p>
      <w:pPr>
        <w:pStyle w:val="Compact"/>
        <w:numPr>
          <w:ilvl w:val="0"/>
          <w:numId w:val="1039"/>
        </w:numPr>
      </w:pPr>
      <w:r>
        <w:t xml:space="preserve">Start Value</w:t>
      </w:r>
    </w:p>
    <w:p>
      <w:pPr>
        <w:pStyle w:val="Compact"/>
        <w:numPr>
          <w:ilvl w:val="0"/>
          <w:numId w:val="1039"/>
        </w:numPr>
      </w:pPr>
      <w:r>
        <w:t xml:space="preserve">Original Cost as of Start Date</w:t>
      </w:r>
    </w:p>
    <w:p>
      <w:pPr>
        <w:pStyle w:val="Compact"/>
        <w:numPr>
          <w:ilvl w:val="0"/>
          <w:numId w:val="1039"/>
        </w:numPr>
      </w:pPr>
      <w:r>
        <w:t xml:space="preserve">Growth Rate % (reflected as negative)</w:t>
      </w:r>
    </w:p>
    <w:p>
      <w:pPr>
        <w:pStyle w:val="Compact"/>
        <w:numPr>
          <w:ilvl w:val="0"/>
          <w:numId w:val="1039"/>
        </w:numPr>
      </w:pPr>
      <w:r>
        <w:t xml:space="preserve">Adjusted Monthly Growth Rate % (calculated to reflect monthly rate that when compounded equals Annual Growth Rate)</w:t>
      </w:r>
    </w:p>
    <w:p>
      <w:pPr>
        <w:pStyle w:val="Compact"/>
        <w:numPr>
          <w:ilvl w:val="0"/>
          <w:numId w:val="1039"/>
        </w:numPr>
      </w:pPr>
      <w:r>
        <w:t xml:space="preserve">Planned Sale Date – Year (26 if asset not planned to be sold)</w:t>
      </w:r>
    </w:p>
    <w:p>
      <w:pPr>
        <w:pStyle w:val="Compact"/>
        <w:numPr>
          <w:ilvl w:val="0"/>
          <w:numId w:val="1039"/>
        </w:numPr>
      </w:pPr>
      <w:r>
        <w:t xml:space="preserve">Planned Sale Date – Month (0 if asset not planned to be sold)</w:t>
      </w:r>
    </w:p>
    <w:p>
      <w:pPr>
        <w:pStyle w:val="Compact"/>
        <w:numPr>
          <w:ilvl w:val="0"/>
          <w:numId w:val="1039"/>
        </w:numPr>
      </w:pPr>
      <w:r>
        <w:t xml:space="preserve">Sale Proceeds % (of valuation at date of sale)</w:t>
      </w:r>
    </w:p>
    <w:p>
      <w:pPr>
        <w:pStyle w:val="Compact"/>
        <w:numPr>
          <w:ilvl w:val="0"/>
          <w:numId w:val="1039"/>
        </w:numPr>
      </w:pPr>
      <w:r>
        <w:t xml:space="preserve">Sale subject to withholding tax (Yes or No)</w:t>
      </w:r>
    </w:p>
    <w:p>
      <w:pPr>
        <w:pStyle w:val="Compact"/>
        <w:numPr>
          <w:ilvl w:val="0"/>
          <w:numId w:val="1039"/>
        </w:numPr>
      </w:pPr>
      <w:r>
        <w:t xml:space="preserve">Replacement Flag (</w:t>
      </w:r>
      <w:r>
        <w:t xml:space="preserve">“1”</w:t>
      </w:r>
      <w:r>
        <w:t xml:space="preserve"> </w:t>
      </w:r>
      <w:r>
        <w:t xml:space="preserve">if replacement asset will be acquired,</w:t>
      </w:r>
      <w:r>
        <w:t xml:space="preserve"> </w:t>
      </w:r>
      <w:r>
        <w:t xml:space="preserve">“0”</w:t>
      </w:r>
      <w:r>
        <w:t xml:space="preserve"> </w:t>
      </w:r>
      <w:r>
        <w:t xml:space="preserve">if no replacement)</w:t>
      </w:r>
    </w:p>
    <w:p>
      <w:pPr>
        <w:pStyle w:val="Compact"/>
        <w:numPr>
          <w:ilvl w:val="0"/>
          <w:numId w:val="1039"/>
        </w:numPr>
      </w:pPr>
      <w:r>
        <w:t xml:space="preserve">Replacement Value % (multiplied by sales value for cost price of new asset)</w:t>
      </w:r>
    </w:p>
    <w:p>
      <w:pPr>
        <w:pStyle w:val="Compact"/>
        <w:numPr>
          <w:ilvl w:val="0"/>
          <w:numId w:val="1039"/>
        </w:numPr>
      </w:pPr>
      <w:r>
        <w:t xml:space="preserve">Third Party Financing (Yes or No)</w:t>
      </w:r>
    </w:p>
    <w:bookmarkEnd w:id="45"/>
    <w:bookmarkEnd w:id="46"/>
    <w:bookmarkStart w:id="51" w:name="fixed-asset-computations"/>
    <w:p>
      <w:pPr>
        <w:pStyle w:val="Heading2"/>
      </w:pPr>
      <w:r>
        <w:t xml:space="preserve">Fixed Asset Computations</w:t>
      </w:r>
    </w:p>
    <w:bookmarkStart w:id="47" w:name="primary-house"/>
    <w:p>
      <w:pPr>
        <w:pStyle w:val="Heading3"/>
      </w:pPr>
      <w:r>
        <w:t xml:space="preserve">Primary House</w:t>
      </w:r>
    </w:p>
    <w:p>
      <w:pPr>
        <w:pStyle w:val="Compact"/>
        <w:numPr>
          <w:ilvl w:val="0"/>
          <w:numId w:val="1040"/>
        </w:numPr>
      </w:pPr>
      <w:r>
        <w:t xml:space="preserve">Reflected from start date at starting value</w:t>
      </w:r>
    </w:p>
    <w:p>
      <w:pPr>
        <w:pStyle w:val="Compact"/>
        <w:numPr>
          <w:ilvl w:val="0"/>
          <w:numId w:val="1040"/>
        </w:numPr>
      </w:pPr>
      <w:r>
        <w:t xml:space="preserve">Grows/reduces by Adjusted Monthly Growth Rate (compounded to Annual Growth Rate)</w:t>
      </w:r>
    </w:p>
    <w:p>
      <w:pPr>
        <w:pStyle w:val="Compact"/>
        <w:numPr>
          <w:ilvl w:val="0"/>
          <w:numId w:val="1040"/>
        </w:numPr>
      </w:pPr>
      <w:r>
        <w:t xml:space="preserve">Sold and disposed according to sales date and calculation (value at sale date × Sales Proceeds %)</w:t>
      </w:r>
    </w:p>
    <w:p>
      <w:pPr>
        <w:pStyle w:val="Compact"/>
        <w:numPr>
          <w:ilvl w:val="0"/>
          <w:numId w:val="1040"/>
        </w:numPr>
      </w:pPr>
      <w:r>
        <w:t xml:space="preserve">Proceeds reflected in Primary Personal Bank Account in sale month</w:t>
      </w:r>
    </w:p>
    <w:p>
      <w:pPr>
        <w:pStyle w:val="Compact"/>
        <w:numPr>
          <w:ilvl w:val="0"/>
          <w:numId w:val="1040"/>
        </w:numPr>
      </w:pPr>
      <w:r>
        <w:t xml:space="preserve">If replaced with another house, cost calculated by multiplying valuation by Replacement Value %</w:t>
      </w:r>
    </w:p>
    <w:p>
      <w:pPr>
        <w:pStyle w:val="Compact"/>
        <w:numPr>
          <w:ilvl w:val="0"/>
          <w:numId w:val="1040"/>
        </w:numPr>
      </w:pPr>
      <w:r>
        <w:t xml:space="preserve">If Third-Party Financing</w:t>
      </w:r>
      <w:r>
        <w:t xml:space="preserve"> </w:t>
      </w:r>
      <w:r>
        <w:t xml:space="preserve">“No”</w:t>
      </w:r>
      <w:r>
        <w:t xml:space="preserve">, cost price reflected in Primary Personal Bank Account as expense</w:t>
      </w:r>
    </w:p>
    <w:p>
      <w:pPr>
        <w:pStyle w:val="Compact"/>
        <w:numPr>
          <w:ilvl w:val="0"/>
          <w:numId w:val="1040"/>
        </w:numPr>
      </w:pPr>
      <w:r>
        <w:t xml:space="preserve">If Third-Party Financing</w:t>
      </w:r>
      <w:r>
        <w:t xml:space="preserve"> </w:t>
      </w:r>
      <w:r>
        <w:t xml:space="preserve">“Yes”</w:t>
      </w:r>
      <w:r>
        <w:t xml:space="preserve">, standing data for new Mortgage Bond required</w:t>
      </w:r>
    </w:p>
    <w:p>
      <w:pPr>
        <w:pStyle w:val="Compact"/>
        <w:numPr>
          <w:ilvl w:val="0"/>
          <w:numId w:val="1040"/>
        </w:numPr>
      </w:pPr>
      <w:r>
        <w:t xml:space="preserve">If replaced with rented house, rental expense calculated by multiplying rental value by Rental %</w:t>
      </w:r>
    </w:p>
    <w:bookmarkEnd w:id="47"/>
    <w:bookmarkStart w:id="48" w:name="X82745425d2706ff284c5ebdde5a06a9e792d16f"/>
    <w:p>
      <w:pPr>
        <w:pStyle w:val="Heading3"/>
      </w:pPr>
      <w:r>
        <w:t xml:space="preserve">Houses and Properties (excluding Primary House)</w:t>
      </w:r>
    </w:p>
    <w:p>
      <w:pPr>
        <w:pStyle w:val="Compact"/>
        <w:numPr>
          <w:ilvl w:val="0"/>
          <w:numId w:val="1041"/>
        </w:numPr>
      </w:pPr>
      <w:r>
        <w:t xml:space="preserve">Reflected from start date at starting value</w:t>
      </w:r>
    </w:p>
    <w:p>
      <w:pPr>
        <w:pStyle w:val="Compact"/>
        <w:numPr>
          <w:ilvl w:val="0"/>
          <w:numId w:val="1041"/>
        </w:numPr>
      </w:pPr>
      <w:r>
        <w:t xml:space="preserve">Grows/reduces by Adjusted Monthly Growth Rate (compounded to Annual Growth Rate)</w:t>
      </w:r>
    </w:p>
    <w:p>
      <w:pPr>
        <w:pStyle w:val="Compact"/>
        <w:numPr>
          <w:ilvl w:val="0"/>
          <w:numId w:val="1041"/>
        </w:numPr>
      </w:pPr>
      <w:r>
        <w:t xml:space="preserve">Sold and disposed according to sales date and calculation (value at sale date × Sales Proceeds %)</w:t>
      </w:r>
    </w:p>
    <w:p>
      <w:pPr>
        <w:pStyle w:val="Compact"/>
        <w:numPr>
          <w:ilvl w:val="0"/>
          <w:numId w:val="1041"/>
        </w:numPr>
      </w:pPr>
      <w:r>
        <w:t xml:space="preserve">Proceeds reflected in Primary Personal Bank Account in sale month</w:t>
      </w:r>
    </w:p>
    <w:p>
      <w:pPr>
        <w:pStyle w:val="Compact"/>
        <w:numPr>
          <w:ilvl w:val="0"/>
          <w:numId w:val="1041"/>
        </w:numPr>
      </w:pPr>
      <w:r>
        <w:t xml:space="preserve">If replaced, cost calculated by multiplying sold asset’s valuation by Replacement Value %</w:t>
      </w:r>
    </w:p>
    <w:p>
      <w:pPr>
        <w:pStyle w:val="Compact"/>
        <w:numPr>
          <w:ilvl w:val="0"/>
          <w:numId w:val="1041"/>
        </w:numPr>
      </w:pPr>
      <w:r>
        <w:t xml:space="preserve">If Third-Party Financing</w:t>
      </w:r>
      <w:r>
        <w:t xml:space="preserve"> </w:t>
      </w:r>
      <w:r>
        <w:t xml:space="preserve">“No”</w:t>
      </w:r>
      <w:r>
        <w:t xml:space="preserve">, cost price reflected in Primary Personal Bank Account as expense</w:t>
      </w:r>
    </w:p>
    <w:p>
      <w:pPr>
        <w:pStyle w:val="Compact"/>
        <w:numPr>
          <w:ilvl w:val="0"/>
          <w:numId w:val="1041"/>
        </w:numPr>
      </w:pPr>
      <w:r>
        <w:t xml:space="preserve">If Third-Party Financing</w:t>
      </w:r>
      <w:r>
        <w:t xml:space="preserve"> </w:t>
      </w:r>
      <w:r>
        <w:t xml:space="preserve">“Yes”</w:t>
      </w:r>
      <w:r>
        <w:t xml:space="preserve">, standing data for new Mortgage Bond required</w:t>
      </w:r>
    </w:p>
    <w:p>
      <w:pPr>
        <w:pStyle w:val="Compact"/>
        <w:numPr>
          <w:ilvl w:val="0"/>
          <w:numId w:val="1041"/>
        </w:numPr>
      </w:pPr>
      <w:r>
        <w:t xml:space="preserve">If</w:t>
      </w:r>
      <w:r>
        <w:t xml:space="preserve"> </w:t>
      </w:r>
      <w:r>
        <w:t xml:space="preserve">“Rented to Third Parties”</w:t>
      </w:r>
      <w:r>
        <w:t xml:space="preserve"> </w:t>
      </w:r>
      <w:r>
        <w:t xml:space="preserve">marked</w:t>
      </w:r>
      <w:r>
        <w:t xml:space="preserve"> </w:t>
      </w:r>
      <w:r>
        <w:t xml:space="preserve">“Yes”</w:t>
      </w:r>
      <w:r>
        <w:t xml:space="preserve">, rental income reflected as income from start month</w:t>
      </w:r>
    </w:p>
    <w:p>
      <w:pPr>
        <w:pStyle w:val="Compact"/>
        <w:numPr>
          <w:ilvl w:val="0"/>
          <w:numId w:val="1041"/>
        </w:numPr>
      </w:pPr>
      <w:r>
        <w:t xml:space="preserve">Rental income escalated annually by inflation rate, ceases in sale month</w:t>
      </w:r>
    </w:p>
    <w:bookmarkEnd w:id="48"/>
    <w:bookmarkStart w:id="49" w:name="motor-vehicles-1"/>
    <w:p>
      <w:pPr>
        <w:pStyle w:val="Heading3"/>
      </w:pPr>
      <w:r>
        <w:t xml:space="preserve">Motor Vehicles</w:t>
      </w:r>
    </w:p>
    <w:p>
      <w:pPr>
        <w:pStyle w:val="Compact"/>
        <w:numPr>
          <w:ilvl w:val="0"/>
          <w:numId w:val="1042"/>
        </w:numPr>
      </w:pPr>
      <w:r>
        <w:t xml:space="preserve">Reflected from start date at starting value</w:t>
      </w:r>
    </w:p>
    <w:p>
      <w:pPr>
        <w:pStyle w:val="Compact"/>
        <w:numPr>
          <w:ilvl w:val="0"/>
          <w:numId w:val="1042"/>
        </w:numPr>
      </w:pPr>
      <w:r>
        <w:t xml:space="preserve">Grows/reduces by Adjusted Monthly Growth Rate (compounded to Annual Growth Rate)</w:t>
      </w:r>
    </w:p>
    <w:p>
      <w:pPr>
        <w:pStyle w:val="Compact"/>
        <w:numPr>
          <w:ilvl w:val="0"/>
          <w:numId w:val="1042"/>
        </w:numPr>
      </w:pPr>
      <w:r>
        <w:t xml:space="preserve">Sold and disposed according to sales date and calculation (value at sale date × Sales Proceeds %)</w:t>
      </w:r>
    </w:p>
    <w:p>
      <w:pPr>
        <w:pStyle w:val="Compact"/>
        <w:numPr>
          <w:ilvl w:val="0"/>
          <w:numId w:val="1042"/>
        </w:numPr>
      </w:pPr>
      <w:r>
        <w:t xml:space="preserve">Proceeds reflected in Primary Personal Bank Account in sale month</w:t>
      </w:r>
    </w:p>
    <w:p>
      <w:pPr>
        <w:pStyle w:val="Compact"/>
        <w:numPr>
          <w:ilvl w:val="0"/>
          <w:numId w:val="1042"/>
        </w:numPr>
      </w:pPr>
      <w:r>
        <w:t xml:space="preserve">If Third-Party Financing</w:t>
      </w:r>
      <w:r>
        <w:t xml:space="preserve"> </w:t>
      </w:r>
      <w:r>
        <w:t xml:space="preserve">“No”</w:t>
      </w:r>
      <w:r>
        <w:t xml:space="preserve">, cost price reflected in Primary Personal Bank Account as expense</w:t>
      </w:r>
    </w:p>
    <w:p>
      <w:pPr>
        <w:pStyle w:val="Compact"/>
        <w:numPr>
          <w:ilvl w:val="0"/>
          <w:numId w:val="1042"/>
        </w:numPr>
      </w:pPr>
      <w:r>
        <w:t xml:space="preserve">If Third-Party Financing</w:t>
      </w:r>
      <w:r>
        <w:t xml:space="preserve"> </w:t>
      </w:r>
      <w:r>
        <w:t xml:space="preserve">“Yes”</w:t>
      </w:r>
      <w:r>
        <w:t xml:space="preserve">, standing data for Hire Purchase Loan required</w:t>
      </w:r>
    </w:p>
    <w:bookmarkEnd w:id="49"/>
    <w:bookmarkStart w:id="50" w:name="other-assets-1"/>
    <w:p>
      <w:pPr>
        <w:pStyle w:val="Heading3"/>
      </w:pPr>
      <w:r>
        <w:t xml:space="preserve">Other Assets</w:t>
      </w:r>
    </w:p>
    <w:p>
      <w:pPr>
        <w:pStyle w:val="Compact"/>
        <w:numPr>
          <w:ilvl w:val="0"/>
          <w:numId w:val="1043"/>
        </w:numPr>
      </w:pPr>
      <w:r>
        <w:t xml:space="preserve">Reflected from start date at starting value</w:t>
      </w:r>
    </w:p>
    <w:p>
      <w:pPr>
        <w:pStyle w:val="Compact"/>
        <w:numPr>
          <w:ilvl w:val="0"/>
          <w:numId w:val="1043"/>
        </w:numPr>
      </w:pPr>
      <w:r>
        <w:t xml:space="preserve">Grows/reduces by Adjusted Monthly Growth Rate (compounded to Annual Growth Rate)</w:t>
      </w:r>
    </w:p>
    <w:p>
      <w:pPr>
        <w:pStyle w:val="Compact"/>
        <w:numPr>
          <w:ilvl w:val="0"/>
          <w:numId w:val="1043"/>
        </w:numPr>
      </w:pPr>
      <w:r>
        <w:t xml:space="preserve">Sold and disposed according to sales date and calculation (value at sale date × Sales Proceeds %)</w:t>
      </w:r>
    </w:p>
    <w:p>
      <w:pPr>
        <w:pStyle w:val="Compact"/>
        <w:numPr>
          <w:ilvl w:val="0"/>
          <w:numId w:val="1043"/>
        </w:numPr>
      </w:pPr>
      <w:r>
        <w:t xml:space="preserve">Proceeds reflected in Primary Personal Bank Account in sale month</w:t>
      </w:r>
    </w:p>
    <w:p>
      <w:pPr>
        <w:pStyle w:val="Compact"/>
        <w:numPr>
          <w:ilvl w:val="0"/>
          <w:numId w:val="1043"/>
        </w:numPr>
      </w:pPr>
      <w:r>
        <w:t xml:space="preserve">If Third-Party Financing</w:t>
      </w:r>
      <w:r>
        <w:t xml:space="preserve"> </w:t>
      </w:r>
      <w:r>
        <w:t xml:space="preserve">“No”</w:t>
      </w:r>
      <w:r>
        <w:t xml:space="preserve">, cost price reflected in Primary Personal Bank Account as expense</w:t>
      </w:r>
    </w:p>
    <w:p>
      <w:pPr>
        <w:pStyle w:val="Compact"/>
        <w:numPr>
          <w:ilvl w:val="0"/>
          <w:numId w:val="1043"/>
        </w:numPr>
      </w:pPr>
      <w:r>
        <w:t xml:space="preserve">If Third-Party Financing</w:t>
      </w:r>
      <w:r>
        <w:t xml:space="preserve"> </w:t>
      </w:r>
      <w:r>
        <w:t xml:space="preserve">“Yes”</w:t>
      </w:r>
      <w:r>
        <w:t xml:space="preserve">, standing data for Hire Purchase Loan required</w:t>
      </w:r>
    </w:p>
    <w:bookmarkEnd w:id="50"/>
    <w:bookmarkEnd w:id="51"/>
    <w:bookmarkStart w:id="55" w:name="liabilities"/>
    <w:p>
      <w:pPr>
        <w:pStyle w:val="Heading2"/>
      </w:pPr>
      <w:r>
        <w:t xml:space="preserve">Liabilities</w:t>
      </w:r>
    </w:p>
    <w:bookmarkStart w:id="52" w:name="X0bf528cf3f3835886e21e29b42c90c949a40240"/>
    <w:p>
      <w:pPr>
        <w:pStyle w:val="Heading3"/>
      </w:pPr>
      <w:r>
        <w:t xml:space="preserve">Enhanced Mortgage Bonds and HP Agreements</w:t>
      </w:r>
    </w:p>
    <w:p>
      <w:pPr>
        <w:pStyle w:val="Compact"/>
        <w:numPr>
          <w:ilvl w:val="0"/>
          <w:numId w:val="1044"/>
        </w:numPr>
      </w:pPr>
      <w:r>
        <w:t xml:space="preserve">Description (Name)</w:t>
      </w:r>
    </w:p>
    <w:p>
      <w:pPr>
        <w:pStyle w:val="Compact"/>
        <w:numPr>
          <w:ilvl w:val="0"/>
          <w:numId w:val="1044"/>
        </w:numPr>
      </w:pPr>
      <w:r>
        <w:t xml:space="preserve">Liability Type (Mortgage Bond, Personal Loan, Hire Purchase Agreement, etc.)</w:t>
      </w:r>
    </w:p>
    <w:p>
      <w:pPr>
        <w:pStyle w:val="Compact"/>
        <w:numPr>
          <w:ilvl w:val="0"/>
          <w:numId w:val="1044"/>
        </w:numPr>
      </w:pPr>
      <w:r>
        <w:t xml:space="preserve">Start Year (1 to 25)</w:t>
      </w:r>
    </w:p>
    <w:p>
      <w:pPr>
        <w:pStyle w:val="Compact"/>
        <w:numPr>
          <w:ilvl w:val="0"/>
          <w:numId w:val="1044"/>
        </w:numPr>
      </w:pPr>
      <w:r>
        <w:t xml:space="preserve">Start month (1 to 12)</w:t>
      </w:r>
    </w:p>
    <w:p>
      <w:pPr>
        <w:pStyle w:val="Compact"/>
        <w:numPr>
          <w:ilvl w:val="0"/>
          <w:numId w:val="1044"/>
        </w:numPr>
      </w:pPr>
      <w:r>
        <w:t xml:space="preserve">Start Value (calculated based on original loan amount, start date, term, interest rate)</w:t>
      </w:r>
    </w:p>
    <w:p>
      <w:pPr>
        <w:pStyle w:val="Compact"/>
        <w:numPr>
          <w:ilvl w:val="0"/>
          <w:numId w:val="1044"/>
        </w:numPr>
      </w:pPr>
      <w:r>
        <w:t xml:space="preserve">Original Loan Amount</w:t>
      </w:r>
    </w:p>
    <w:p>
      <w:pPr>
        <w:pStyle w:val="Compact"/>
        <w:numPr>
          <w:ilvl w:val="0"/>
          <w:numId w:val="1044"/>
        </w:numPr>
      </w:pPr>
      <w:r>
        <w:t xml:space="preserve">Loan Start Year (e.g., 2020)</w:t>
      </w:r>
    </w:p>
    <w:p>
      <w:pPr>
        <w:pStyle w:val="Compact"/>
        <w:numPr>
          <w:ilvl w:val="0"/>
          <w:numId w:val="1044"/>
        </w:numPr>
      </w:pPr>
      <w:r>
        <w:t xml:space="preserve">Loan Start Month (1 to 12)</w:t>
      </w:r>
    </w:p>
    <w:p>
      <w:pPr>
        <w:pStyle w:val="Compact"/>
        <w:numPr>
          <w:ilvl w:val="0"/>
          <w:numId w:val="1044"/>
        </w:numPr>
      </w:pPr>
      <w:r>
        <w:t xml:space="preserve">Loan Interest Rate %</w:t>
      </w:r>
    </w:p>
    <w:p>
      <w:pPr>
        <w:pStyle w:val="Compact"/>
        <w:numPr>
          <w:ilvl w:val="0"/>
          <w:numId w:val="1044"/>
        </w:numPr>
      </w:pPr>
      <w:r>
        <w:t xml:space="preserve">Adjusted Monthly Interest Rate % (calculated to reflect monthly rate that when compounded equals Annual Interest Rate)</w:t>
      </w:r>
    </w:p>
    <w:p>
      <w:pPr>
        <w:pStyle w:val="Compact"/>
        <w:numPr>
          <w:ilvl w:val="0"/>
          <w:numId w:val="1044"/>
        </w:numPr>
      </w:pPr>
      <w:r>
        <w:t xml:space="preserve">Standard deviation for country’s prime interest rate (searched and calculated by app)</w:t>
      </w:r>
    </w:p>
    <w:p>
      <w:pPr>
        <w:pStyle w:val="Compact"/>
        <w:numPr>
          <w:ilvl w:val="0"/>
          <w:numId w:val="1044"/>
        </w:numPr>
      </w:pPr>
      <w:r>
        <w:t xml:space="preserve">Final Payment Amount (if final payment is bullet payment)</w:t>
      </w:r>
    </w:p>
    <w:p>
      <w:pPr>
        <w:pStyle w:val="Compact"/>
        <w:numPr>
          <w:ilvl w:val="0"/>
          <w:numId w:val="1044"/>
        </w:numPr>
      </w:pPr>
      <w:r>
        <w:t xml:space="preserve">Term of Loan (months)</w:t>
      </w:r>
    </w:p>
    <w:bookmarkEnd w:id="52"/>
    <w:bookmarkStart w:id="53" w:name="advanced-mortgage-features"/>
    <w:p>
      <w:pPr>
        <w:pStyle w:val="Heading3"/>
      </w:pPr>
      <w:r>
        <w:t xml:space="preserve">Advanced Mortgage Features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Mortgage Type Classification</w:t>
      </w:r>
    </w:p>
    <w:p>
      <w:pPr>
        <w:pStyle w:val="Compact"/>
        <w:numPr>
          <w:ilvl w:val="1"/>
          <w:numId w:val="1046"/>
        </w:numPr>
      </w:pPr>
      <w:r>
        <w:t xml:space="preserve">Fixed Rate Mortgages</w:t>
      </w:r>
    </w:p>
    <w:p>
      <w:pPr>
        <w:pStyle w:val="Compact"/>
        <w:numPr>
          <w:ilvl w:val="1"/>
          <w:numId w:val="1046"/>
        </w:numPr>
      </w:pPr>
      <w:r>
        <w:t xml:space="preserve">Variable Rate Mortgages</w:t>
      </w:r>
    </w:p>
    <w:p>
      <w:pPr>
        <w:pStyle w:val="Compact"/>
        <w:numPr>
          <w:ilvl w:val="1"/>
          <w:numId w:val="1046"/>
        </w:numPr>
      </w:pPr>
      <w:r>
        <w:t xml:space="preserve">Adjustable Rate Mortgages (ARM)</w:t>
      </w:r>
    </w:p>
    <w:p>
      <w:pPr>
        <w:pStyle w:val="Compact"/>
        <w:numPr>
          <w:ilvl w:val="1"/>
          <w:numId w:val="1046"/>
        </w:numPr>
      </w:pPr>
      <w:r>
        <w:t xml:space="preserve">Interest-Only Mortgages</w:t>
      </w:r>
    </w:p>
    <w:p>
      <w:pPr>
        <w:pStyle w:val="Compact"/>
        <w:numPr>
          <w:ilvl w:val="1"/>
          <w:numId w:val="1046"/>
        </w:numPr>
      </w:pPr>
      <w:r>
        <w:t xml:space="preserve">Balloon Payment Mortgages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Payment Structure Options</w:t>
      </w:r>
    </w:p>
    <w:p>
      <w:pPr>
        <w:pStyle w:val="Compact"/>
        <w:numPr>
          <w:ilvl w:val="1"/>
          <w:numId w:val="1047"/>
        </w:numPr>
      </w:pPr>
      <w:r>
        <w:t xml:space="preserve">Equal Monthly Installments (EMI)</w:t>
      </w:r>
    </w:p>
    <w:p>
      <w:pPr>
        <w:pStyle w:val="Compact"/>
        <w:numPr>
          <w:ilvl w:val="1"/>
          <w:numId w:val="1047"/>
        </w:numPr>
      </w:pPr>
      <w:r>
        <w:t xml:space="preserve">Graduated Payment Mortgages</w:t>
      </w:r>
    </w:p>
    <w:p>
      <w:pPr>
        <w:pStyle w:val="Compact"/>
        <w:numPr>
          <w:ilvl w:val="1"/>
          <w:numId w:val="1047"/>
        </w:numPr>
      </w:pPr>
      <w:r>
        <w:t xml:space="preserve">Bi-weekly Payment Schedules</w:t>
      </w:r>
    </w:p>
    <w:p>
      <w:pPr>
        <w:pStyle w:val="Compact"/>
        <w:numPr>
          <w:ilvl w:val="1"/>
          <w:numId w:val="1047"/>
        </w:numPr>
      </w:pPr>
      <w:r>
        <w:t xml:space="preserve">Custom Payment Frequencies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Mortgage Insurance</w:t>
      </w:r>
    </w:p>
    <w:p>
      <w:pPr>
        <w:pStyle w:val="Compact"/>
        <w:numPr>
          <w:ilvl w:val="1"/>
          <w:numId w:val="1048"/>
        </w:numPr>
      </w:pPr>
      <w:r>
        <w:t xml:space="preserve">Private Mortgage Insurance (PMI)</w:t>
      </w:r>
    </w:p>
    <w:p>
      <w:pPr>
        <w:pStyle w:val="Compact"/>
        <w:numPr>
          <w:ilvl w:val="1"/>
          <w:numId w:val="1048"/>
        </w:numPr>
      </w:pPr>
      <w:r>
        <w:t xml:space="preserve">Mortgage Life Insurance</w:t>
      </w:r>
    </w:p>
    <w:p>
      <w:pPr>
        <w:pStyle w:val="Compact"/>
        <w:numPr>
          <w:ilvl w:val="1"/>
          <w:numId w:val="1048"/>
        </w:numPr>
      </w:pPr>
      <w:r>
        <w:t xml:space="preserve">Disability Insurance Integration</w:t>
      </w:r>
    </w:p>
    <w:p>
      <w:pPr>
        <w:pStyle w:val="Compact"/>
        <w:numPr>
          <w:ilvl w:val="1"/>
          <w:numId w:val="1048"/>
        </w:numPr>
      </w:pPr>
      <w:r>
        <w:t xml:space="preserve">Premium Calculation and Tracking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Escrow Account Management</w:t>
      </w:r>
    </w:p>
    <w:p>
      <w:pPr>
        <w:pStyle w:val="Compact"/>
        <w:numPr>
          <w:ilvl w:val="1"/>
          <w:numId w:val="1049"/>
        </w:numPr>
      </w:pPr>
      <w:r>
        <w:t xml:space="preserve">Property Tax Escrow Calculations</w:t>
      </w:r>
    </w:p>
    <w:p>
      <w:pPr>
        <w:pStyle w:val="Compact"/>
        <w:numPr>
          <w:ilvl w:val="1"/>
          <w:numId w:val="1049"/>
        </w:numPr>
      </w:pPr>
      <w:r>
        <w:t xml:space="preserve">Home Insurance Escrow Management</w:t>
      </w:r>
    </w:p>
    <w:p>
      <w:pPr>
        <w:pStyle w:val="Compact"/>
        <w:numPr>
          <w:ilvl w:val="1"/>
          <w:numId w:val="1049"/>
        </w:numPr>
      </w:pPr>
      <w:r>
        <w:t xml:space="preserve">HOA Fees and Other Escrow Items</w:t>
      </w:r>
    </w:p>
    <w:p>
      <w:pPr>
        <w:pStyle w:val="Compact"/>
        <w:numPr>
          <w:ilvl w:val="1"/>
          <w:numId w:val="1049"/>
        </w:numPr>
      </w:pPr>
      <w:r>
        <w:t xml:space="preserve">Annual Escrow Analysis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Prepayment and Refinancing</w:t>
      </w:r>
    </w:p>
    <w:p>
      <w:pPr>
        <w:pStyle w:val="Compact"/>
        <w:numPr>
          <w:ilvl w:val="1"/>
          <w:numId w:val="1050"/>
        </w:numPr>
      </w:pPr>
      <w:r>
        <w:t xml:space="preserve">Prepayment Penalty Calculations</w:t>
      </w:r>
    </w:p>
    <w:p>
      <w:pPr>
        <w:pStyle w:val="Compact"/>
        <w:numPr>
          <w:ilvl w:val="1"/>
          <w:numId w:val="1050"/>
        </w:numPr>
      </w:pPr>
      <w:r>
        <w:t xml:space="preserve">Refinancing Break-even Analysis</w:t>
      </w:r>
    </w:p>
    <w:p>
      <w:pPr>
        <w:pStyle w:val="Compact"/>
        <w:numPr>
          <w:ilvl w:val="1"/>
          <w:numId w:val="1050"/>
        </w:numPr>
      </w:pPr>
      <w:r>
        <w:t xml:space="preserve">Interest Rate Comparison Tools</w:t>
      </w:r>
    </w:p>
    <w:p>
      <w:pPr>
        <w:pStyle w:val="Compact"/>
        <w:numPr>
          <w:ilvl w:val="1"/>
          <w:numId w:val="1050"/>
        </w:numPr>
      </w:pPr>
      <w:r>
        <w:t xml:space="preserve">Cash-out Refinancing Scenarios</w:t>
      </w:r>
    </w:p>
    <w:bookmarkEnd w:id="53"/>
    <w:bookmarkStart w:id="54" w:name="other-loans"/>
    <w:p>
      <w:pPr>
        <w:pStyle w:val="Heading3"/>
      </w:pPr>
      <w:r>
        <w:t xml:space="preserve">Other Loans</w:t>
      </w:r>
    </w:p>
    <w:p>
      <w:pPr>
        <w:pStyle w:val="Compact"/>
        <w:numPr>
          <w:ilvl w:val="0"/>
          <w:numId w:val="1051"/>
        </w:numPr>
      </w:pPr>
      <w:r>
        <w:t xml:space="preserve">Description (Name)</w:t>
      </w:r>
    </w:p>
    <w:p>
      <w:pPr>
        <w:pStyle w:val="Compact"/>
        <w:numPr>
          <w:ilvl w:val="0"/>
          <w:numId w:val="1051"/>
        </w:numPr>
      </w:pPr>
      <w:r>
        <w:t xml:space="preserve">Liability Type (Mortgage Bond, Personal Loan, Hire Purchase Agreement, etc.)</w:t>
      </w:r>
    </w:p>
    <w:p>
      <w:pPr>
        <w:pStyle w:val="Compact"/>
        <w:numPr>
          <w:ilvl w:val="0"/>
          <w:numId w:val="1051"/>
        </w:numPr>
      </w:pPr>
      <w:r>
        <w:t xml:space="preserve">Start Year (1 to 25)</w:t>
      </w:r>
    </w:p>
    <w:p>
      <w:pPr>
        <w:pStyle w:val="Compact"/>
        <w:numPr>
          <w:ilvl w:val="0"/>
          <w:numId w:val="1051"/>
        </w:numPr>
      </w:pPr>
      <w:r>
        <w:t xml:space="preserve">Start month (1 to 12)</w:t>
      </w:r>
    </w:p>
    <w:p>
      <w:pPr>
        <w:pStyle w:val="Compact"/>
        <w:numPr>
          <w:ilvl w:val="0"/>
          <w:numId w:val="1051"/>
        </w:numPr>
      </w:pPr>
      <w:r>
        <w:t xml:space="preserve">Start Value</w:t>
      </w:r>
    </w:p>
    <w:p>
      <w:pPr>
        <w:pStyle w:val="Compact"/>
        <w:numPr>
          <w:ilvl w:val="0"/>
          <w:numId w:val="1051"/>
        </w:numPr>
      </w:pPr>
      <w:r>
        <w:t xml:space="preserve">Original Loan Amount</w:t>
      </w:r>
    </w:p>
    <w:p>
      <w:pPr>
        <w:pStyle w:val="Compact"/>
        <w:numPr>
          <w:ilvl w:val="0"/>
          <w:numId w:val="1051"/>
        </w:numPr>
      </w:pPr>
      <w:r>
        <w:t xml:space="preserve">Loan Start Year (e.g., 2020)</w:t>
      </w:r>
    </w:p>
    <w:p>
      <w:pPr>
        <w:pStyle w:val="Compact"/>
        <w:numPr>
          <w:ilvl w:val="0"/>
          <w:numId w:val="1051"/>
        </w:numPr>
      </w:pPr>
      <w:r>
        <w:t xml:space="preserve">Loan Start Month (1 to 12)</w:t>
      </w:r>
    </w:p>
    <w:p>
      <w:pPr>
        <w:pStyle w:val="Compact"/>
        <w:numPr>
          <w:ilvl w:val="0"/>
          <w:numId w:val="1051"/>
        </w:numPr>
      </w:pPr>
      <w:r>
        <w:t xml:space="preserve">Loan Interest Rate %</w:t>
      </w:r>
    </w:p>
    <w:p>
      <w:pPr>
        <w:pStyle w:val="Compact"/>
        <w:numPr>
          <w:ilvl w:val="0"/>
          <w:numId w:val="1051"/>
        </w:numPr>
      </w:pPr>
      <w:r>
        <w:t xml:space="preserve">Adjusted Monthly Interest Rate % (calculated to reflect monthly rate that when compounded equals Annual Interest Rate)</w:t>
      </w:r>
    </w:p>
    <w:p>
      <w:pPr>
        <w:pStyle w:val="Compact"/>
        <w:numPr>
          <w:ilvl w:val="0"/>
          <w:numId w:val="1051"/>
        </w:numPr>
      </w:pPr>
      <w:r>
        <w:t xml:space="preserve">Monthly Payments</w:t>
      </w:r>
    </w:p>
    <w:p>
      <w:pPr>
        <w:pStyle w:val="Compact"/>
        <w:numPr>
          <w:ilvl w:val="0"/>
          <w:numId w:val="1051"/>
        </w:numPr>
      </w:pPr>
      <w:r>
        <w:t xml:space="preserve">Term of Loan (months)</w:t>
      </w:r>
    </w:p>
    <w:bookmarkEnd w:id="54"/>
    <w:bookmarkEnd w:id="55"/>
    <w:bookmarkStart w:id="58" w:name="liability-computations"/>
    <w:p>
      <w:pPr>
        <w:pStyle w:val="Heading2"/>
      </w:pPr>
      <w:r>
        <w:t xml:space="preserve">Liability Computations</w:t>
      </w:r>
    </w:p>
    <w:bookmarkStart w:id="56" w:name="X6a7223215e1d2a642cc8e9497a6468dfd3d336a"/>
    <w:p>
      <w:pPr>
        <w:pStyle w:val="Heading3"/>
      </w:pPr>
      <w:r>
        <w:t xml:space="preserve">Mortgage Bonds and Hire Purchase Agreements</w:t>
      </w:r>
    </w:p>
    <w:p>
      <w:pPr>
        <w:pStyle w:val="Compact"/>
        <w:numPr>
          <w:ilvl w:val="0"/>
          <w:numId w:val="1052"/>
        </w:numPr>
      </w:pPr>
      <w:r>
        <w:t xml:space="preserve">Start Value calculated from Original Loan Amount, Start Year/Month, Term, Interest Rate</w:t>
      </w:r>
    </w:p>
    <w:p>
      <w:pPr>
        <w:pStyle w:val="Compact"/>
        <w:numPr>
          <w:ilvl w:val="0"/>
          <w:numId w:val="1052"/>
        </w:numPr>
      </w:pPr>
      <w:r>
        <w:t xml:space="preserve">Full monthly payments deducted from Primary Personal Bank Account as expense</w:t>
      </w:r>
    </w:p>
    <w:p>
      <w:pPr>
        <w:pStyle w:val="Compact"/>
        <w:numPr>
          <w:ilvl w:val="0"/>
          <w:numId w:val="1052"/>
        </w:numPr>
      </w:pPr>
      <w:r>
        <w:t xml:space="preserve">Different expense types reflected separately</w:t>
      </w:r>
    </w:p>
    <w:p>
      <w:pPr>
        <w:pStyle w:val="Compact"/>
        <w:numPr>
          <w:ilvl w:val="0"/>
          <w:numId w:val="1052"/>
        </w:numPr>
      </w:pPr>
      <w:r>
        <w:t xml:space="preserve">New mortgage bonds/HP agreements triggered by asset module</w:t>
      </w:r>
    </w:p>
    <w:p>
      <w:pPr>
        <w:pStyle w:val="Compact"/>
        <w:numPr>
          <w:ilvl w:val="0"/>
          <w:numId w:val="1052"/>
        </w:numPr>
      </w:pPr>
      <w:r>
        <w:t xml:space="preserve">Standing data for new liability requested by app when triggered</w:t>
      </w:r>
    </w:p>
    <w:bookmarkEnd w:id="56"/>
    <w:bookmarkStart w:id="57" w:name="Xcff4f66f5522caa5e0634de6910a7b082f6e961"/>
    <w:p>
      <w:pPr>
        <w:pStyle w:val="Heading3"/>
      </w:pPr>
      <w:r>
        <w:t xml:space="preserve">Professional Financial Planning Enhancements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Cash Flow Optimization</w:t>
      </w:r>
    </w:p>
    <w:p>
      <w:pPr>
        <w:pStyle w:val="Compact"/>
        <w:numPr>
          <w:ilvl w:val="1"/>
          <w:numId w:val="1054"/>
        </w:numPr>
      </w:pPr>
      <w:r>
        <w:t xml:space="preserve">Automated cash flow smoothing algorithms</w:t>
      </w:r>
    </w:p>
    <w:p>
      <w:pPr>
        <w:pStyle w:val="Compact"/>
        <w:numPr>
          <w:ilvl w:val="1"/>
          <w:numId w:val="1054"/>
        </w:numPr>
      </w:pPr>
      <w:r>
        <w:t xml:space="preserve">Tax-efficient withdrawal strategies</w:t>
      </w:r>
    </w:p>
    <w:p>
      <w:pPr>
        <w:pStyle w:val="Compact"/>
        <w:numPr>
          <w:ilvl w:val="1"/>
          <w:numId w:val="1054"/>
        </w:numPr>
      </w:pPr>
      <w:r>
        <w:t xml:space="preserve">Emergency fund optimization</w:t>
      </w:r>
    </w:p>
    <w:p>
      <w:pPr>
        <w:pStyle w:val="Compact"/>
        <w:numPr>
          <w:ilvl w:val="1"/>
          <w:numId w:val="1054"/>
        </w:numPr>
      </w:pPr>
      <w:r>
        <w:t xml:space="preserve">Seasonal income adjustment calculations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Retirement Income Strategies</w:t>
      </w:r>
    </w:p>
    <w:p>
      <w:pPr>
        <w:pStyle w:val="Compact"/>
        <w:numPr>
          <w:ilvl w:val="1"/>
          <w:numId w:val="1055"/>
        </w:numPr>
      </w:pPr>
      <w:r>
        <w:t xml:space="preserve">Annuity integration and optimization</w:t>
      </w:r>
    </w:p>
    <w:p>
      <w:pPr>
        <w:pStyle w:val="Compact"/>
        <w:numPr>
          <w:ilvl w:val="1"/>
          <w:numId w:val="1055"/>
        </w:numPr>
      </w:pPr>
      <w:r>
        <w:t xml:space="preserve">Social Security claiming strategies</w:t>
      </w:r>
    </w:p>
    <w:p>
      <w:pPr>
        <w:pStyle w:val="Compact"/>
        <w:numPr>
          <w:ilvl w:val="1"/>
          <w:numId w:val="1055"/>
        </w:numPr>
      </w:pPr>
      <w:r>
        <w:t xml:space="preserve">Pension optimization calculations</w:t>
      </w:r>
    </w:p>
    <w:p>
      <w:pPr>
        <w:pStyle w:val="Compact"/>
        <w:numPr>
          <w:ilvl w:val="1"/>
          <w:numId w:val="1055"/>
        </w:numPr>
      </w:pPr>
      <w:r>
        <w:t xml:space="preserve">Required Minimum Distribution (RMD) planning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Estate Planning Integration</w:t>
      </w:r>
    </w:p>
    <w:p>
      <w:pPr>
        <w:pStyle w:val="Compact"/>
        <w:numPr>
          <w:ilvl w:val="1"/>
          <w:numId w:val="1056"/>
        </w:numPr>
      </w:pPr>
      <w:r>
        <w:t xml:space="preserve">Wealth transfer calculations</w:t>
      </w:r>
    </w:p>
    <w:p>
      <w:pPr>
        <w:pStyle w:val="Compact"/>
        <w:numPr>
          <w:ilvl w:val="1"/>
          <w:numId w:val="1056"/>
        </w:numPr>
      </w:pPr>
      <w:r>
        <w:t xml:space="preserve">Estate tax optimization</w:t>
      </w:r>
    </w:p>
    <w:p>
      <w:pPr>
        <w:pStyle w:val="Compact"/>
        <w:numPr>
          <w:ilvl w:val="1"/>
          <w:numId w:val="1056"/>
        </w:numPr>
      </w:pPr>
      <w:r>
        <w:t xml:space="preserve">Trust structure modeling</w:t>
      </w:r>
    </w:p>
    <w:p>
      <w:pPr>
        <w:pStyle w:val="Compact"/>
        <w:numPr>
          <w:ilvl w:val="1"/>
          <w:numId w:val="1056"/>
        </w:numPr>
      </w:pPr>
      <w:r>
        <w:t xml:space="preserve">Beneficiary allocation optimization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Risk Management Features</w:t>
      </w:r>
    </w:p>
    <w:p>
      <w:pPr>
        <w:pStyle w:val="Compact"/>
        <w:numPr>
          <w:ilvl w:val="1"/>
          <w:numId w:val="1057"/>
        </w:numPr>
      </w:pPr>
      <w:r>
        <w:t xml:space="preserve">Insurance needs analysis</w:t>
      </w:r>
    </w:p>
    <w:p>
      <w:pPr>
        <w:pStyle w:val="Compact"/>
        <w:numPr>
          <w:ilvl w:val="1"/>
          <w:numId w:val="1057"/>
        </w:numPr>
      </w:pPr>
      <w:r>
        <w:t xml:space="preserve">Long-term care cost projections</w:t>
      </w:r>
    </w:p>
    <w:p>
      <w:pPr>
        <w:pStyle w:val="Compact"/>
        <w:numPr>
          <w:ilvl w:val="1"/>
          <w:numId w:val="1057"/>
        </w:numPr>
      </w:pPr>
      <w:r>
        <w:t xml:space="preserve">Disability income replacement calculations</w:t>
      </w:r>
    </w:p>
    <w:p>
      <w:pPr>
        <w:pStyle w:val="Compact"/>
        <w:numPr>
          <w:ilvl w:val="1"/>
          <w:numId w:val="1057"/>
        </w:numPr>
      </w:pPr>
      <w:r>
        <w:t xml:space="preserve">Critical illness coverage optimization</w:t>
      </w:r>
    </w:p>
    <w:bookmarkEnd w:id="57"/>
    <w:bookmarkEnd w:id="58"/>
    <w:bookmarkStart w:id="62" w:name="advanced-financial-planning-features"/>
    <w:p>
      <w:pPr>
        <w:pStyle w:val="Heading2"/>
      </w:pPr>
      <w:r>
        <w:t xml:space="preserve">Advanced Financial Planning Features</w:t>
      </w:r>
    </w:p>
    <w:bookmarkStart w:id="59" w:name="comprehensive-mortgage-management"/>
    <w:p>
      <w:pPr>
        <w:pStyle w:val="Heading3"/>
      </w:pPr>
      <w:r>
        <w:t xml:space="preserve">Comprehensive Mortgage Management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Multi-Scenario Mortgage Analysis</w:t>
      </w:r>
    </w:p>
    <w:p>
      <w:pPr>
        <w:pStyle w:val="Compact"/>
        <w:numPr>
          <w:ilvl w:val="1"/>
          <w:numId w:val="1059"/>
        </w:numPr>
      </w:pPr>
      <w:r>
        <w:t xml:space="preserve">Best-case, realistic, and worst-case interest rate scenarios</w:t>
      </w:r>
    </w:p>
    <w:p>
      <w:pPr>
        <w:pStyle w:val="Compact"/>
        <w:numPr>
          <w:ilvl w:val="1"/>
          <w:numId w:val="1059"/>
        </w:numPr>
      </w:pPr>
      <w:r>
        <w:t xml:space="preserve">Refinancing opportunity identification and timing</w:t>
      </w:r>
    </w:p>
    <w:p>
      <w:pPr>
        <w:pStyle w:val="Compact"/>
        <w:numPr>
          <w:ilvl w:val="1"/>
          <w:numId w:val="1059"/>
        </w:numPr>
      </w:pPr>
      <w:r>
        <w:t xml:space="preserve">Payment shock analysis for variable rate mortgages</w:t>
      </w:r>
    </w:p>
    <w:p>
      <w:pPr>
        <w:pStyle w:val="Compact"/>
        <w:numPr>
          <w:ilvl w:val="1"/>
          <w:numId w:val="1059"/>
        </w:numPr>
      </w:pPr>
      <w:r>
        <w:t xml:space="preserve">Negative equity risk assessment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Mortgage Stress Testing</w:t>
      </w:r>
    </w:p>
    <w:p>
      <w:pPr>
        <w:pStyle w:val="Compact"/>
        <w:numPr>
          <w:ilvl w:val="1"/>
          <w:numId w:val="1060"/>
        </w:numPr>
      </w:pPr>
      <w:r>
        <w:t xml:space="preserve">Interest rate shock scenarios (+2%, +5% rate changes)</w:t>
      </w:r>
    </w:p>
    <w:p>
      <w:pPr>
        <w:pStyle w:val="Compact"/>
        <w:numPr>
          <w:ilvl w:val="1"/>
          <w:numId w:val="1060"/>
        </w:numPr>
      </w:pPr>
      <w:r>
        <w:t xml:space="preserve">Income disruption impact analysis</w:t>
      </w:r>
    </w:p>
    <w:p>
      <w:pPr>
        <w:pStyle w:val="Compact"/>
        <w:numPr>
          <w:ilvl w:val="1"/>
          <w:numId w:val="1060"/>
        </w:numPr>
      </w:pPr>
      <w:r>
        <w:t xml:space="preserve">Property value decline scenarios</w:t>
      </w:r>
    </w:p>
    <w:p>
      <w:pPr>
        <w:pStyle w:val="Compact"/>
        <w:numPr>
          <w:ilvl w:val="1"/>
          <w:numId w:val="1060"/>
        </w:numPr>
      </w:pPr>
      <w:r>
        <w:t xml:space="preserve">Combined mortgage and investment portfolio stress testing</w:t>
      </w:r>
    </w:p>
    <w:bookmarkEnd w:id="59"/>
    <w:bookmarkStart w:id="60" w:name="advanced-asset-management"/>
    <w:p>
      <w:pPr>
        <w:pStyle w:val="Heading3"/>
      </w:pPr>
      <w:r>
        <w:t xml:space="preserve">Advanced Asset Management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Real Estate Investment Analysis</w:t>
      </w:r>
    </w:p>
    <w:p>
      <w:pPr>
        <w:pStyle w:val="Compact"/>
        <w:numPr>
          <w:ilvl w:val="1"/>
          <w:numId w:val="1062"/>
        </w:numPr>
      </w:pPr>
      <w:r>
        <w:t xml:space="preserve">Rental property cash flow optimization</w:t>
      </w:r>
    </w:p>
    <w:p>
      <w:pPr>
        <w:pStyle w:val="Compact"/>
        <w:numPr>
          <w:ilvl w:val="1"/>
          <w:numId w:val="1062"/>
        </w:numPr>
      </w:pPr>
      <w:r>
        <w:t xml:space="preserve">Property flipping vs. rental holding strategies</w:t>
      </w:r>
    </w:p>
    <w:p>
      <w:pPr>
        <w:pStyle w:val="Compact"/>
        <w:numPr>
          <w:ilvl w:val="1"/>
          <w:numId w:val="1062"/>
        </w:numPr>
      </w:pPr>
      <w:r>
        <w:t xml:space="preserve">Real estate investment trust (REIT) integration</w:t>
      </w:r>
    </w:p>
    <w:p>
      <w:pPr>
        <w:pStyle w:val="Compact"/>
        <w:numPr>
          <w:ilvl w:val="1"/>
          <w:numId w:val="1062"/>
        </w:numPr>
      </w:pPr>
      <w:r>
        <w:t xml:space="preserve">Property tax optimization strategies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Business Asset Integration</w:t>
      </w:r>
    </w:p>
    <w:p>
      <w:pPr>
        <w:pStyle w:val="Compact"/>
        <w:numPr>
          <w:ilvl w:val="1"/>
          <w:numId w:val="1063"/>
        </w:numPr>
      </w:pPr>
      <w:r>
        <w:t xml:space="preserve">Business succession planning calculations</w:t>
      </w:r>
    </w:p>
    <w:p>
      <w:pPr>
        <w:pStyle w:val="Compact"/>
        <w:numPr>
          <w:ilvl w:val="1"/>
          <w:numId w:val="1063"/>
        </w:numPr>
      </w:pPr>
      <w:r>
        <w:t xml:space="preserve">Business sale timing optimization</w:t>
      </w:r>
    </w:p>
    <w:p>
      <w:pPr>
        <w:pStyle w:val="Compact"/>
        <w:numPr>
          <w:ilvl w:val="1"/>
          <w:numId w:val="1063"/>
        </w:numPr>
      </w:pPr>
      <w:r>
        <w:t xml:space="preserve">Business asset transfer tax implications</w:t>
      </w:r>
    </w:p>
    <w:p>
      <w:pPr>
        <w:pStyle w:val="Compact"/>
        <w:numPr>
          <w:ilvl w:val="1"/>
          <w:numId w:val="1063"/>
        </w:numPr>
      </w:pPr>
      <w:r>
        <w:t xml:space="preserve">Business asset depreciation optimization</w:t>
      </w:r>
    </w:p>
    <w:bookmarkEnd w:id="60"/>
    <w:bookmarkStart w:id="61" w:name="professional-grade-risk-assessment"/>
    <w:p>
      <w:pPr>
        <w:pStyle w:val="Heading3"/>
      </w:pPr>
      <w:r>
        <w:t xml:space="preserve">Professional-Grade Risk Assessment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Sequence of Returns Risk</w:t>
      </w:r>
    </w:p>
    <w:p>
      <w:pPr>
        <w:pStyle w:val="Compact"/>
        <w:numPr>
          <w:ilvl w:val="1"/>
          <w:numId w:val="1065"/>
        </w:numPr>
      </w:pPr>
      <w:r>
        <w:t xml:space="preserve">Historical scenario analysis (1929, 1973, 2000, 2008)</w:t>
      </w:r>
    </w:p>
    <w:p>
      <w:pPr>
        <w:pStyle w:val="Compact"/>
        <w:numPr>
          <w:ilvl w:val="1"/>
          <w:numId w:val="1065"/>
        </w:numPr>
      </w:pPr>
      <w:r>
        <w:t xml:space="preserve">Custom scenario creation and testing</w:t>
      </w:r>
    </w:p>
    <w:p>
      <w:pPr>
        <w:pStyle w:val="Compact"/>
        <w:numPr>
          <w:ilvl w:val="1"/>
          <w:numId w:val="1065"/>
        </w:numPr>
      </w:pPr>
      <w:r>
        <w:t xml:space="preserve">Withdrawal rate optimization based on market conditions</w:t>
      </w:r>
    </w:p>
    <w:p>
      <w:pPr>
        <w:pStyle w:val="Compact"/>
        <w:numPr>
          <w:ilvl w:val="1"/>
          <w:numId w:val="1065"/>
        </w:numPr>
      </w:pPr>
      <w:r>
        <w:t xml:space="preserve">Dynamic portfolio adjustment strategies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Longevity Risk Management</w:t>
      </w:r>
    </w:p>
    <w:p>
      <w:pPr>
        <w:pStyle w:val="Compact"/>
        <w:numPr>
          <w:ilvl w:val="1"/>
          <w:numId w:val="1066"/>
        </w:numPr>
      </w:pPr>
      <w:r>
        <w:t xml:space="preserve">Mortality table integration (multiple actuarial tables)</w:t>
      </w:r>
    </w:p>
    <w:p>
      <w:pPr>
        <w:pStyle w:val="Compact"/>
        <w:numPr>
          <w:ilvl w:val="1"/>
          <w:numId w:val="1066"/>
        </w:numPr>
      </w:pPr>
      <w:r>
        <w:t xml:space="preserve">Joint life expectancy calculations</w:t>
      </w:r>
    </w:p>
    <w:p>
      <w:pPr>
        <w:pStyle w:val="Compact"/>
        <w:numPr>
          <w:ilvl w:val="1"/>
          <w:numId w:val="1066"/>
        </w:numPr>
      </w:pPr>
      <w:r>
        <w:t xml:space="preserve">Survivor benefit optimization</w:t>
      </w:r>
    </w:p>
    <w:p>
      <w:pPr>
        <w:pStyle w:val="Compact"/>
        <w:numPr>
          <w:ilvl w:val="1"/>
          <w:numId w:val="1066"/>
        </w:numPr>
      </w:pPr>
      <w:r>
        <w:t xml:space="preserve">Longevity insurance integration</w:t>
      </w:r>
    </w:p>
    <w:bookmarkEnd w:id="61"/>
    <w:bookmarkEnd w:id="62"/>
    <w:bookmarkStart w:id="66" w:name="X5ef0a5c8e834ca82f1284e14f760b4d5036c728"/>
    <w:p>
      <w:pPr>
        <w:pStyle w:val="Heading2"/>
      </w:pPr>
      <w:r>
        <w:t xml:space="preserve">Monte Carlo Simulations / Sensitivity Analyses</w:t>
      </w:r>
    </w:p>
    <w:bookmarkStart w:id="63" w:name="individual-monte-carlo-simulations"/>
    <w:p>
      <w:pPr>
        <w:pStyle w:val="Heading3"/>
      </w:pPr>
      <w:r>
        <w:t xml:space="preserve">Individual Monte Carlo Simulations</w:t>
      </w:r>
    </w:p>
    <w:p>
      <w:pPr>
        <w:pStyle w:val="Compact"/>
        <w:numPr>
          <w:ilvl w:val="0"/>
          <w:numId w:val="1067"/>
        </w:numPr>
      </w:pPr>
      <w:r>
        <w:t xml:space="preserve">Inflation Rate changes impact</w:t>
      </w:r>
    </w:p>
    <w:p>
      <w:pPr>
        <w:pStyle w:val="Compact"/>
        <w:numPr>
          <w:ilvl w:val="0"/>
          <w:numId w:val="1067"/>
        </w:numPr>
      </w:pPr>
      <w:r>
        <w:t xml:space="preserve">Interest Rate changes impact (on investments and liabilities)</w:t>
      </w:r>
    </w:p>
    <w:p>
      <w:pPr>
        <w:pStyle w:val="Compact"/>
        <w:numPr>
          <w:ilvl w:val="0"/>
          <w:numId w:val="1067"/>
        </w:numPr>
      </w:pPr>
      <w:r>
        <w:t xml:space="preserve">Investment Growth Rate changes impact</w:t>
      </w:r>
    </w:p>
    <w:p>
      <w:pPr>
        <w:pStyle w:val="Compact"/>
        <w:numPr>
          <w:ilvl w:val="0"/>
          <w:numId w:val="1067"/>
        </w:numPr>
      </w:pPr>
      <w:r>
        <w:t xml:space="preserve">Asset Growth Rate changes impact (houses and other properties)</w:t>
      </w:r>
    </w:p>
    <w:p>
      <w:pPr>
        <w:pStyle w:val="Compact"/>
        <w:numPr>
          <w:ilvl w:val="0"/>
          <w:numId w:val="1067"/>
        </w:numPr>
      </w:pPr>
      <w:r>
        <w:t xml:space="preserve">Cover each month of full forecast period</w:t>
      </w:r>
    </w:p>
    <w:p>
      <w:pPr>
        <w:pStyle w:val="Compact"/>
        <w:numPr>
          <w:ilvl w:val="0"/>
          <w:numId w:val="1067"/>
        </w:numPr>
      </w:pPr>
      <w:r>
        <w:t xml:space="preserve">10,000 iterations per simulation</w:t>
      </w:r>
    </w:p>
    <w:bookmarkEnd w:id="63"/>
    <w:bookmarkStart w:id="64" w:name="post-simulation-analysis"/>
    <w:p>
      <w:pPr>
        <w:pStyle w:val="Heading3"/>
      </w:pPr>
      <w:r>
        <w:t xml:space="preserve">Post-Simulation Analysis</w:t>
      </w:r>
    </w:p>
    <w:p>
      <w:pPr>
        <w:pStyle w:val="Compact"/>
        <w:numPr>
          <w:ilvl w:val="0"/>
          <w:numId w:val="1068"/>
        </w:numPr>
      </w:pPr>
      <w:r>
        <w:t xml:space="preserve">Summarize with percentiles (10th, 50th, 90th)</w:t>
      </w:r>
    </w:p>
    <w:p>
      <w:pPr>
        <w:pStyle w:val="Compact"/>
        <w:numPr>
          <w:ilvl w:val="0"/>
          <w:numId w:val="1068"/>
        </w:numPr>
      </w:pPr>
      <w:r>
        <w:t xml:space="preserve">Show probabilities of outcomes:</w:t>
      </w:r>
    </w:p>
    <w:p>
      <w:pPr>
        <w:pStyle w:val="Compact"/>
        <w:numPr>
          <w:ilvl w:val="1"/>
          <w:numId w:val="1069"/>
        </w:numPr>
      </w:pPr>
      <w:r>
        <w:t xml:space="preserve">Running out of money at each 60-month interval</w:t>
      </w:r>
    </w:p>
    <w:p>
      <w:pPr>
        <w:pStyle w:val="Compact"/>
        <w:numPr>
          <w:ilvl w:val="1"/>
          <w:numId w:val="1069"/>
        </w:numPr>
      </w:pPr>
      <w:r>
        <w:t xml:space="preserve">Other important outcomes suggested by app</w:t>
      </w:r>
    </w:p>
    <w:bookmarkEnd w:id="64"/>
    <w:bookmarkStart w:id="65" w:name="X101c5dfd60cdaa54f10ba0d067c37264f1825c5"/>
    <w:p>
      <w:pPr>
        <w:pStyle w:val="Heading3"/>
      </w:pPr>
      <w:r>
        <w:t xml:space="preserve">Professional Reporting and Analysis Features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Custom Scenario Comparison</w:t>
      </w:r>
    </w:p>
    <w:p>
      <w:pPr>
        <w:pStyle w:val="Compact"/>
        <w:numPr>
          <w:ilvl w:val="1"/>
          <w:numId w:val="1071"/>
        </w:numPr>
      </w:pPr>
      <w:r>
        <w:t xml:space="preserve">Side-by-side scenario analysis</w:t>
      </w:r>
    </w:p>
    <w:p>
      <w:pPr>
        <w:pStyle w:val="Compact"/>
        <w:numPr>
          <w:ilvl w:val="1"/>
          <w:numId w:val="1071"/>
        </w:numPr>
      </w:pPr>
      <w:r>
        <w:t xml:space="preserve">Impact measurement tools</w:t>
      </w:r>
    </w:p>
    <w:p>
      <w:pPr>
        <w:pStyle w:val="Compact"/>
        <w:numPr>
          <w:ilvl w:val="1"/>
          <w:numId w:val="1071"/>
        </w:numPr>
      </w:pPr>
      <w:r>
        <w:t xml:space="preserve">Recommendation generation algorithms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Regulatory Compliance Features</w:t>
      </w:r>
    </w:p>
    <w:p>
      <w:pPr>
        <w:pStyle w:val="Compact"/>
        <w:numPr>
          <w:ilvl w:val="1"/>
          <w:numId w:val="1072"/>
        </w:numPr>
      </w:pPr>
      <w:r>
        <w:t xml:space="preserve">Fiduciary duty compliance tracking</w:t>
      </w:r>
    </w:p>
    <w:p>
      <w:pPr>
        <w:pStyle w:val="Compact"/>
        <w:numPr>
          <w:ilvl w:val="1"/>
          <w:numId w:val="1072"/>
        </w:numPr>
      </w:pPr>
      <w:r>
        <w:t xml:space="preserve">Disclosure requirement automation</w:t>
      </w:r>
    </w:p>
    <w:p>
      <w:pPr>
        <w:pStyle w:val="Compact"/>
        <w:numPr>
          <w:ilvl w:val="1"/>
          <w:numId w:val="1072"/>
        </w:numPr>
      </w:pPr>
      <w:r>
        <w:t xml:space="preserve">Best interest standard implementation</w:t>
      </w:r>
    </w:p>
    <w:p>
      <w:pPr>
        <w:pStyle w:val="Compact"/>
        <w:numPr>
          <w:ilvl w:val="1"/>
          <w:numId w:val="1072"/>
        </w:numPr>
      </w:pPr>
      <w:r>
        <w:t xml:space="preserve">Suitability assessment tools</w:t>
      </w:r>
    </w:p>
    <w:bookmarkEnd w:id="65"/>
    <w:bookmarkEnd w:id="66"/>
    <w:bookmarkStart w:id="72" w:name="reporting-requirements"/>
    <w:p>
      <w:pPr>
        <w:pStyle w:val="Heading2"/>
      </w:pPr>
      <w:r>
        <w:t xml:space="preserve">Reporting Requirements</w:t>
      </w:r>
    </w:p>
    <w:bookmarkStart w:id="67" w:name="advisor-reports"/>
    <w:p>
      <w:pPr>
        <w:pStyle w:val="Heading3"/>
      </w:pPr>
      <w:r>
        <w:t xml:space="preserve">Advisor Reports</w:t>
      </w:r>
    </w:p>
    <w:p>
      <w:pPr>
        <w:pStyle w:val="Compact"/>
        <w:numPr>
          <w:ilvl w:val="0"/>
          <w:numId w:val="1073"/>
        </w:numPr>
      </w:pPr>
      <w:r>
        <w:t xml:space="preserve">Table of available reports with selection prompt</w:t>
      </w:r>
    </w:p>
    <w:p>
      <w:pPr>
        <w:pStyle w:val="Compact"/>
        <w:numPr>
          <w:ilvl w:val="0"/>
          <w:numId w:val="1073"/>
        </w:numPr>
      </w:pPr>
      <w:r>
        <w:t xml:space="preserve">Report headings containing advisor name, logo, client name, report name, reporting period</w:t>
      </w:r>
    </w:p>
    <w:p>
      <w:pPr>
        <w:pStyle w:val="Compact"/>
        <w:numPr>
          <w:ilvl w:val="0"/>
          <w:numId w:val="1073"/>
        </w:numPr>
      </w:pPr>
      <w:r>
        <w:t xml:space="preserve">Left-aligned descriptions within categories</w:t>
      </w:r>
    </w:p>
    <w:p>
      <w:pPr>
        <w:pStyle w:val="Compact"/>
        <w:numPr>
          <w:ilvl w:val="0"/>
          <w:numId w:val="1073"/>
        </w:numPr>
      </w:pPr>
      <w:r>
        <w:t xml:space="preserve">Years/months reflected in report headings</w:t>
      </w:r>
    </w:p>
    <w:bookmarkEnd w:id="67"/>
    <w:bookmarkStart w:id="68" w:name="required-reports-structure"/>
    <w:p>
      <w:pPr>
        <w:pStyle w:val="Heading3"/>
      </w:pPr>
      <w:r>
        <w:t xml:space="preserve">Required Reports Structure</w:t>
      </w:r>
    </w:p>
    <w:p>
      <w:pPr>
        <w:pStyle w:val="Compact"/>
        <w:numPr>
          <w:ilvl w:val="0"/>
          <w:numId w:val="1074"/>
        </w:numPr>
      </w:pPr>
      <w:r>
        <w:t xml:space="preserve">Retirement Financial Forecast Report</w:t>
      </w:r>
    </w:p>
    <w:p>
      <w:pPr>
        <w:pStyle w:val="Compact"/>
        <w:numPr>
          <w:ilvl w:val="1"/>
          <w:numId w:val="1075"/>
        </w:numPr>
      </w:pPr>
      <w:r>
        <w:t xml:space="preserve">Benefits of Financial Planning for Retirement</w:t>
      </w:r>
    </w:p>
    <w:p>
      <w:pPr>
        <w:pStyle w:val="Compact"/>
        <w:numPr>
          <w:ilvl w:val="1"/>
          <w:numId w:val="1075"/>
        </w:numPr>
      </w:pPr>
      <w:r>
        <w:t xml:space="preserve">Introduction</w:t>
      </w:r>
    </w:p>
    <w:p>
      <w:pPr>
        <w:pStyle w:val="Compact"/>
        <w:numPr>
          <w:ilvl w:val="1"/>
          <w:numId w:val="1075"/>
        </w:numPr>
      </w:pPr>
      <w:r>
        <w:t xml:space="preserve">Starting Position and Key Assumptions</w:t>
      </w:r>
    </w:p>
    <w:p>
      <w:pPr>
        <w:pStyle w:val="Compact"/>
        <w:numPr>
          <w:ilvl w:val="1"/>
          <w:numId w:val="1075"/>
        </w:numPr>
      </w:pPr>
      <w:r>
        <w:t xml:space="preserve">Management &amp; Funding of Lifestyle Costs</w:t>
      </w:r>
    </w:p>
    <w:p>
      <w:pPr>
        <w:pStyle w:val="Compact"/>
        <w:numPr>
          <w:ilvl w:val="1"/>
          <w:numId w:val="1075"/>
        </w:numPr>
      </w:pPr>
      <w:r>
        <w:t xml:space="preserve">Summary of Net Wealth</w:t>
      </w:r>
    </w:p>
    <w:p>
      <w:pPr>
        <w:pStyle w:val="Compact"/>
        <w:numPr>
          <w:ilvl w:val="1"/>
          <w:numId w:val="1075"/>
        </w:numPr>
      </w:pPr>
      <w:r>
        <w:t xml:space="preserve">Summary of Liquid Assets</w:t>
      </w:r>
    </w:p>
    <w:p>
      <w:pPr>
        <w:pStyle w:val="Compact"/>
        <w:numPr>
          <w:ilvl w:val="1"/>
          <w:numId w:val="1075"/>
        </w:numPr>
      </w:pPr>
      <w:r>
        <w:t xml:space="preserve">Summary of Fixed Assets</w:t>
      </w:r>
    </w:p>
    <w:p>
      <w:pPr>
        <w:pStyle w:val="Compact"/>
        <w:numPr>
          <w:ilvl w:val="1"/>
          <w:numId w:val="1075"/>
        </w:numPr>
      </w:pPr>
      <w:r>
        <w:t xml:space="preserve">Summary of Liabilities</w:t>
      </w:r>
    </w:p>
    <w:p>
      <w:pPr>
        <w:pStyle w:val="Compact"/>
        <w:numPr>
          <w:ilvl w:val="1"/>
          <w:numId w:val="1075"/>
        </w:numPr>
      </w:pPr>
      <w:r>
        <w:t xml:space="preserve">Risk Analysis</w:t>
      </w:r>
    </w:p>
    <w:p>
      <w:pPr>
        <w:pStyle w:val="Compact"/>
        <w:numPr>
          <w:ilvl w:val="1"/>
          <w:numId w:val="1075"/>
        </w:numPr>
      </w:pPr>
      <w:r>
        <w:t xml:space="preserve">Monte Carlo Simulations</w:t>
      </w:r>
    </w:p>
    <w:p>
      <w:pPr>
        <w:pStyle w:val="Compact"/>
        <w:numPr>
          <w:ilvl w:val="1"/>
          <w:numId w:val="1075"/>
        </w:numPr>
      </w:pPr>
      <w:r>
        <w:t xml:space="preserve">Sensitivity Analysis – Pessimistic, Realistic, and Optimistic Scenarios</w:t>
      </w:r>
    </w:p>
    <w:p>
      <w:pPr>
        <w:pStyle w:val="Compact"/>
        <w:numPr>
          <w:ilvl w:val="1"/>
          <w:numId w:val="1075"/>
        </w:numPr>
      </w:pPr>
      <w:r>
        <w:t xml:space="preserve">Sensitivity Analysis – Influence of Individual Rate Changes</w:t>
      </w:r>
    </w:p>
    <w:p>
      <w:pPr>
        <w:pStyle w:val="Compact"/>
        <w:numPr>
          <w:ilvl w:val="1"/>
          <w:numId w:val="1075"/>
        </w:numPr>
      </w:pPr>
      <w:r>
        <w:t xml:space="preserve">Long-Term Forecasting – Risks &amp; Shortfalls</w:t>
      </w:r>
    </w:p>
    <w:p>
      <w:pPr>
        <w:pStyle w:val="Compact"/>
        <w:numPr>
          <w:ilvl w:val="1"/>
          <w:numId w:val="1075"/>
        </w:numPr>
      </w:pPr>
      <w:r>
        <w:t xml:space="preserve">Recommendations</w:t>
      </w:r>
    </w:p>
    <w:p>
      <w:pPr>
        <w:pStyle w:val="Compact"/>
        <w:numPr>
          <w:ilvl w:val="1"/>
          <w:numId w:val="1075"/>
        </w:numPr>
      </w:pPr>
      <w:r>
        <w:t xml:space="preserve">Conclusion</w:t>
      </w:r>
    </w:p>
    <w:p>
      <w:pPr>
        <w:pStyle w:val="Compact"/>
        <w:numPr>
          <w:ilvl w:val="1"/>
          <w:numId w:val="1075"/>
        </w:numPr>
      </w:pPr>
      <w:r>
        <w:t xml:space="preserve">Annexures - Detailed Analyses &amp; Commentaries</w:t>
      </w:r>
    </w:p>
    <w:p>
      <w:pPr>
        <w:pStyle w:val="Compact"/>
        <w:numPr>
          <w:ilvl w:val="0"/>
          <w:numId w:val="1074"/>
        </w:numPr>
      </w:pPr>
      <w:r>
        <w:t xml:space="preserve">Total Net Wealth Reports</w:t>
      </w:r>
    </w:p>
    <w:p>
      <w:pPr>
        <w:pStyle w:val="Compact"/>
        <w:numPr>
          <w:ilvl w:val="1"/>
          <w:numId w:val="1076"/>
        </w:numPr>
      </w:pPr>
      <w:r>
        <w:t xml:space="preserve">Annual Summarized Report</w:t>
      </w:r>
    </w:p>
    <w:p>
      <w:pPr>
        <w:pStyle w:val="Compact"/>
        <w:numPr>
          <w:ilvl w:val="1"/>
          <w:numId w:val="1076"/>
        </w:numPr>
      </w:pPr>
      <w:r>
        <w:t xml:space="preserve">Annual Detailed Report</w:t>
      </w:r>
    </w:p>
    <w:p>
      <w:pPr>
        <w:pStyle w:val="Compact"/>
        <w:numPr>
          <w:ilvl w:val="1"/>
          <w:numId w:val="1076"/>
        </w:numPr>
      </w:pPr>
      <w:r>
        <w:t xml:space="preserve">Monthly Summarized Report</w:t>
      </w:r>
    </w:p>
    <w:p>
      <w:pPr>
        <w:pStyle w:val="Compact"/>
        <w:numPr>
          <w:ilvl w:val="1"/>
          <w:numId w:val="1076"/>
        </w:numPr>
      </w:pPr>
      <w:r>
        <w:t xml:space="preserve">Monthly Detailed Report</w:t>
      </w:r>
    </w:p>
    <w:p>
      <w:pPr>
        <w:pStyle w:val="Compact"/>
        <w:numPr>
          <w:ilvl w:val="0"/>
          <w:numId w:val="1074"/>
        </w:numPr>
      </w:pPr>
      <w:r>
        <w:t xml:space="preserve">Bank Account Reports</w:t>
      </w:r>
    </w:p>
    <w:p>
      <w:pPr>
        <w:pStyle w:val="Compact"/>
        <w:numPr>
          <w:ilvl w:val="1"/>
          <w:numId w:val="1077"/>
        </w:numPr>
      </w:pPr>
      <w:r>
        <w:t xml:space="preserve">Annual Detailed Cash Book Report</w:t>
      </w:r>
    </w:p>
    <w:p>
      <w:pPr>
        <w:pStyle w:val="Compact"/>
        <w:numPr>
          <w:ilvl w:val="1"/>
          <w:numId w:val="1077"/>
        </w:numPr>
      </w:pPr>
      <w:r>
        <w:t xml:space="preserve">Monthly Detailed Cash Book Report</w:t>
      </w:r>
    </w:p>
    <w:p>
      <w:pPr>
        <w:pStyle w:val="Compact"/>
        <w:numPr>
          <w:ilvl w:val="0"/>
          <w:numId w:val="1074"/>
        </w:numPr>
      </w:pPr>
      <w:r>
        <w:t xml:space="preserve">Investment Reports</w:t>
      </w:r>
    </w:p>
    <w:p>
      <w:pPr>
        <w:pStyle w:val="Compact"/>
        <w:numPr>
          <w:ilvl w:val="1"/>
          <w:numId w:val="1078"/>
        </w:numPr>
      </w:pPr>
      <w:r>
        <w:t xml:space="preserve">Annual Detailed Investment Report</w:t>
      </w:r>
    </w:p>
    <w:p>
      <w:pPr>
        <w:pStyle w:val="Compact"/>
        <w:numPr>
          <w:ilvl w:val="1"/>
          <w:numId w:val="1078"/>
        </w:numPr>
      </w:pPr>
      <w:r>
        <w:t xml:space="preserve">Monthly Detailed Investment Report</w:t>
      </w:r>
    </w:p>
    <w:p>
      <w:pPr>
        <w:pStyle w:val="Compact"/>
        <w:numPr>
          <w:ilvl w:val="0"/>
          <w:numId w:val="1074"/>
        </w:numPr>
      </w:pPr>
      <w:r>
        <w:t xml:space="preserve">Asset Reports</w:t>
      </w:r>
    </w:p>
    <w:p>
      <w:pPr>
        <w:pStyle w:val="Compact"/>
        <w:numPr>
          <w:ilvl w:val="1"/>
          <w:numId w:val="1079"/>
        </w:numPr>
      </w:pPr>
      <w:r>
        <w:t xml:space="preserve">Annual Detailed Asset Report</w:t>
      </w:r>
    </w:p>
    <w:p>
      <w:pPr>
        <w:pStyle w:val="Compact"/>
        <w:numPr>
          <w:ilvl w:val="1"/>
          <w:numId w:val="1079"/>
        </w:numPr>
      </w:pPr>
      <w:r>
        <w:t xml:space="preserve">Monthly Detailed Asset Report</w:t>
      </w:r>
    </w:p>
    <w:p>
      <w:pPr>
        <w:pStyle w:val="Compact"/>
        <w:numPr>
          <w:ilvl w:val="0"/>
          <w:numId w:val="1074"/>
        </w:numPr>
      </w:pPr>
      <w:r>
        <w:t xml:space="preserve">Liabilities Reports</w:t>
      </w:r>
    </w:p>
    <w:p>
      <w:pPr>
        <w:pStyle w:val="Compact"/>
        <w:numPr>
          <w:ilvl w:val="1"/>
          <w:numId w:val="1080"/>
        </w:numPr>
      </w:pPr>
      <w:r>
        <w:t xml:space="preserve">Annual Detailed Liability Report</w:t>
      </w:r>
    </w:p>
    <w:p>
      <w:pPr>
        <w:pStyle w:val="Compact"/>
        <w:numPr>
          <w:ilvl w:val="1"/>
          <w:numId w:val="1080"/>
        </w:numPr>
      </w:pPr>
      <w:r>
        <w:t xml:space="preserve">Monthly Detailed Liability Report</w:t>
      </w:r>
    </w:p>
    <w:p>
      <w:pPr>
        <w:pStyle w:val="Compact"/>
        <w:numPr>
          <w:ilvl w:val="0"/>
          <w:numId w:val="1074"/>
        </w:numPr>
      </w:pPr>
      <w:r>
        <w:t xml:space="preserve">Taxation Reports</w:t>
      </w:r>
    </w:p>
    <w:p>
      <w:pPr>
        <w:pStyle w:val="Compact"/>
        <w:numPr>
          <w:ilvl w:val="1"/>
          <w:numId w:val="1081"/>
        </w:numPr>
      </w:pPr>
      <w:r>
        <w:t xml:space="preserve">Annual Detailed Taxation Report</w:t>
      </w:r>
    </w:p>
    <w:p>
      <w:pPr>
        <w:pStyle w:val="Compact"/>
        <w:numPr>
          <w:ilvl w:val="0"/>
          <w:numId w:val="1074"/>
        </w:numPr>
      </w:pPr>
      <w:r>
        <w:t xml:space="preserve">Audit Reports</w:t>
      </w:r>
    </w:p>
    <w:p>
      <w:pPr>
        <w:pStyle w:val="Compact"/>
        <w:numPr>
          <w:ilvl w:val="1"/>
          <w:numId w:val="1082"/>
        </w:numPr>
      </w:pPr>
      <w:r>
        <w:t xml:space="preserve">Annual and monthly reconciliation reports</w:t>
      </w:r>
    </w:p>
    <w:p>
      <w:pPr>
        <w:pStyle w:val="Compact"/>
        <w:numPr>
          <w:ilvl w:val="0"/>
          <w:numId w:val="1074"/>
        </w:numPr>
      </w:pPr>
      <w:r>
        <w:t xml:space="preserve">Standing Data Reports</w:t>
      </w:r>
    </w:p>
    <w:p>
      <w:pPr>
        <w:pStyle w:val="Compact"/>
        <w:numPr>
          <w:ilvl w:val="1"/>
          <w:numId w:val="1083"/>
        </w:numPr>
      </w:pPr>
      <w:r>
        <w:t xml:space="preserve">Client details</w:t>
      </w:r>
    </w:p>
    <w:p>
      <w:pPr>
        <w:pStyle w:val="Compact"/>
        <w:numPr>
          <w:ilvl w:val="1"/>
          <w:numId w:val="1083"/>
        </w:numPr>
      </w:pPr>
      <w:r>
        <w:t xml:space="preserve">Bank accounts</w:t>
      </w:r>
    </w:p>
    <w:p>
      <w:pPr>
        <w:pStyle w:val="Compact"/>
        <w:numPr>
          <w:ilvl w:val="1"/>
          <w:numId w:val="1083"/>
        </w:numPr>
      </w:pPr>
      <w:r>
        <w:t xml:space="preserve">Investments</w:t>
      </w:r>
    </w:p>
    <w:p>
      <w:pPr>
        <w:pStyle w:val="Compact"/>
        <w:numPr>
          <w:ilvl w:val="1"/>
          <w:numId w:val="1083"/>
        </w:numPr>
      </w:pPr>
      <w:r>
        <w:t xml:space="preserve">Assets</w:t>
      </w:r>
    </w:p>
    <w:p>
      <w:pPr>
        <w:pStyle w:val="Compact"/>
        <w:numPr>
          <w:ilvl w:val="1"/>
          <w:numId w:val="1083"/>
        </w:numPr>
      </w:pPr>
      <w:r>
        <w:t xml:space="preserve">Liabilities</w:t>
      </w:r>
    </w:p>
    <w:p>
      <w:pPr>
        <w:pStyle w:val="Compact"/>
        <w:numPr>
          <w:ilvl w:val="1"/>
          <w:numId w:val="1083"/>
        </w:numPr>
      </w:pPr>
      <w:r>
        <w:t xml:space="preserve">Tax calculation data</w:t>
      </w:r>
    </w:p>
    <w:p>
      <w:pPr>
        <w:pStyle w:val="Compact"/>
        <w:numPr>
          <w:ilvl w:val="0"/>
          <w:numId w:val="1074"/>
        </w:numPr>
      </w:pPr>
      <w:r>
        <w:t xml:space="preserve">Sensitivity Analysis Reports</w:t>
      </w:r>
    </w:p>
    <w:p>
      <w:pPr>
        <w:pStyle w:val="Compact"/>
        <w:numPr>
          <w:ilvl w:val="1"/>
          <w:numId w:val="1084"/>
        </w:numPr>
      </w:pPr>
      <w:r>
        <w:t xml:space="preserve">Monte Carlo Simulations</w:t>
      </w:r>
    </w:p>
    <w:p>
      <w:pPr>
        <w:pStyle w:val="Compact"/>
        <w:numPr>
          <w:ilvl w:val="1"/>
          <w:numId w:val="1084"/>
        </w:numPr>
      </w:pPr>
      <w:r>
        <w:t xml:space="preserve">Pessimistic, Realistic, and Optimistic Scenarios</w:t>
      </w:r>
    </w:p>
    <w:p>
      <w:pPr>
        <w:pStyle w:val="Compact"/>
        <w:numPr>
          <w:ilvl w:val="1"/>
          <w:numId w:val="1084"/>
        </w:numPr>
      </w:pPr>
      <w:r>
        <w:t xml:space="preserve">Individual Rate Change Influence Analysis</w:t>
      </w:r>
    </w:p>
    <w:bookmarkEnd w:id="68"/>
    <w:bookmarkStart w:id="69" w:name="download-and-visualization-options"/>
    <w:p>
      <w:pPr>
        <w:pStyle w:val="Heading3"/>
      </w:pPr>
      <w:r>
        <w:t xml:space="preserve">Download and Visualization Options</w:t>
      </w:r>
    </w:p>
    <w:p>
      <w:pPr>
        <w:pStyle w:val="Compact"/>
        <w:numPr>
          <w:ilvl w:val="0"/>
          <w:numId w:val="1085"/>
        </w:numPr>
      </w:pPr>
      <w:r>
        <w:t xml:space="preserve">Excel, Word, and PDF export options</w:t>
      </w:r>
    </w:p>
    <w:p>
      <w:pPr>
        <w:pStyle w:val="Compact"/>
        <w:numPr>
          <w:ilvl w:val="0"/>
          <w:numId w:val="1085"/>
        </w:numPr>
      </w:pPr>
      <w:r>
        <w:t xml:space="preserve">Visual display on wide-screen computers</w:t>
      </w:r>
    </w:p>
    <w:p>
      <w:pPr>
        <w:pStyle w:val="Compact"/>
        <w:numPr>
          <w:ilvl w:val="0"/>
          <w:numId w:val="1085"/>
        </w:numPr>
      </w:pPr>
      <w:r>
        <w:t xml:space="preserve">Enhanced graphical displays for trend identification</w:t>
      </w:r>
    </w:p>
    <w:p>
      <w:pPr>
        <w:pStyle w:val="Compact"/>
        <w:numPr>
          <w:ilvl w:val="0"/>
          <w:numId w:val="1085"/>
        </w:numPr>
      </w:pPr>
      <w:r>
        <w:t xml:space="preserve">Key milestone highlighting</w:t>
      </w:r>
    </w:p>
    <w:p>
      <w:pPr>
        <w:pStyle w:val="Compact"/>
        <w:numPr>
          <w:ilvl w:val="0"/>
          <w:numId w:val="1085"/>
        </w:numPr>
      </w:pPr>
      <w:r>
        <w:t xml:space="preserve">Required action point identification</w:t>
      </w:r>
    </w:p>
    <w:bookmarkEnd w:id="69"/>
    <w:bookmarkStart w:id="70" w:name="advisor-business-management-reports"/>
    <w:p>
      <w:pPr>
        <w:pStyle w:val="Heading3"/>
      </w:pPr>
      <w:r>
        <w:t xml:space="preserve">Advisor Business Management Reports</w:t>
      </w:r>
    </w:p>
    <w:p>
      <w:pPr>
        <w:pStyle w:val="Compact"/>
        <w:numPr>
          <w:ilvl w:val="0"/>
          <w:numId w:val="1086"/>
        </w:numPr>
      </w:pPr>
      <w:r>
        <w:t xml:space="preserve">Client List (all clients, active clients, new enquiries)</w:t>
      </w:r>
    </w:p>
    <w:p>
      <w:pPr>
        <w:pStyle w:val="Compact"/>
        <w:numPr>
          <w:ilvl w:val="0"/>
          <w:numId w:val="1086"/>
        </w:numPr>
      </w:pPr>
      <w:r>
        <w:t xml:space="preserve">Monthly and annual financial reports of completed forecasts</w:t>
      </w:r>
    </w:p>
    <w:p>
      <w:pPr>
        <w:pStyle w:val="Compact"/>
        <w:numPr>
          <w:ilvl w:val="0"/>
          <w:numId w:val="1086"/>
        </w:numPr>
      </w:pPr>
      <w:r>
        <w:t xml:space="preserve">Productivity Reports on completions and turnaround times</w:t>
      </w:r>
    </w:p>
    <w:bookmarkEnd w:id="70"/>
    <w:bookmarkStart w:id="71" w:name="app-owner-reports"/>
    <w:p>
      <w:pPr>
        <w:pStyle w:val="Heading3"/>
      </w:pPr>
      <w:r>
        <w:t xml:space="preserve">App Owner Reports</w:t>
      </w:r>
    </w:p>
    <w:p>
      <w:pPr>
        <w:pStyle w:val="Compact"/>
        <w:numPr>
          <w:ilvl w:val="0"/>
          <w:numId w:val="1087"/>
        </w:numPr>
      </w:pPr>
      <w:r>
        <w:t xml:space="preserve">Management Reports (by country)</w:t>
      </w:r>
    </w:p>
    <w:p>
      <w:pPr>
        <w:pStyle w:val="Compact"/>
        <w:numPr>
          <w:ilvl w:val="0"/>
          <w:numId w:val="1087"/>
        </w:numPr>
      </w:pPr>
      <w:r>
        <w:t xml:space="preserve">Advisor List (all advisors, active advisors, new enquiries)</w:t>
      </w:r>
    </w:p>
    <w:p>
      <w:pPr>
        <w:pStyle w:val="Compact"/>
        <w:numPr>
          <w:ilvl w:val="0"/>
          <w:numId w:val="1087"/>
        </w:numPr>
      </w:pPr>
      <w:r>
        <w:t xml:space="preserve">Monthly and annual reports of new, renewed, due for renewal, and expired advisors</w:t>
      </w:r>
    </w:p>
    <w:p>
      <w:pPr>
        <w:pStyle w:val="Compact"/>
        <w:numPr>
          <w:ilvl w:val="0"/>
          <w:numId w:val="1087"/>
        </w:numPr>
      </w:pPr>
      <w:r>
        <w:t xml:space="preserve">Monthly and annual financial reports of new and renewed advisor registrations</w:t>
      </w:r>
    </w:p>
    <w:p>
      <w:pPr>
        <w:pStyle w:val="Compact"/>
        <w:numPr>
          <w:ilvl w:val="0"/>
          <w:numId w:val="1087"/>
        </w:numPr>
      </w:pPr>
      <w:r>
        <w:t xml:space="preserve">Productivity Reports on additions, renewals, and expiries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2025-08-09T12:30:27Z</dcterms:created>
  <dcterms:modified xsi:type="dcterms:W3CDTF">2025-08-09T12:30:27Z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