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sql-database-structure"/>
    <w:p>
      <w:pPr>
        <w:pStyle w:val="Heading1"/>
      </w:pPr>
      <w:r>
        <w:t xml:space="preserve">SQL Database Structure</w:t>
      </w:r>
    </w:p>
    <w:p>
      <w:pPr>
        <w:pStyle w:val="FirstParagraph"/>
      </w:pPr>
      <w:r>
        <w:t xml:space="preserve">This directory contains all SQL-related files for the Financial Forecasting Application database, following the documentation strategy outlined in</w:t>
      </w:r>
      <w:r>
        <w:t xml:space="preserve"> </w:t>
      </w:r>
      <w:r>
        <w:rPr>
          <w:rStyle w:val="VerbatimChar"/>
        </w:rPr>
        <w:t xml:space="preserve">docs/09_documentation_strategy.md</w:t>
      </w:r>
      <w:r>
        <w:t xml:space="preserve">.</w:t>
      </w:r>
    </w:p>
    <w:bookmarkStart w:id="14" w:name="directory-structure"/>
    <w:p>
      <w:pPr>
        <w:pStyle w:val="Heading2"/>
      </w:pPr>
      <w:r>
        <w:t xml:space="preserve">Directory Structure</w:t>
      </w:r>
    </w:p>
    <w:bookmarkStart w:id="9" w:name="schema"/>
    <w:p>
      <w:pPr>
        <w:pStyle w:val="Heading3"/>
      </w:pPr>
      <w:r>
        <w:rPr>
          <w:rStyle w:val="VerbatimChar"/>
        </w:rPr>
        <w:t xml:space="preserve">schema/</w:t>
      </w:r>
    </w:p>
    <w:p>
      <w:pPr>
        <w:pStyle w:val="FirstParagraph"/>
      </w:pPr>
      <w:r>
        <w:t xml:space="preserve">Database schema definitions and table structures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01_user_management.sql</w:t>
      </w:r>
      <w:r>
        <w:t xml:space="preserve">: Advisors, clients, users, and roles tables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02_payment_processing.sql</w:t>
      </w:r>
      <w:r>
        <w:t xml:space="preserve">: Payments, invoices, subscriptions, and billing tables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03_ai_agents.sql</w:t>
      </w:r>
      <w:r>
        <w:t xml:space="preserve">: AI agent registration, usage tracking, and monitoring tables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04_financial_data.sql</w:t>
      </w:r>
      <w:r>
        <w:t xml:space="preserve">: Financial scenarios, projections, and calculation tables</w:t>
      </w:r>
    </w:p>
    <w:bookmarkEnd w:id="9"/>
    <w:bookmarkStart w:id="10" w:name="queries"/>
    <w:p>
      <w:pPr>
        <w:pStyle w:val="Heading3"/>
      </w:pPr>
      <w:r>
        <w:rPr>
          <w:rStyle w:val="VerbatimChar"/>
        </w:rPr>
        <w:t xml:space="preserve">queries/</w:t>
      </w:r>
    </w:p>
    <w:p>
      <w:pPr>
        <w:pStyle w:val="FirstParagraph"/>
      </w:pPr>
      <w:r>
        <w:t xml:space="preserve">Reusable SQL queries and stored procedures</w:t>
      </w:r>
      <w:r>
        <w:t xml:space="preserve"> </w:t>
      </w:r>
      <w:r>
        <w:t xml:space="preserve">- Financial calculation queries</w:t>
      </w:r>
      <w:r>
        <w:t xml:space="preserve"> </w:t>
      </w:r>
      <w:r>
        <w:t xml:space="preserve">- Reporting queries</w:t>
      </w:r>
      <w:r>
        <w:t xml:space="preserve"> </w:t>
      </w:r>
      <w:r>
        <w:t xml:space="preserve">- User data queries</w:t>
      </w:r>
      <w:r>
        <w:t xml:space="preserve"> </w:t>
      </w:r>
      <w:r>
        <w:t xml:space="preserve">- Payment status queries</w:t>
      </w:r>
    </w:p>
    <w:bookmarkEnd w:id="10"/>
    <w:bookmarkStart w:id="11" w:name="migrations"/>
    <w:p>
      <w:pPr>
        <w:pStyle w:val="Heading3"/>
      </w:pPr>
      <w:r>
        <w:rPr>
          <w:rStyle w:val="VerbatimChar"/>
        </w:rPr>
        <w:t xml:space="preserve">migrations/</w:t>
      </w:r>
    </w:p>
    <w:p>
      <w:pPr>
        <w:pStyle w:val="FirstParagraph"/>
      </w:pPr>
      <w:r>
        <w:t xml:space="preserve">Database migration scripts for version control</w:t>
      </w:r>
      <w:r>
        <w:t xml:space="preserve"> </w:t>
      </w:r>
      <w:r>
        <w:t xml:space="preserve">- Schema evolution scripts</w:t>
      </w:r>
      <w:r>
        <w:t xml:space="preserve"> </w:t>
      </w:r>
      <w:r>
        <w:t xml:space="preserve">- Data migration scripts</w:t>
      </w:r>
      <w:r>
        <w:t xml:space="preserve"> </w:t>
      </w:r>
      <w:r>
        <w:t xml:space="preserve">- Rollback procedures</w:t>
      </w:r>
    </w:p>
    <w:bookmarkEnd w:id="11"/>
    <w:bookmarkStart w:id="12" w:name="seeds"/>
    <w:p>
      <w:pPr>
        <w:pStyle w:val="Heading3"/>
      </w:pPr>
      <w:r>
        <w:rPr>
          <w:rStyle w:val="VerbatimChar"/>
        </w:rPr>
        <w:t xml:space="preserve">seeds/</w:t>
      </w:r>
    </w:p>
    <w:p>
      <w:pPr>
        <w:pStyle w:val="FirstParagraph"/>
      </w:pPr>
      <w:r>
        <w:t xml:space="preserve">Database seed data for development and testing</w:t>
      </w:r>
      <w:r>
        <w:t xml:space="preserve"> </w:t>
      </w:r>
      <w:r>
        <w:t xml:space="preserve">- Initial reference data</w:t>
      </w:r>
      <w:r>
        <w:t xml:space="preserve"> </w:t>
      </w:r>
      <w:r>
        <w:t xml:space="preserve">- Test user data</w:t>
      </w:r>
      <w:r>
        <w:t xml:space="preserve"> </w:t>
      </w:r>
      <w:r>
        <w:t xml:space="preserve">- Sample financial scenarios</w:t>
      </w:r>
      <w:r>
        <w:t xml:space="preserve"> </w:t>
      </w:r>
      <w:r>
        <w:t xml:space="preserve">- Default configuration data</w:t>
      </w:r>
    </w:p>
    <w:bookmarkEnd w:id="12"/>
    <w:bookmarkStart w:id="13" w:name="procedures"/>
    <w:p>
      <w:pPr>
        <w:pStyle w:val="Heading3"/>
      </w:pPr>
      <w:r>
        <w:rPr>
          <w:rStyle w:val="VerbatimChar"/>
        </w:rPr>
        <w:t xml:space="preserve">procedures/</w:t>
      </w:r>
    </w:p>
    <w:p>
      <w:pPr>
        <w:pStyle w:val="FirstParagraph"/>
      </w:pPr>
      <w:r>
        <w:t xml:space="preserve">Stored procedures and functions</w:t>
      </w:r>
      <w:r>
        <w:t xml:space="preserve"> </w:t>
      </w:r>
      <w:r>
        <w:t xml:space="preserve">- Complex financial calculations</w:t>
      </w:r>
      <w:r>
        <w:t xml:space="preserve"> </w:t>
      </w:r>
      <w:r>
        <w:t xml:space="preserve">- Batch processing routines</w:t>
      </w:r>
      <w:r>
        <w:t xml:space="preserve"> </w:t>
      </w:r>
      <w:r>
        <w:t xml:space="preserve">- Data aggregation functions</w:t>
      </w:r>
      <w:r>
        <w:t xml:space="preserve"> </w:t>
      </w:r>
      <w:r>
        <w:t xml:space="preserve">- Business logic implementations</w:t>
      </w:r>
    </w:p>
    <w:bookmarkEnd w:id="13"/>
    <w:bookmarkEnd w:id="14"/>
    <w:bookmarkStart w:id="18" w:name="database-design-principles"/>
    <w:p>
      <w:pPr>
        <w:pStyle w:val="Heading2"/>
      </w:pPr>
      <w:r>
        <w:t xml:space="preserve">Database Design Principles</w:t>
      </w:r>
    </w:p>
    <w:bookmarkStart w:id="15" w:name="normalization"/>
    <w:p>
      <w:pPr>
        <w:pStyle w:val="Heading3"/>
      </w:pPr>
      <w:r>
        <w:t xml:space="preserve">Normalization</w:t>
      </w:r>
    </w:p>
    <w:p>
      <w:pPr>
        <w:pStyle w:val="Compact"/>
        <w:numPr>
          <w:ilvl w:val="0"/>
          <w:numId w:val="1001"/>
        </w:numPr>
      </w:pPr>
      <w:r>
        <w:t xml:space="preserve">Third normal form (3NF) compliance</w:t>
      </w:r>
    </w:p>
    <w:p>
      <w:pPr>
        <w:pStyle w:val="Compact"/>
        <w:numPr>
          <w:ilvl w:val="0"/>
          <w:numId w:val="1001"/>
        </w:numPr>
      </w:pPr>
      <w:r>
        <w:t xml:space="preserve">Proper foreign key relationships</w:t>
      </w:r>
    </w:p>
    <w:p>
      <w:pPr>
        <w:pStyle w:val="Compact"/>
        <w:numPr>
          <w:ilvl w:val="0"/>
          <w:numId w:val="1001"/>
        </w:numPr>
      </w:pPr>
      <w:r>
        <w:t xml:space="preserve">Elimination of data redundancy</w:t>
      </w:r>
    </w:p>
    <w:p>
      <w:pPr>
        <w:pStyle w:val="Compact"/>
        <w:numPr>
          <w:ilvl w:val="0"/>
          <w:numId w:val="1001"/>
        </w:numPr>
      </w:pPr>
      <w:r>
        <w:t xml:space="preserve">Support for complex financial data relationships</w:t>
      </w:r>
    </w:p>
    <w:bookmarkEnd w:id="15"/>
    <w:bookmarkStart w:id="16" w:name="security"/>
    <w:p>
      <w:pPr>
        <w:pStyle w:val="Heading3"/>
      </w:pPr>
      <w:r>
        <w:t xml:space="preserve">Security</w:t>
      </w:r>
    </w:p>
    <w:p>
      <w:pPr>
        <w:pStyle w:val="Compact"/>
        <w:numPr>
          <w:ilvl w:val="0"/>
          <w:numId w:val="1002"/>
        </w:numPr>
      </w:pPr>
      <w:r>
        <w:t xml:space="preserve">Role-based access control with granular permissions</w:t>
      </w:r>
    </w:p>
    <w:p>
      <w:pPr>
        <w:pStyle w:val="Compact"/>
        <w:numPr>
          <w:ilvl w:val="0"/>
          <w:numId w:val="1002"/>
        </w:numPr>
      </w:pPr>
      <w:r>
        <w:t xml:space="preserve">Data encryption for sensitive fields (PII, financial data)</w:t>
      </w:r>
    </w:p>
    <w:p>
      <w:pPr>
        <w:pStyle w:val="Compact"/>
        <w:numPr>
          <w:ilvl w:val="0"/>
          <w:numId w:val="1002"/>
        </w:numPr>
      </w:pPr>
      <w:r>
        <w:t xml:space="preserve">Audit trails for all financial transactions and user actions</w:t>
      </w:r>
    </w:p>
    <w:p>
      <w:pPr>
        <w:pStyle w:val="Compact"/>
        <w:numPr>
          <w:ilvl w:val="0"/>
          <w:numId w:val="1002"/>
        </w:numPr>
      </w:pPr>
      <w:r>
        <w:t xml:space="preserve">PCI DSS compliance for payment data handling</w:t>
      </w:r>
    </w:p>
    <w:p>
      <w:pPr>
        <w:pStyle w:val="Compact"/>
        <w:numPr>
          <w:ilvl w:val="0"/>
          <w:numId w:val="1002"/>
        </w:numPr>
      </w:pPr>
      <w:r>
        <w:t xml:space="preserve">Row-level security for multi-tenant data isolation</w:t>
      </w:r>
    </w:p>
    <w:bookmarkEnd w:id="16"/>
    <w:bookmarkStart w:id="17" w:name="performance"/>
    <w:p>
      <w:pPr>
        <w:pStyle w:val="Heading3"/>
      </w:pPr>
      <w:r>
        <w:t xml:space="preserve">Performance</w:t>
      </w:r>
    </w:p>
    <w:p>
      <w:pPr>
        <w:pStyle w:val="Compact"/>
        <w:numPr>
          <w:ilvl w:val="0"/>
          <w:numId w:val="1003"/>
        </w:numPr>
      </w:pPr>
      <w:r>
        <w:t xml:space="preserve">Proper indexing strategies for financial query patterns</w:t>
      </w:r>
    </w:p>
    <w:p>
      <w:pPr>
        <w:pStyle w:val="Compact"/>
        <w:numPr>
          <w:ilvl w:val="0"/>
          <w:numId w:val="1003"/>
        </w:numPr>
      </w:pPr>
      <w:r>
        <w:t xml:space="preserve">Query optimization for Monte Carlo simulations and projections</w:t>
      </w:r>
    </w:p>
    <w:p>
      <w:pPr>
        <w:pStyle w:val="Compact"/>
        <w:numPr>
          <w:ilvl w:val="0"/>
          <w:numId w:val="1003"/>
        </w:numPr>
      </w:pPr>
      <w:r>
        <w:t xml:space="preserve">Partitioning for large historical datasets</w:t>
      </w:r>
    </w:p>
    <w:p>
      <w:pPr>
        <w:pStyle w:val="Compact"/>
        <w:numPr>
          <w:ilvl w:val="0"/>
          <w:numId w:val="1003"/>
        </w:numPr>
      </w:pPr>
      <w:r>
        <w:t xml:space="preserve">Caching considerations for frequently accessed data</w:t>
      </w:r>
    </w:p>
    <w:p>
      <w:pPr>
        <w:pStyle w:val="Compact"/>
        <w:numPr>
          <w:ilvl w:val="0"/>
          <w:numId w:val="1003"/>
        </w:numPr>
      </w:pPr>
      <w:r>
        <w:t xml:space="preserve">Materialized views for complex reporting queries</w:t>
      </w:r>
    </w:p>
    <w:bookmarkEnd w:id="17"/>
    <w:bookmarkEnd w:id="18"/>
    <w:bookmarkStart w:id="23" w:name="key-tables-overview"/>
    <w:p>
      <w:pPr>
        <w:pStyle w:val="Heading2"/>
      </w:pPr>
      <w:r>
        <w:t xml:space="preserve">Key Tables Overview</w:t>
      </w:r>
    </w:p>
    <w:bookmarkStart w:id="19" w:name="user-management-01_user_management.sql"/>
    <w:p>
      <w:pPr>
        <w:pStyle w:val="Heading3"/>
      </w:pPr>
      <w:r>
        <w:t xml:space="preserve">User Management (</w:t>
      </w:r>
      <w:r>
        <w:rPr>
          <w:rStyle w:val="VerbatimChar"/>
        </w:rPr>
        <w:t xml:space="preserve">01_user_management.sql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advisors</w:t>
      </w:r>
      <w:r>
        <w:t xml:space="preserve"> </w:t>
      </w:r>
      <w:r>
        <w:t xml:space="preserve">- Financial advisors with registration and payment status tracking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clients</w:t>
      </w:r>
      <w:r>
        <w:t xml:space="preserve"> </w:t>
      </w:r>
      <w:r>
        <w:t xml:space="preserve">- Client profiles linked to advisors with financial data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users</w:t>
      </w:r>
      <w:r>
        <w:t xml:space="preserve"> </w:t>
      </w:r>
      <w:r>
        <w:t xml:space="preserve">- Generic user management with authentication and roles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roles</w:t>
      </w:r>
      <w:r>
        <w:t xml:space="preserve"> </w:t>
      </w:r>
      <w:r>
        <w:t xml:space="preserve">- Access control roles and permissions with JSONB permissions structure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user_roles</w:t>
      </w:r>
      <w:r>
        <w:t xml:space="preserve"> </w:t>
      </w:r>
      <w:r>
        <w:t xml:space="preserve">- Many-to-many mapping between users and roles</w:t>
      </w:r>
    </w:p>
    <w:bookmarkEnd w:id="19"/>
    <w:bookmarkStart w:id="20" w:name="Xacd9d7246cca5f6544f634b7cd7f9a490828a28"/>
    <w:p>
      <w:pPr>
        <w:pStyle w:val="Heading3"/>
      </w:pPr>
      <w:r>
        <w:t xml:space="preserve">Payment Processing (</w:t>
      </w:r>
      <w:r>
        <w:rPr>
          <w:rStyle w:val="VerbatimChar"/>
        </w:rPr>
        <w:t xml:space="preserve">02_payment_processing.sql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payment_methods</w:t>
      </w:r>
      <w:r>
        <w:t xml:space="preserve"> </w:t>
      </w:r>
      <w:r>
        <w:t xml:space="preserve">- Stored payment methods with provider integration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invoices</w:t>
      </w:r>
      <w:r>
        <w:t xml:space="preserve"> </w:t>
      </w:r>
      <w:r>
        <w:t xml:space="preserve">- Invoice generation and tracking for advisor/client billing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payments</w:t>
      </w:r>
      <w:r>
        <w:t xml:space="preserve"> </w:t>
      </w:r>
      <w:r>
        <w:t xml:space="preserve">- Payment transaction records with gateway integration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subscriptions</w:t>
      </w:r>
      <w:r>
        <w:t xml:space="preserve"> </w:t>
      </w:r>
      <w:r>
        <w:t xml:space="preserve">- Subscription management for advisors and agents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agent_usage</w:t>
      </w:r>
      <w:r>
        <w:t xml:space="preserve"> </w:t>
      </w:r>
      <w:r>
        <w:t xml:space="preserve">- Agent usage tracking for billing purposes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agent_commissions</w:t>
      </w:r>
      <w:r>
        <w:t xml:space="preserve"> </w:t>
      </w:r>
      <w:r>
        <w:t xml:space="preserve">- Commission calculations and payments for agents</w:t>
      </w:r>
    </w:p>
    <w:bookmarkEnd w:id="20"/>
    <w:bookmarkStart w:id="21" w:name="ai-agents-03_ai_agents.sql"/>
    <w:p>
      <w:pPr>
        <w:pStyle w:val="Heading3"/>
      </w:pPr>
      <w:r>
        <w:t xml:space="preserve">AI Agents (</w:t>
      </w:r>
      <w:r>
        <w:rPr>
          <w:rStyle w:val="VerbatimChar"/>
        </w:rPr>
        <w:t xml:space="preserve">03_ai_agents.sql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agents</w:t>
      </w:r>
      <w:r>
        <w:t xml:space="preserve"> </w:t>
      </w:r>
      <w:r>
        <w:t xml:space="preserve">- AI agent registration and metadata with MCP integration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agent_sessions</w:t>
      </w:r>
      <w:r>
        <w:t xml:space="preserve"> </w:t>
      </w:r>
      <w:r>
        <w:t xml:space="preserve">- Individual agent usage sessions with performance tracking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agent_communications</w:t>
      </w:r>
      <w:r>
        <w:t xml:space="preserve"> </w:t>
      </w:r>
      <w:r>
        <w:t xml:space="preserve">- Inter-agent communication records and messaging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agent_orchestration</w:t>
      </w:r>
      <w:r>
        <w:t xml:space="preserve"> </w:t>
      </w:r>
      <w:r>
        <w:t xml:space="preserve">- Agent workflow orchestration and coordination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agent_monitoring</w:t>
      </w:r>
      <w:r>
        <w:t xml:space="preserve"> </w:t>
      </w:r>
      <w:r>
        <w:t xml:space="preserve">- Agent performance and health monitoring metrics</w:t>
      </w:r>
    </w:p>
    <w:bookmarkEnd w:id="21"/>
    <w:bookmarkStart w:id="22" w:name="financial-data-04_financial_data.sql"/>
    <w:p>
      <w:pPr>
        <w:pStyle w:val="Heading3"/>
      </w:pPr>
      <w:r>
        <w:t xml:space="preserve">Financial Data (</w:t>
      </w:r>
      <w:r>
        <w:rPr>
          <w:rStyle w:val="VerbatimChar"/>
        </w:rPr>
        <w:t xml:space="preserve">04_financial_data.sql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financial_scenarios</w:t>
      </w:r>
      <w:r>
        <w:t xml:space="preserve"> </w:t>
      </w:r>
      <w:r>
        <w:t xml:space="preserve">- Client financial scenarios with assumptions and parameters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cash_flows</w:t>
      </w:r>
      <w:r>
        <w:t xml:space="preserve"> </w:t>
      </w:r>
      <w:r>
        <w:t xml:space="preserve">- Income and expense projections with escalation rates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assets</w:t>
      </w:r>
      <w:r>
        <w:t xml:space="preserve"> </w:t>
      </w:r>
      <w:r>
        <w:t xml:space="preserve">- Asset holdings, valuations, and retirement fund tracking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liabilities</w:t>
      </w:r>
      <w:r>
        <w:t xml:space="preserve"> </w:t>
      </w:r>
      <w:r>
        <w:t xml:space="preserve">- Debt and liability tracking with interest calculations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investments</w:t>
      </w:r>
      <w:r>
        <w:t xml:space="preserve"> </w:t>
      </w:r>
      <w:r>
        <w:t xml:space="preserve">- Investment portfolio data with fund-specific information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monte_carlo_simulations</w:t>
      </w:r>
      <w:r>
        <w:t xml:space="preserve"> </w:t>
      </w:r>
      <w:r>
        <w:t xml:space="preserve">- Monte Carlo simulation results and risk analysis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financial_projections</w:t>
      </w:r>
      <w:r>
        <w:t xml:space="preserve"> </w:t>
      </w:r>
      <w:r>
        <w:t xml:space="preserve">- Projected financial outcomes over time periods</w:t>
      </w:r>
    </w:p>
    <w:bookmarkEnd w:id="22"/>
    <w:bookmarkEnd w:id="23"/>
    <w:bookmarkStart w:id="26" w:name="commercial-operations-integration"/>
    <w:p>
      <w:pPr>
        <w:pStyle w:val="Heading2"/>
      </w:pPr>
      <w:r>
        <w:t xml:space="preserve">Commercial Operations Integration</w:t>
      </w:r>
    </w:p>
    <w:bookmarkStart w:id="24" w:name="payment-enforcement"/>
    <w:p>
      <w:pPr>
        <w:pStyle w:val="Heading3"/>
      </w:pPr>
      <w:r>
        <w:t xml:space="preserve">Payment Enforcement</w:t>
      </w:r>
    </w:p>
    <w:p>
      <w:pPr>
        <w:pStyle w:val="Compact"/>
        <w:numPr>
          <w:ilvl w:val="0"/>
          <w:numId w:val="1008"/>
        </w:numPr>
      </w:pPr>
      <w:r>
        <w:t xml:space="preserve">Automated blocking of unpaid advisors through</w:t>
      </w:r>
      <w:r>
        <w:t xml:space="preserve"> </w:t>
      </w:r>
      <w:r>
        <w:rPr>
          <w:rStyle w:val="VerbatimChar"/>
        </w:rPr>
        <w:t xml:space="preserve">advisors.registration_fee_paid</w:t>
      </w:r>
    </w:p>
    <w:p>
      <w:pPr>
        <w:pStyle w:val="Compact"/>
        <w:numPr>
          <w:ilvl w:val="0"/>
          <w:numId w:val="1008"/>
        </w:numPr>
      </w:pPr>
      <w:r>
        <w:t xml:space="preserve">Client report generation blocking through payment status checks</w:t>
      </w:r>
    </w:p>
    <w:p>
      <w:pPr>
        <w:pStyle w:val="Compact"/>
        <w:numPr>
          <w:ilvl w:val="0"/>
          <w:numId w:val="1008"/>
        </w:numPr>
      </w:pPr>
      <w:r>
        <w:t xml:space="preserve">Grace period management with configurable expiration dates</w:t>
      </w:r>
    </w:p>
    <w:p>
      <w:pPr>
        <w:pStyle w:val="Compact"/>
        <w:numPr>
          <w:ilvl w:val="0"/>
          <w:numId w:val="1008"/>
        </w:numPr>
      </w:pPr>
      <w:r>
        <w:t xml:space="preserve">Manual payment processing support for advisor-controlled billing</w:t>
      </w:r>
    </w:p>
    <w:bookmarkEnd w:id="24"/>
    <w:bookmarkStart w:id="25" w:name="ai-agent-monetization"/>
    <w:p>
      <w:pPr>
        <w:pStyle w:val="Heading3"/>
      </w:pPr>
      <w:r>
        <w:t xml:space="preserve">AI Agent Monetization</w:t>
      </w:r>
    </w:p>
    <w:p>
      <w:pPr>
        <w:pStyle w:val="Compact"/>
        <w:numPr>
          <w:ilvl w:val="0"/>
          <w:numId w:val="1009"/>
        </w:numPr>
      </w:pPr>
      <w:r>
        <w:t xml:space="preserve">Usage-based billing through</w:t>
      </w:r>
      <w:r>
        <w:t xml:space="preserve"> </w:t>
      </w:r>
      <w:r>
        <w:rPr>
          <w:rStyle w:val="VerbatimChar"/>
        </w:rPr>
        <w:t xml:space="preserve">agent_usage</w:t>
      </w:r>
      <w:r>
        <w:t xml:space="preserve"> </w:t>
      </w:r>
      <w:r>
        <w:t xml:space="preserve">table with cost tracking</w:t>
      </w:r>
    </w:p>
    <w:p>
      <w:pPr>
        <w:pStyle w:val="Compact"/>
        <w:numPr>
          <w:ilvl w:val="0"/>
          <w:numId w:val="1009"/>
        </w:numPr>
      </w:pPr>
      <w:r>
        <w:t xml:space="preserve">Subscription management for different agent tiers</w:t>
      </w:r>
    </w:p>
    <w:p>
      <w:pPr>
        <w:pStyle w:val="Compact"/>
        <w:numPr>
          <w:ilvl w:val="0"/>
          <w:numId w:val="1009"/>
        </w:numPr>
      </w:pPr>
      <w:r>
        <w:t xml:space="preserve">Commission processing for agent networks and partnerships</w:t>
      </w:r>
    </w:p>
    <w:p>
      <w:pPr>
        <w:pStyle w:val="Compact"/>
        <w:numPr>
          <w:ilvl w:val="0"/>
          <w:numId w:val="1009"/>
        </w:numPr>
      </w:pPr>
      <w:r>
        <w:t xml:space="preserve">Performance-based pricing with usage quotas and limits</w:t>
      </w:r>
    </w:p>
    <w:bookmarkEnd w:id="25"/>
    <w:bookmarkEnd w:id="26"/>
    <w:bookmarkStart w:id="30" w:name="development-guidelines"/>
    <w:p>
      <w:pPr>
        <w:pStyle w:val="Heading2"/>
      </w:pPr>
      <w:r>
        <w:t xml:space="preserve">Development Guidelines</w:t>
      </w:r>
    </w:p>
    <w:bookmarkStart w:id="27" w:name="naming-conventions"/>
    <w:p>
      <w:pPr>
        <w:pStyle w:val="Heading3"/>
      </w:pPr>
      <w:r>
        <w:t xml:space="preserve">Naming Conventions</w:t>
      </w:r>
    </w:p>
    <w:p>
      <w:pPr>
        <w:pStyle w:val="Compact"/>
        <w:numPr>
          <w:ilvl w:val="0"/>
          <w:numId w:val="1010"/>
        </w:numPr>
      </w:pPr>
      <w:r>
        <w:t xml:space="preserve">Use snake_case for table and column names consistently</w:t>
      </w:r>
    </w:p>
    <w:p>
      <w:pPr>
        <w:pStyle w:val="Compact"/>
        <w:numPr>
          <w:ilvl w:val="0"/>
          <w:numId w:val="1010"/>
        </w:numPr>
      </w:pPr>
      <w:r>
        <w:t xml:space="preserve">Prefix table names with functional area (e.g.,</w:t>
      </w:r>
      <w:r>
        <w:t xml:space="preserve"> </w:t>
      </w:r>
      <w:r>
        <w:rPr>
          <w:rStyle w:val="VerbatimChar"/>
        </w:rPr>
        <w:t xml:space="preserve">user_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payment_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agent_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Use descriptive, business-focused names that reflect domain concepts</w:t>
      </w:r>
    </w:p>
    <w:p>
      <w:pPr>
        <w:pStyle w:val="Compact"/>
        <w:numPr>
          <w:ilvl w:val="0"/>
          <w:numId w:val="1010"/>
        </w:numPr>
      </w:pPr>
      <w:r>
        <w:t xml:space="preserve">Maintain consistency across related tables and foreign key relationships</w:t>
      </w:r>
    </w:p>
    <w:p>
      <w:pPr>
        <w:pStyle w:val="Compact"/>
        <w:numPr>
          <w:ilvl w:val="0"/>
          <w:numId w:val="1010"/>
        </w:numPr>
      </w:pPr>
      <w:r>
        <w:t xml:space="preserve">Use standard suffixes (_id for foreign keys, _at for timestamps)</w:t>
      </w:r>
    </w:p>
    <w:bookmarkEnd w:id="27"/>
    <w:bookmarkStart w:id="28" w:name="data-types-and-precision"/>
    <w:p>
      <w:pPr>
        <w:pStyle w:val="Heading3"/>
      </w:pPr>
      <w:r>
        <w:t xml:space="preserve">Data Types and Precision</w:t>
      </w:r>
    </w:p>
    <w:p>
      <w:pPr>
        <w:pStyle w:val="Compact"/>
        <w:numPr>
          <w:ilvl w:val="0"/>
          <w:numId w:val="1011"/>
        </w:numPr>
      </w:pPr>
      <w:r>
        <w:t xml:space="preserve">Use DECIMAL(15,2) for financial amounts to ensure precision</w:t>
      </w:r>
    </w:p>
    <w:p>
      <w:pPr>
        <w:pStyle w:val="Compact"/>
        <w:numPr>
          <w:ilvl w:val="0"/>
          <w:numId w:val="1011"/>
        </w:numPr>
      </w:pPr>
      <w:r>
        <w:t xml:space="preserve">Use UUIDs for primary keys to support distributed systems</w:t>
      </w:r>
    </w:p>
    <w:p>
      <w:pPr>
        <w:pStyle w:val="Compact"/>
        <w:numPr>
          <w:ilvl w:val="0"/>
          <w:numId w:val="1011"/>
        </w:numPr>
      </w:pPr>
      <w:r>
        <w:t xml:space="preserve">Use TIMESTAMP with timezone for all date/time storage</w:t>
      </w:r>
    </w:p>
    <w:p>
      <w:pPr>
        <w:pStyle w:val="Compact"/>
        <w:numPr>
          <w:ilvl w:val="0"/>
          <w:numId w:val="1011"/>
        </w:numPr>
      </w:pPr>
      <w:r>
        <w:t xml:space="preserve">Use JSONB for flexible configuration and metadata storage</w:t>
      </w:r>
    </w:p>
    <w:p>
      <w:pPr>
        <w:pStyle w:val="Compact"/>
        <w:numPr>
          <w:ilvl w:val="0"/>
          <w:numId w:val="1011"/>
        </w:numPr>
      </w:pPr>
      <w:r>
        <w:t xml:space="preserve">Implement proper constraints and check constraints for data integrity</w:t>
      </w:r>
    </w:p>
    <w:p>
      <w:pPr>
        <w:pStyle w:val="Compact"/>
        <w:numPr>
          <w:ilvl w:val="0"/>
          <w:numId w:val="1011"/>
        </w:numPr>
      </w:pPr>
      <w:r>
        <w:t xml:space="preserve">Use appropriate indexing strategies for query performance</w:t>
      </w:r>
    </w:p>
    <w:bookmarkEnd w:id="28"/>
    <w:bookmarkStart w:id="29" w:name="documentation-and-maintenance"/>
    <w:p>
      <w:pPr>
        <w:pStyle w:val="Heading3"/>
      </w:pPr>
      <w:r>
        <w:t xml:space="preserve">Documentation and Maintenance</w:t>
      </w:r>
    </w:p>
    <w:p>
      <w:pPr>
        <w:pStyle w:val="Compact"/>
        <w:numPr>
          <w:ilvl w:val="0"/>
          <w:numId w:val="1012"/>
        </w:numPr>
      </w:pPr>
      <w:r>
        <w:t xml:space="preserve">Comment all table and column definitions with business context</w:t>
      </w:r>
    </w:p>
    <w:p>
      <w:pPr>
        <w:pStyle w:val="Compact"/>
        <w:numPr>
          <w:ilvl w:val="0"/>
          <w:numId w:val="1012"/>
        </w:numPr>
      </w:pPr>
      <w:r>
        <w:t xml:space="preserve">Maintain entity-relationship diagrams in documentation</w:t>
      </w:r>
    </w:p>
    <w:p>
      <w:pPr>
        <w:pStyle w:val="Compact"/>
        <w:numPr>
          <w:ilvl w:val="0"/>
          <w:numId w:val="1012"/>
        </w:numPr>
      </w:pPr>
      <w:r>
        <w:t xml:space="preserve">Document business rules and constraints in table comments</w:t>
      </w:r>
    </w:p>
    <w:p>
      <w:pPr>
        <w:pStyle w:val="Compact"/>
        <w:numPr>
          <w:ilvl w:val="0"/>
          <w:numId w:val="1012"/>
        </w:numPr>
      </w:pPr>
      <w:r>
        <w:t xml:space="preserve">Version control all schema changes with migration scripts</w:t>
      </w:r>
    </w:p>
    <w:p>
      <w:pPr>
        <w:pStyle w:val="Compact"/>
        <w:numPr>
          <w:ilvl w:val="0"/>
          <w:numId w:val="1012"/>
        </w:numPr>
      </w:pPr>
      <w:r>
        <w:t xml:space="preserve">Follow the documentation strategy for regular updates and reviews</w:t>
      </w:r>
    </w:p>
    <w:p>
      <w:pPr>
        <w:pStyle w:val="Compact"/>
        <w:numPr>
          <w:ilvl w:val="0"/>
          <w:numId w:val="1012"/>
        </w:numPr>
      </w:pPr>
      <w:r>
        <w:t xml:space="preserve">Cross-reference with technical documentation in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</w:t>
      </w:r>
    </w:p>
    <w:bookmarkEnd w:id="29"/>
    <w:bookmarkEnd w:id="30"/>
    <w:bookmarkStart w:id="35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13"/>
        </w:numPr>
      </w:pPr>
      <w:r>
        <w:t xml:space="preserve">Related to:</w:t>
      </w:r>
      <w:r>
        <w:t xml:space="preserve"> </w:t>
      </w:r>
      <w:hyperlink r:id="rId31">
        <w:r>
          <w:rPr>
            <w:rStyle w:val="Hyperlink"/>
          </w:rPr>
          <w:t xml:space="preserve">Business Operations Document</w:t>
        </w:r>
      </w:hyperlink>
    </w:p>
    <w:p>
      <w:pPr>
        <w:pStyle w:val="Compact"/>
        <w:numPr>
          <w:ilvl w:val="0"/>
          <w:numId w:val="1013"/>
        </w:numPr>
      </w:pPr>
      <w:r>
        <w:t xml:space="preserve">Related to:</w:t>
      </w:r>
      <w:r>
        <w:t xml:space="preserve"> </w:t>
      </w:r>
      <w:hyperlink r:id="rId32">
        <w:r>
          <w:rPr>
            <w:rStyle w:val="Hyperlink"/>
          </w:rPr>
          <w:t xml:space="preserve">Agent Architecture Document</w:t>
        </w:r>
      </w:hyperlink>
    </w:p>
    <w:p>
      <w:pPr>
        <w:pStyle w:val="Compact"/>
        <w:numPr>
          <w:ilvl w:val="0"/>
          <w:numId w:val="1013"/>
        </w:numPr>
      </w:pPr>
      <w:r>
        <w:t xml:space="preserve">Related to:</w:t>
      </w:r>
      <w:r>
        <w:t xml:space="preserve"> </w:t>
      </w:r>
      <w:hyperlink r:id="rId33">
        <w:r>
          <w:rPr>
            <w:rStyle w:val="Hyperlink"/>
          </w:rPr>
          <w:t xml:space="preserve">Standing Data Calculations</w:t>
        </w:r>
      </w:hyperlink>
    </w:p>
    <w:p>
      <w:pPr>
        <w:pStyle w:val="Compact"/>
        <w:numPr>
          <w:ilvl w:val="0"/>
          <w:numId w:val="1013"/>
        </w:numPr>
      </w:pPr>
      <w:r>
        <w:t xml:space="preserve">Follows:</w:t>
      </w:r>
      <w:r>
        <w:t xml:space="preserve"> </w:t>
      </w:r>
      <w:hyperlink r:id="rId34">
        <w:r>
          <w:rPr>
            <w:rStyle w:val="Hyperlink"/>
          </w:rPr>
          <w:t xml:space="preserve">Documentation Strategy</w:t>
        </w:r>
      </w:hyperlink>
    </w:p>
    <w:bookmarkEnd w:id="35"/>
    <w:bookmarkStart w:id="36" w:name="last-updated"/>
    <w:p>
      <w:pPr>
        <w:pStyle w:val="Heading2"/>
      </w:pPr>
      <w:r>
        <w:t xml:space="preserve">Last Updated</w:t>
      </w:r>
    </w:p>
    <w:p>
      <w:pPr>
        <w:pStyle w:val="FirstParagraph"/>
      </w:pPr>
      <w:r>
        <w:t xml:space="preserve">09/08/2025</w:t>
      </w:r>
    </w:p>
    <w:bookmarkEnd w:id="36"/>
    <w:bookmarkStart w:id="37" w:name="next-review-date"/>
    <w:p>
      <w:pPr>
        <w:pStyle w:val="Heading2"/>
      </w:pPr>
      <w:r>
        <w:t xml:space="preserve">Next Review Date</w:t>
      </w:r>
    </w:p>
    <w:p>
      <w:pPr>
        <w:pStyle w:val="FirstParagraph"/>
      </w:pPr>
      <w:r>
        <w:t xml:space="preserve">16/08/2025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1" Target="../docs/03_business_operations.md" TargetMode="External" /><Relationship Type="http://schemas.openxmlformats.org/officeDocument/2006/relationships/hyperlink" Id="rId32" Target="../docs/06_agent_architecture.md" TargetMode="External" /><Relationship Type="http://schemas.openxmlformats.org/officeDocument/2006/relationships/hyperlink" Id="rId33" Target="../docs/07_standing_data_calculations.md" TargetMode="External" /><Relationship Type="http://schemas.openxmlformats.org/officeDocument/2006/relationships/hyperlink" Id="rId34" Target="../docs/09_documentation_strateg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../docs/03_business_operations.md" TargetMode="External" /><Relationship Type="http://schemas.openxmlformats.org/officeDocument/2006/relationships/hyperlink" Id="rId32" Target="../docs/06_agent_architecture.md" TargetMode="External" /><Relationship Type="http://schemas.openxmlformats.org/officeDocument/2006/relationships/hyperlink" Id="rId33" Target="../docs/07_standing_data_calculations.md" TargetMode="External" /><Relationship Type="http://schemas.openxmlformats.org/officeDocument/2006/relationships/hyperlink" Id="rId34" Target="../docs/09_documentation_strateg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2025-08-09T12:31:12Z</dcterms:created>
  <dcterms:modified xsi:type="dcterms:W3CDTF">2025-08-09T12:31:12Z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